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254B1C0A" w:rsidR="00E66622" w:rsidRPr="00785E8D" w:rsidRDefault="00785E8D" w:rsidP="00796EBE">
      <w:pPr>
        <w:spacing w:line="276" w:lineRule="auto"/>
        <w:jc w:val="center"/>
        <w:rPr>
          <w:rFonts w:ascii="Times New Roman" w:eastAsia="Times New Roman" w:hAnsi="Times New Roman" w:cs="Times New Roman"/>
          <w:bCs/>
          <w:sz w:val="24"/>
          <w:szCs w:val="24"/>
        </w:rPr>
      </w:pPr>
      <w:r w:rsidRPr="00785E8D">
        <w:rPr>
          <w:rFonts w:ascii="Times New Roman" w:eastAsia="Times New Roman" w:hAnsi="Times New Roman" w:cs="Times New Roman"/>
          <w:b/>
          <w:sz w:val="28"/>
        </w:rPr>
        <w:t>VYHODNOTENIE PRIPOMIENKOVÉHO KONANIA</w:t>
      </w:r>
      <w:r w:rsidRPr="00785E8D">
        <w:rPr>
          <w:rFonts w:ascii="Times New Roman" w:eastAsia="Times New Roman" w:hAnsi="Times New Roman" w:cs="Times New Roman"/>
          <w:b/>
          <w:sz w:val="28"/>
        </w:rPr>
        <w:br/>
      </w:r>
      <w:r w:rsidR="009D32B4" w:rsidRPr="00785E8D">
        <w:rPr>
          <w:rFonts w:ascii="Times New Roman" w:eastAsia="Times New Roman" w:hAnsi="Times New Roman" w:cs="Times New Roman"/>
          <w:b/>
          <w:sz w:val="28"/>
        </w:rPr>
        <w:t>Návrh zákona, ktorým sa mení a dopĺňa zákon č. 300/2005 Z. z. Trestný zákon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LP/2024/614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104/22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104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68</w:t>
      </w:r>
      <w:r w:rsidR="00754CB0">
        <w:rPr>
          <w:rFonts w:ascii="Times New Roman" w:eastAsia="Times New Roman" w:hAnsi="Times New Roman" w:cs="Times New Roman"/>
          <w:sz w:val="24"/>
          <w:szCs w:val="24"/>
        </w:rPr>
        <w:t>/12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8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23</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77777777"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tabulkách: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2 (§ 16a) - Z:</w:t>
              <w:br/>
            </w:r>
            <w:r>
              <w:rPr>
                <w:b w:val="off"/>
                <w:color w:val="000000"/>
                <w:rFonts w:ascii="Times New Roman" w:hAnsi="Times New Roman" w:cs="Times New Roman" w:eastAsia="Times New Roman"/>
                <w:sz w:val="24"/>
              </w:rPr>
              <w:t>Navrhujeme uviesť novelizačný bod v tomto znení:</w:t>
              <w:br/>
            </w:r>
            <w:r>
              <w:rPr>
                <w:b w:val="off"/>
                <w:color w:val="000000"/>
                <w:rFonts w:ascii="Times New Roman" w:hAnsi="Times New Roman" w:cs="Times New Roman" w:eastAsia="Times New Roman"/>
                <w:sz w:val="24"/>
              </w:rPr>
              <w:t>„Za § 16 sa vkladá § 16a,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16a</w:t>
              <w:br/>
            </w:r>
            <w:r>
              <w:rPr>
                <w:b w:val="off"/>
                <w:color w:val="000000"/>
                <w:rFonts w:ascii="Times New Roman" w:hAnsi="Times New Roman" w:cs="Times New Roman" w:eastAsia="Times New Roman"/>
                <w:sz w:val="24"/>
              </w:rPr>
              <w:t>Trestný čin je spáchaný z hrubej nedbanlivosti, ak páchateľ obzvlášť ľahostajne alebo hrubo poruší obvyklú opatrnosť, starostlivosť alebo povinnosť vyplývajúcu z jeho zamestnania, povolania, postavenia alebo funkcie, všeobecne záväzných právnych predpisov alebo z okolností prípadu, a toto porušenie viedlo k ohrozeniu alebo porušeniu záujmu chráneného týmto zákonom.“.“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xml:space="preserve">Hrubá nedbanlivosť nie je de iure novým druhom subjektívnej stránky trestného činu. Ide o vyšší stupeň nedbanlivosti, ako je nedbanlivosť ustanovená v § 16 Trestného zákona. </w:t>
              <w:br/>
            </w:r>
            <w:r>
              <w:rPr>
                <w:b w:val="off"/>
                <w:color w:val="000000"/>
                <w:rFonts w:ascii="Times New Roman" w:hAnsi="Times New Roman" w:cs="Times New Roman" w:eastAsia="Times New Roman"/>
                <w:sz w:val="24"/>
              </w:rPr>
              <w:t xml:space="preserve">Pri hrubej nedbanlivosti ide o vyššiu mieru alebo vyšší stupeň neopatrnosti alebo ľahostajnosti, ako je to pri vedomej nedbanlivosti alebo nevedomej nedbanlivosti. Tento vyšší stupeň nedbanlivosti slovo „závažne“ náležite nevyjadruje. </w:t>
              <w:br/>
            </w:r>
            <w:r>
              <w:rPr>
                <w:b w:val="off"/>
                <w:color w:val="000000"/>
                <w:rFonts w:ascii="Times New Roman" w:hAnsi="Times New Roman" w:cs="Times New Roman" w:eastAsia="Times New Roman"/>
                <w:sz w:val="24"/>
              </w:rPr>
              <w:t>Z tohto dôvodu navrhujeme slová „závažne poruší“ nahradiť slovami „hrubo poruší“.</w:t>
              <w:br/>
            </w:r>
            <w:r>
              <w:rPr>
                <w:b w:val="off"/>
                <w:color w:val="000000"/>
                <w:rFonts w:ascii="Times New Roman" w:hAnsi="Times New Roman" w:cs="Times New Roman" w:eastAsia="Times New Roman"/>
                <w:sz w:val="24"/>
              </w:rPr>
              <w:t>Obvyklá miera opatrnosti, obvyklá starostlivosť alebo obvyklá povinnosť je upravená nielen vo všeobecne záväzných právnych predpisoch uverejnených v Zbierke zákonov Slovenskej republiky, ale aj v technických normách alebo v nekodifikovaných pravidlách založených na najnovších vedeckých poznatkoch alebo odborných skúsenostiach (napríklad poskytovanie zdravotnej starostlivosti lege artis alebo výskum a vývoj nových technológií alebo liekov), ktoré sú spravidla uverejnené v karentovaných časopisoch.</w:t>
              <w:br/>
            </w:r>
            <w:r>
              <w:rPr>
                <w:b w:val="off"/>
                <w:color w:val="000000"/>
                <w:rFonts w:ascii="Times New Roman" w:hAnsi="Times New Roman" w:cs="Times New Roman" w:eastAsia="Times New Roman"/>
                <w:sz w:val="24"/>
              </w:rPr>
              <w:t xml:space="preserve">Obvyklá miera opatrnosti, obvyklá starostlivosť alebo obvyklá povinnosť sa môže vzťahovať aj na životné situácie, ktoré sú ako povinnosti upravené vo všeobecne záväzných právnych predpisoch (napríklad všeobecná povinnosť predchádzať škode alebo povinnosť vo vzťahu k starostlivosti o dieťa) alebo sú upravené len veľmi všeobecne (na základe zvyklostí). V takomto prípade sa vyžaduje taká opatrnosť páchateľa, ktorá je primeraná okolnostiam vyvolaným jeho konaním. </w:t>
              <w:br/>
            </w:r>
            <w:r>
              <w:rPr>
                <w:b w:val="off"/>
                <w:color w:val="000000"/>
                <w:rFonts w:ascii="Times New Roman" w:hAnsi="Times New Roman" w:cs="Times New Roman" w:eastAsia="Times New Roman"/>
                <w:sz w:val="24"/>
              </w:rPr>
              <w:t>Na základe uvedených skutočností navrhujeme za slová „všeobecne záväzných právnych predpisov“ vložiť slová „alebo z okolností prípadu“.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Hrubá nedbanlivosť nepredstavuje nový druh subjektívnej stránky trestného činu, ale viaže sa k zavineniu z nedbanlivosti, § 16 sa preto dopĺňa odsekom 2. Slovo „závažne“ predkladateľ nahradil slovom „hrubá“. Na základe všetkých uskutočnených rozporových konaní s dotknutými subjektami došlo k samotnej zmene pôvodného návrhu definície.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bodu 6 (§ 137b) - Z:</w:t>
              <w:br/>
            </w:r>
            <w:r>
              <w:rPr>
                <w:b w:val="off"/>
                <w:color w:val="000000"/>
                <w:rFonts w:ascii="Times New Roman" w:hAnsi="Times New Roman" w:cs="Times New Roman" w:eastAsia="Times New Roman"/>
                <w:sz w:val="24"/>
              </w:rPr>
              <w:t xml:space="preserve">Navrhujeme uviesť novelizačný bod v tomto znení: </w:t>
              <w:br/>
            </w:r>
            <w:r>
              <w:rPr>
                <w:b w:val="off"/>
                <w:color w:val="000000"/>
                <w:rFonts w:ascii="Times New Roman" w:hAnsi="Times New Roman" w:cs="Times New Roman" w:eastAsia="Times New Roman"/>
                <w:sz w:val="24"/>
              </w:rPr>
              <w:t>„Za § 137a sa vkladá § 137b, ktorý vrátane nadpisu znie:</w:t>
              <w:br/>
            </w:r>
            <w:r>
              <w:rPr>
                <w:b w:val="off"/>
                <w:color w:val="000000"/>
                <w:rFonts w:ascii="Times New Roman" w:hAnsi="Times New Roman" w:cs="Times New Roman" w:eastAsia="Times New Roman"/>
                <w:sz w:val="24"/>
              </w:rPr>
              <w:t>„§ 137b</w:t>
              <w:br/>
            </w:r>
            <w:r>
              <w:rPr>
                <w:b w:val="off"/>
                <w:color w:val="000000"/>
                <w:rFonts w:ascii="Times New Roman" w:hAnsi="Times New Roman" w:cs="Times New Roman" w:eastAsia="Times New Roman"/>
                <w:sz w:val="24"/>
              </w:rPr>
              <w:t>Reštriktívne opatrenie</w:t>
              <w:br/>
            </w:r>
            <w:r>
              <w:rPr>
                <w:b w:val="off"/>
                <w:color w:val="000000"/>
                <w:rFonts w:ascii="Times New Roman" w:hAnsi="Times New Roman" w:cs="Times New Roman" w:eastAsia="Times New Roman"/>
                <w:sz w:val="24"/>
              </w:rPr>
              <w:t>Reštriktívnym opatrením sa na účely tohto zákona rozumie medzinárodná sankcia podľa osobitného predpisu o vykonávaní medzinárodných sankcií. Ide o príkaz, zákaz alebo obmedzenie, ktoré sa týka</w:t>
              <w:br/>
            </w:r>
            <w:r>
              <w:rPr>
                <w:b w:val="off"/>
                <w:color w:val="000000"/>
                <w:rFonts w:ascii="Times New Roman" w:hAnsi="Times New Roman" w:cs="Times New Roman" w:eastAsia="Times New Roman"/>
                <w:sz w:val="24"/>
              </w:rPr>
              <w:t>a)	zaistenia finančných prostriedkov alebo hospodárskych zdrojov,</w:t>
              <w:br/>
            </w:r>
            <w:r>
              <w:rPr>
                <w:b w:val="off"/>
                <w:color w:val="000000"/>
                <w:rFonts w:ascii="Times New Roman" w:hAnsi="Times New Roman" w:cs="Times New Roman" w:eastAsia="Times New Roman"/>
                <w:sz w:val="24"/>
              </w:rPr>
              <w:t>b)	sprístupňovania finančných prostriedkov alebo hospodárskych zdrojov,</w:t>
              <w:br/>
            </w:r>
            <w:r>
              <w:rPr>
                <w:b w:val="off"/>
                <w:color w:val="000000"/>
                <w:rFonts w:ascii="Times New Roman" w:hAnsi="Times New Roman" w:cs="Times New Roman" w:eastAsia="Times New Roman"/>
                <w:sz w:val="24"/>
              </w:rPr>
              <w:t>c)	vstupu na územie členského štátu Európskej únie alebo tranzitu cez toto územie,</w:t>
              <w:br/>
            </w:r>
            <w:r>
              <w:rPr>
                <w:b w:val="off"/>
                <w:color w:val="000000"/>
                <w:rFonts w:ascii="Times New Roman" w:hAnsi="Times New Roman" w:cs="Times New Roman" w:eastAsia="Times New Roman"/>
                <w:sz w:val="24"/>
              </w:rPr>
              <w:t>d)	obchodovania s určitým tovarom alebo službami, dovozu, vývozu, prevozu, prepravy, tranzitu, predaja, kúpy, prevodu alebo iného nakladania s určitým tovarom alebo službami, alebo zákazu poskytovania technickej pomoci, sprostredkovateľskej činnosti, poistenia alebo iného úkonu súvisiaceho s týmto tovarom alebo službami,</w:t>
              <w:br/>
            </w:r>
            <w:r>
              <w:rPr>
                <w:b w:val="off"/>
                <w:color w:val="000000"/>
                <w:rFonts w:ascii="Times New Roman" w:hAnsi="Times New Roman" w:cs="Times New Roman" w:eastAsia="Times New Roman"/>
                <w:sz w:val="24"/>
              </w:rPr>
              <w:t xml:space="preserve">e)	poskytovania pravdivých a úplných informácií o konečných vlastníkoch alebo prijímateľoch finančných prostriedkov alebo hospodárskych zdrojov, ktoré sa majú zaistiť, </w:t>
              <w:br/>
            </w:r>
            <w:r>
              <w:rPr>
                <w:b w:val="off"/>
                <w:color w:val="000000"/>
                <w:rFonts w:ascii="Times New Roman" w:hAnsi="Times New Roman" w:cs="Times New Roman" w:eastAsia="Times New Roman"/>
                <w:sz w:val="24"/>
              </w:rPr>
              <w:t xml:space="preserve">f)	vykonávania činností v rozpore s podmienkami ustanovenými v oprávneniach udelených príslušnými orgánmi alebo vykonávania činností bez takýchto oprávnení, alebo </w:t>
              <w:br/>
            </w:r>
            <w:r>
              <w:rPr>
                <w:b w:val="off"/>
                <w:color w:val="000000"/>
                <w:rFonts w:ascii="Times New Roman" w:hAnsi="Times New Roman" w:cs="Times New Roman" w:eastAsia="Times New Roman"/>
                <w:sz w:val="24"/>
              </w:rPr>
              <w:t>g)	sektorového hospodárskeho opatrenia alebo finančného opatrenia zameraného na poskytovanie finančných služieb alebo vykonávanie finančných činností, alebo na poskytovanie právneho poradenstva alebo služieb v oblasti účtovníctva, auditu, daní, podnikania a riadenia, informačných technológií, vysielania, architektonických alebo inžinierskych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pojem „reštriktívne opatrenie“ je zákonným znakom objektívnej stránky nových trestných činov podľa § 417a až 417d Trestného zákona, je potrebné tento právny pojem na účely aplikačnej praxe orgánov činných v trestnom konaní a súdov, najmä na účely určenia podmienok na trestnú zodpovednosť páchateľa definovať tak, aby jeho legálna definícia bola v súlade s princípom legality (princípom „nullum crimen sine lege certa“) ustanoveným v čl. 49 Ústavy Slovenskej republiky a v súlade s princípmi materiálneho právneho štátu vyplývajúcimi z čl. 1 ods. 1 Ústavy Slovenskej republiky, najmä s princípom generality právnej normy, ktorý je osobitou súčasťou princípu právnej istoty.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návrh bol primerane zapracovaný do nového znenia návrhu § 417a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7 (§ 417a až 417e) - Z:</w:t>
              <w:br/>
            </w:r>
            <w:r>
              <w:rPr>
                <w:b w:val="off"/>
                <w:color w:val="000000"/>
                <w:rFonts w:ascii="Times New Roman" w:hAnsi="Times New Roman" w:cs="Times New Roman" w:eastAsia="Times New Roman"/>
                <w:sz w:val="24"/>
              </w:rPr>
              <w:t>A) Navrhujeme v § 417a uviesť odsek 1 v tomto znení:</w:t>
              <w:br/>
            </w:r>
            <w:r>
              <w:rPr>
                <w:b w:val="off"/>
                <w:color w:val="000000"/>
                <w:rFonts w:ascii="Times New Roman" w:hAnsi="Times New Roman" w:cs="Times New Roman" w:eastAsia="Times New Roman"/>
                <w:sz w:val="24"/>
              </w:rPr>
              <w:t xml:space="preserve">„(1) Kto poruší reštriktívne opatrenie v rozsahu najmenej 10 000 eur, potrestá sa odňatím slobody až na tri roky.“.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vecnú pripomienku korešpondujúcu s navrhnutou zmenou ustanovenia § 137b.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417a ods. 3 písm. a) slová „ako člen nebezpečného zoskupenia“ nahradiť slovami „v nebezpečnom zoskupení“.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zmenu vyjadrenia zákonného znaku trestného činu vo forme trestnej súčinnosti páchateľov na jeho spáchaní.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Spáchanie činu v nebezpečnom zoskupení podľa § 141 Trestného zákona je z hľadiska určenia podmienok na trestnú zodpovednosť páchateľov trestného činu prísnejšie a obsahovo širšie ako spáchanie trestného činu „len“ členom nebezpečného zoskupenia [členstvo v zločineckej skupine ako zákonný znak kvalifikovanej skutkovej podstaty trestného činu vo forme okolnosti podmieňujúcej použitie vyššej trestnej sadzby /tzv. iná skutočnosť podľa § 18 písm. b) Trestného zákona/ nemožno použiť v prípade, ak páchateľ spáchal trestný čin založenia, zosnovania a podporovania zločineckej skupiny podľa § 296 Trestného zákona iným modusom operandi, ako je členstvo v zločineckej skupine, napríklad činnosťou pre takéto zoskupenie alebo jeho podporovaním (pozri rozsudok Najvyššieho súdu Slovenskej republiky z 26. novembra 2014 sp. zn. 2 To 9/2014; ide o judikát č. 29 uverejnený v Zbierke stanovísk Najvyššieho súdu a rozhodnutí súdov Slovenskej republiky č. 3/2018)].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417b uviesť odsek 1 v tomto znení:</w:t>
              <w:br/>
            </w:r>
            <w:r>
              <w:rPr>
                <w:b w:val="off"/>
                <w:color w:val="000000"/>
                <w:rFonts w:ascii="Times New Roman" w:hAnsi="Times New Roman" w:cs="Times New Roman" w:eastAsia="Times New Roman"/>
                <w:sz w:val="24"/>
              </w:rPr>
              <w:t xml:space="preserve">„(1) Kto, čo aj z hrubej nedbanlivosti, poruší reštriktívne opatrenie týkajúce sa nakladania s položkami uvedenými v Spoločnom zozname vojenského materiálu Európskej únie alebo s položkami s dvojakým použitím uvedenými v osobitnom predpise v rozsahu najmenej 10 000 eur, potrestá sa odňatím slobody až na päť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korešpondujúcu s navrhnutou zmenou ustanovenia § 137b [písmeno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417b ods. 2 písm. c) slová „ako člen nebezpečného zoskupenia“ nahradiť slovami „v nebezpečnom zoskupení“.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zmenu vyjadrenia zákonného znaku trestného činu vo forme trestnej súčinnosti páchateľov na jeho spáchaní.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Spáchanie činu v nebezpečnom zoskupení podľa § 141 Trestného zákona je z hľadiska určenia podmienok na trestnú zodpovednosť páchateľov trestného činu prísnejšie a obsahovo širšie ako spáchanie trestného činu „len“ členom nebezpečného zoskupenia [členstvo v zločineckej skupine ako zákonný znak kvalifikovanej skutkovej podstaty trestného činu vo forme okolnosti podmieňujúcej použitie vyššej trestnej sadzby /tzv. iná skutočnosť podľa § 18 písm. b) Trestného zákona/ nemožno použiť v prípade, ak páchateľ spáchal trestný čin založenia, zosnovania a podporovania zločineckej skupiny podľa § 296 Trestného zákona iným modusom operandi, ako je členstvo v zločineckej skupine, napríklad činnosťou pre takéto zoskupenie alebo jeho podporovaním (pozri rozsudok Najvyššieho súdu Slovenskej republiky z 26. novembra 2014 sp. zn. 2 To 9/2014; ide o judikát č. 29 uverejnený v Zbierke stanovísk Najvyššieho súdu a rozhodnutí súdov Slovenskej republiky č. 3/2018)].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 417c uviesť odsek 1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Kto poruší reštriktívne opatrenie tým, že poskytne nepravdivú alebo neúplnú informáciu o veci alebo majetku v rozsahu najmenej 10 000 eur, ktoré sa majú zmraziť alebo zaistiť, potrestá sa odňatím slobody až na šesť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korešpondujúcu s navrhnutou zmenou ustanovenia § 137b [písmeno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417c ods. 3 písm. a) slová „ako člen nebezpečného zoskupenia“ nahradiť slovami „v nebezpečnom zoskupení“.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zmenu vyjadrenia zákonného znaku trestného činu vo forme trestnej súčinnosti páchateľov na jeho spáchaní.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Spáchanie činu v nebezpečnom zoskupení podľa § 141 Trestného zákona je z hľadiska určenia podmienok na trestnú zodpovednosť páchateľov trestného činu prísnejšie a obsahovo širšie ako spáchanie trestného činu „len“ členom nebezpečného zoskupenia [členstvo v zločineckej skupine ako zákonný znak kvalifikovanej skutkovej podstaty trestného činu vo forme okolnosti podmieňujúcej použitie vyššej trestnej sadzby /tzv. iná skutočnosť podľa § 18 písm. b) Trestného zákona/ nemožno použiť v prípade, ak páchateľ spáchal trestný čin založenia, zosnovania a podporovania zločineckej skupiny podľa § 296 Trestného zákona iným modusom operandi, ako je členstvo v zločineckej skupine, napríklad činnosťou pre takéto zoskupenie alebo jeho podporovaním (pozri rozsudok Najvyššieho súdu Slovenskej republiky z 26. novembra 2014 sp. zn. 2 To 9/2014; ide o judikát č. 29 uverejnený v Zbierke stanovísk Najvyššieho súdu a rozhodnutí súdov Slovenskej republiky č. 3/2018)].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Navrhujeme v § 417d ods. 3 písm. a) slová „ako člen nebezpečného zoskupenia“ nahradiť slovami „v nebezpečnom zoskupení“.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zmenu vyjadrenia zákonného znaku trestného činu vo forme trestnej súčinnosti páchateľov na jeho spáchaní.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Spáchanie činu v nebezpečnom zoskupení podľa § 141 Trestného zákona je z hľadiska určenia podmienok na trestnú zodpovednosť páchateľov trestného činu prísnejšie a obsahovo širšie ako spáchanie trestného činu „len“ členom nebezpečného zoskupenia [členstvo v zločineckej skupine ako zákonný znak kvalifikovanej skutkovej podstaty trestného činu vo forme okolnosti podmieňujúcej použitie vyššej trestnej sadzby /tzv. iná skutočnosť podľa § 18 písm. b) Trestného zákona/ nemožno použiť v prípade, ak páchateľ spáchal trestný čin založenia, zosnovania a podporovania zločineckej skupiny podľa § 296 Trestného zákona iným modusom operandi, ako je členstvo v zločineckej skupine, napríklad činnosťou pre takéto zoskupenie alebo jeho podporovaním (pozri rozsudok Najvyššieho súdu Slovenskej republiky z 26. novembra 2014 sp. zn. 2 To 9/2014; ide o judikát č. 29 uverejnený v Zbierke stanovísk Najvyššieho súdu a rozhodnutí súdov Slovenskej republiky č. 3/2018)].</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417a ods. 1 bolo upravené, zákonný znak trestného činu týkajúci sa nebezpečného zoskupenia bol zapracovaný a znenie pôvodného návrhu § 417b ods. 1 a 417c ods. 1 bolo na základe uskutočnených rozporových konaní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Nad rámec čl. I návrhu zákona – Z:</w:t>
              <w:br/>
            </w:r>
            <w:r>
              <w:rPr>
                <w:b w:val="off"/>
                <w:color w:val="000000"/>
                <w:rFonts w:ascii="Times New Roman" w:hAnsi="Times New Roman" w:cs="Times New Roman" w:eastAsia="Times New Roman"/>
                <w:sz w:val="24"/>
              </w:rPr>
              <w:t>Navrhujeme transpozíciu aj čl. 3 ods. 1 písm. i) smernice Európskeho parlamentu a Rady (EÚ) 2024/1226 z 24. apríla 2024 o vymedzení trestných činov a sankcií za porušenie reštriktívnych opatrení Únie a zmene smernice (EU) 2018/1673, ktorú predkladateľ návrhu zákona opomenul vykonať.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transpozíciou dotknutého článku prameňa práva Európskej únie je potrebné vykonať legislatívnu zmenu ustanovenia § 137b v navrhnutom rozsahu; trestný postih páchateľa za porušenie reštriktívneho opatrenia podľa § 137b písm. f) bude možný ako trestný čin podľa § 417a.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Všeobecne k návrhu zákona – O:</w:t>
              <w:br/>
            </w:r>
            <w:r>
              <w:rPr>
                <w:b w:val="off"/>
                <w:color w:val="000000"/>
                <w:rFonts w:ascii="Times New Roman" w:hAnsi="Times New Roman" w:cs="Times New Roman" w:eastAsia="Times New Roman"/>
                <w:sz w:val="24"/>
              </w:rPr>
              <w:t>Generálna prokuratúra považuje za pozitívum, že vypracovaniu návrhu zákona predchádzala medzirezortná expertná súčinnosť a odborné konzultácie.</w:t>
              <w:br/>
            </w:r>
            <w:r>
              <w:rPr>
                <w:b w:val="off"/>
                <w:color w:val="000000"/>
                <w:rFonts w:ascii="Times New Roman" w:hAnsi="Times New Roman" w:cs="Times New Roman" w:eastAsia="Times New Roman"/>
                <w:sz w:val="24"/>
              </w:rPr>
              <w:t>Generálna prokuratúra oceňuje, že Ministerstvo spravodlivosti Slovenskej republiky zapracovalo do návrhu zákona časť legislatívnych podnetov zaslaných v prílohe listu prvého námestníka generálneho prokurátora Slovenskej republiky z 30. októbra 2024 sp. zn. Leg/1 202/24/1000-8.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3 (§ 17) - O:</w:t>
              <w:br/>
            </w:r>
            <w:r>
              <w:rPr>
                <w:b w:val="off"/>
                <w:color w:val="000000"/>
                <w:rFonts w:ascii="Times New Roman" w:hAnsi="Times New Roman" w:cs="Times New Roman" w:eastAsia="Times New Roman"/>
                <w:sz w:val="24"/>
              </w:rPr>
              <w:t>Navrhujeme uviesť novelizačný bod v tomto znení:</w:t>
              <w:br/>
            </w:r>
            <w:r>
              <w:rPr>
                <w:b w:val="off"/>
                <w:color w:val="000000"/>
                <w:rFonts w:ascii="Times New Roman" w:hAnsi="Times New Roman" w:cs="Times New Roman" w:eastAsia="Times New Roman"/>
                <w:sz w:val="24"/>
              </w:rPr>
              <w:t>„V § 17 sa na konci pripájajú tieto slová: „alebo zavinenie z hrubej nedbanlivosti“.“.</w:t>
              <w:br/>
            </w:r>
            <w:r>
              <w:rPr>
                <w:b w:val="off"/>
                <w:color w:val="000000"/>
                <w:rFonts w:ascii="Times New Roman" w:hAnsi="Times New Roman" w:cs="Times New Roman" w:eastAsia="Times New Roman"/>
                <w:sz w:val="24"/>
              </w:rPr>
              <w:t>Ide o formulačnú pripomienku korešpondujúcu so sémantickou interpretáciou ustanovenia na účely aplikačnej praxe orgánov činných v trestnom konaní a súdov.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Hrubá nedbanlivosť nepredstavuje nový druh subjektívnej stránky trestného činu, ale viaže sa k zavineniu z nedbanlivosti, doplnenie predmetných slov by mohlo spôsobovať v aplikačnej praxi výkladové problémy, aj vzhľadom na vykonanú úpravu pôvodne navrhovanej definície hrubej nedbanlivosti.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(§16a)</w:t>
              <w:br/>
            </w:r>
            <w:r>
              <w:rPr>
                <w:b w:val="off"/>
                <w:color w:val="000000"/>
                <w:rFonts w:ascii="Times New Roman" w:hAnsi="Times New Roman" w:cs="Times New Roman" w:eastAsia="Times New Roman"/>
                <w:sz w:val="24"/>
              </w:rPr>
              <w:t>Navrhovaný bod 2. (§16a) navrhujeme vypustiť. Zároveň žiadame navrhnutú definíciu preformulovať, a to s ohľadom na argumenty uvedené v odôvodnení tejto pripomienky a subsumovať pod aktuálne platné a účinné ustanovenie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Predkladateľ návrhu zákona navrhuje zaviesť definíciu hrubej nedbanlivosti, a to v novom § 16a.  Zastávame názor, že „hrubou nedbanlivosťou“ sa rozumie vyšší stupeň intenzity, resp. miery nedbanlivosti, či už vedomej alebo nevedomej, a to na základe prístupu (postoja) páchateľa k požiadavkám náležitej opatrnosti, ktorá svedčí o zrejmej a zároveň celkom zjavnej bezohľadnosti páchateľa k záujmom chráneným trestným zákonom. Kritérium nedbanlivosti v oboch jej formách je zachovanie určitej miery opatrnosti páchateľa, ktorá je spravidla charakterizovaná ako potrebná miera opatrnosti, pričom táto miera potrebnej opatrnosti je daná spojením objektívneho a subjektívneho hľadiska pri predvídaní spôsobeného porušenia alebo ohrozenia záujmu chráneného trestným zákonom. Hrubá nedbanlivosť by mala viazať intenzitu nedbanlivosti práve na postoj páchateľa k požiadavkám náležitej opatrnosti, pričom by prístup páchateľa k požiadavkám náležitej opatrnosti mal svedčať o jeho zrejmej bezohľadnosti k záujmom chráneným TZ. Zvláštnu pozornosť v tomto prípade treba venovať práve prístupu páchateľa k požiadavkám náležitej opatrnosti, nakoľko práve v tom by malo byť jadro posúdenia miery zavinenia, t.j. či jeho nedbanlivosť je hrubá alebo ľahká/menšia s nižšou mierou nedbanlivosti. Hrubá nedbanlivosť podľa teórie trestného práva nie je zvláštnym, resp. osobitným druhom nedbanlivosti (buď vedomej alebo nevedomej), ale je len vyjadrením miery nedbanlivosti či už vedomej alebo nevedomej. Z uvedeného dôvodu nepovažujeme za adekvátne ani nevyhnutné zaviesť osobitný paragraf na túto definíciu. </w:t>
              <w:br/>
            </w:r>
            <w:r>
              <w:rPr>
                <w:b w:val="off"/>
                <w:color w:val="000000"/>
                <w:rFonts w:ascii="Times New Roman" w:hAnsi="Times New Roman" w:cs="Times New Roman" w:eastAsia="Times New Roman"/>
                <w:sz w:val="24"/>
              </w:rPr>
              <w:t>Zároveň zastávame názor, že predkladateľom navrhovaná definícia neobsahuje podstatné zložky zavinenia (vedomostnú a vôľovú) ako takého a nevykazuje potrebné zložky, ktoré by umožnili jej presné zaradenie do právneho rámca Trestného zákona. V definícii absentuje vedomostná zložka, ktorá predstavuje vzťah páchateľa k jeho konaniu a jeho možným následkom a vôľová zložka, ktorá vyjadruje postoj páchateľa k spôsobenému výsledku. Bez týchto prvkov ide skôr o popis povahy konania páchateľa, nie o zavinenie, ktoré by zahŕňalo vnútorný psychický vzťah páchateľa k podstatným zložkám trestného činu. Táto skutočnosť narúša konzistentnosť v rámci právneho systému, keďže zavinenie podľa § 15 a § 16 je vybudované na oboch zložkách – vedomostnej aj vôľovej.</w:t>
              <w:br/>
            </w:r>
            <w:r>
              <w:rPr>
                <w:b w:val="off"/>
                <w:color w:val="000000"/>
                <w:rFonts w:ascii="Times New Roman" w:hAnsi="Times New Roman" w:cs="Times New Roman" w:eastAsia="Times New Roman"/>
                <w:sz w:val="24"/>
              </w:rPr>
              <w:t>Ďalej, v navrhovanej definícii „hrubej nedbanlivosti“ sa používa pojem „porušiť,“ ktorý sa však viaže na konanie páchateľa, zatiaľ čo v definíciách zavinenia podľa § 15 a § 16 sa tento pojem vzťahuje na záujem chránený Trestným zákonom. Tento nesúlad môže viesť k nejasnostiam pri aplikácii definície v praxi. Celkovo možno konštatovať, že navrhovaná definícia „hrubej nedbanlivosti“ sa zameriava na opis charakteru konania páchateľa (napr. „obzvlášť ľahostajné alebo závažné porušenie“), ale neobsahuje potrebné psychické aspekty, ktoré sú pre zavinenie kľúčové. Pre zabezpečenie jednoznačnosti a správneho výkladu navrhujeme, aby definícia zahŕňala kumulatívne podmienky reflektujúce vedomostnú aj vôľovú zložku, alebo aby sa požiadavky spojené s „hrubou nedbanlivosťou“ uvádzali priamo v skutkových podstatách príslušných trestných činov. Tento postup by zabezpečil konkrétnejšiu a presnejšiu aplikáciu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(§17)</w:t>
              <w:br/>
            </w:r>
            <w:r>
              <w:rPr>
                <w:b w:val="off"/>
                <w:color w:val="000000"/>
                <w:rFonts w:ascii="Times New Roman" w:hAnsi="Times New Roman" w:cs="Times New Roman" w:eastAsia="Times New Roman"/>
                <w:sz w:val="24"/>
              </w:rPr>
              <w:t>Navrhovaný bod 3.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slov „alebo z hrubej nedbanlivosti“ v § 17 považujeme za nevhodné a aplikačne rizikové. Ustanovenie § 17 sa v súčasnosti subsidiárne uplatňuje na všetky trestné činy, pri ktorých osobitná časť Trestného zákona nevyžaduje úmyselné zavinenie ergo nedbanlivostné zavinenie sa v praxi vzťahuje na všetky prípady, kde nie je vyžadované úmyselné zavinenie. Navrhovaný bod 3. je spôsobilý v praxi viesť k tomu, že väčšina trestných činov by mohla byť posudzovaná dvojako – ako zavinenie z nedbanlivosti alebo z hrubej nedbanlivosti.</w:t>
              <w:br/>
            </w:r>
            <w:r>
              <w:rPr>
                <w:b w:val="off"/>
                <w:color w:val="000000"/>
                <w:rFonts w:ascii="Times New Roman" w:hAnsi="Times New Roman" w:cs="Times New Roman" w:eastAsia="Times New Roman"/>
                <w:sz w:val="24"/>
              </w:rPr>
              <w:t>Takéto rozšírenie by narušilo právnu istotu, keďže subsidiárny charakter § 17 zabezpečuje jasné a predvídateľné pravidlá aplikácie zavinenia. Doplnenie „hrubej nedbanlivosti“ by spôsobilo nejasnosti pri posudzovaní trestných činov, najmä tam, kde sú skutkové podstaty formulované všeobecnejšie. Bez jednoznačnej a jednotnej definície „hrubej nedbanlivosti“ by navyše hrozilo rozdielne uplatňovanie zákona, čo by znižovalo predvídateľnosť práva a mohlo viesť k nespravodlivým rozhodnutiam či neprimeraným trestnoprávnym dôsledkom ako aj zvýšenej právnej neistote pre obvinených.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7.</w:t>
              <w:br/>
            </w:r>
            <w:r>
              <w:rPr>
                <w:b w:val="off"/>
                <w:color w:val="000000"/>
                <w:rFonts w:ascii="Times New Roman" w:hAnsi="Times New Roman" w:cs="Times New Roman" w:eastAsia="Times New Roman"/>
                <w:sz w:val="24"/>
              </w:rPr>
              <w:t>V ust. § 417b ods. 1 navrhujeme vypustiť slová: „uvedenými v osobitných predpisoch“ a žiadame ich nahradiť slovami „uvedených v prílohách I a IV k nariadeniu EÚ 2021/821“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pripomienkou žiadame predkladateľa o precíznu implementáciu smernice 2024/1226, a to konkrétne článku 3 bod 3. ustanovujúceho trestný čin spáchaný z hrubej nedbanlivosti.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Legislatívnych pravidiel vlády SR, v texte právneho predpisu sa nariadenia Európskej únie alebo rozhodnutia Európskej únie necitujú, ale použije sa odkaz na osobitný predpis a v príslušnej poznámke pod čiarou sa uvedie ich názov a publikačný zdroj. To neplatí, ak implementáciu nariadenia Európskej únie alebo rozhodnutia Európskej únie nie je možné vykonať iným spôsobom. Citácia právne záväzného aktu Európskej únie sa musí zhodovať s názvom uverejneným v úradnej zbierke právne záväzných aktov Európskej únie (Ú. v. ES alebo Ú. v.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w:t>
              <w:br/>
            </w:r>
            <w:r>
              <w:rPr>
                <w:b w:val="off"/>
                <w:color w:val="000000"/>
                <w:rFonts w:ascii="Times New Roman" w:hAnsi="Times New Roman" w:cs="Times New Roman" w:eastAsia="Times New Roman"/>
                <w:sz w:val="24"/>
              </w:rPr>
              <w:t>Z dôvodov uvedených výhrad k rovnakému bodu, navrhujeme alternatívne, aby došlo k vymedzeniu definície hrubej nedbanlivosti, vyslovene iba na účely zavádzaných nových skutkových podstát trestných činov.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Definícia hrubej nedbanlivosti sa do všeobecnej časti Trestného zákona zavádza na účely všetkých nových skutkových podstát trestných činov, ktoré budú z hľadiska zavinenia vyžadovať hrubú nedbanlivosť.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nevyhnutné, aby transpozíciou smernice bol zavedený koncept hrubej nedbanlivosti. Doplnenie hrubej nedbanlivosti do Trestného zákona je nevyhnutnosťou aj s ohľadom na požiadavky smernice Európskeho parlamentu a Rady (EÚ) 2024/1203  z 11. apríla 2024 o ochrane životného prostredia prostredníctvom trestného práva, ktorou sa nahrádzajú smernice 2008/99/ES a 2009/123/ES (Ú. v. EÚ L 2024/1203, 30.4.2024).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6</w:t>
              <w:br/>
            </w:r>
            <w:r>
              <w:rPr>
                <w:b w:val="off"/>
                <w:color w:val="000000"/>
                <w:rFonts w:ascii="Times New Roman" w:hAnsi="Times New Roman" w:cs="Times New Roman" w:eastAsia="Times New Roman"/>
                <w:sz w:val="24"/>
              </w:rPr>
              <w:t>Žiadame doplniť do znenia návrhu zákona, priamy odkaz na konkrétny právny akt, ktorý obsahuje reštriktívne opatrenia, ktorých porušením sa bude zakladať trestná zodpovednosť v zmysle nových skutkových podstát. Považujeme za neprípustné, aby základný dokument trestnej politiky štátu neobsahoval jasný opis alebo odkaz na dokument/y, ktorý obsahuje jednotlivé reštriktívne opatrenia. Zároveň dodávame, že predmetné ustanovenie ide nad rámec znenia smernice a potreby samotnej transpozície čl. 2 ods. 1, ktorý vyžaduje sankcionovať porušenie reštriktívnych opatrení prijatých na základe čl. 29 ZFEU. Z dôvodovej správy je zrejmé, že za reštriktívne opatrenia sa považujú aj „Medzinárodnou sankciou sa rozumie obmedzenie, príkaz alebo zákaz v predpisoch o medzinárodnej sankcii (rozhodnutie Bezpečnostnej rady Organizácie Spojených národov podľa čl. 41 Charty Organizácie Spojených národov“.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7</w:t>
              <w:br/>
            </w:r>
            <w:r>
              <w:rPr>
                <w:b w:val="off"/>
                <w:color w:val="000000"/>
                <w:rFonts w:ascii="Times New Roman" w:hAnsi="Times New Roman" w:cs="Times New Roman" w:eastAsia="Times New Roman"/>
                <w:sz w:val="24"/>
              </w:rPr>
              <w:t>Žiadame, aby predkladateľ vykonal korektnú transpozíciu jednotlivých článkov smernice, ktorých predmetom majú byť jednotlivé nové skutkové podstaty. Z dôvodu právnej istoty, čitateľnosti a jasnosti právneho predpisu, nie je možné považovať za správne, že predkladateľ zvolil formu takmer univerzálnej transpozície 7 rôznych skutkov (protiprávnych konaní), ktoré uvádza smernica do 1 univerzálnej skutkovej podstaty § 417a.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Skutková podstata trestného činu porušenia reštriktívneho opatrenia podľa § 417a ods. 1 bola upravená a jednotlivé formy objektívnej stránky skutkovej podstaty trestného činu zadefinované.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Žiadame, aby predkladateľ v tabuľke zhody, prípadne v dôvodovej správe uviedol korektnú informáciu, že ak preukazuje transpozíciu jednotlivých ustanovení smernice bez toho, že dochádza k novelizácií jednotlivých ustanovení Trestného zákona a deklaruje prevzatie smernice už platným znením zákona, aby uviedol v ktorých prípadoch je aktuálne platná legislatíva SR prísnejšie ako požaduje samotná smernica napr. Čl. 11 ods. 1 a 2 v ustanovení o premlčacích lehotách.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nepovažuje za žiadúce, aby bol v tabuľke zhody vo vzťahu k aktuálne platnej právnej úprave vyznačený goldplating, cieľom transpozície smernice nie je jeho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názve návrhu zákona a v čl. I úvodnej vete odporúčame vypustiť slová „mení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Nakoľko došlo k úprave pôvodného návrhu zákona, predmetné slová majú svoju opodstatnenosť.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úvodnej vete odporúčame doplniť zákon č. 248/2024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3.	V čl. I bode 7 odporúčame</w:t>
              <w:br/>
            </w:r>
            <w:r>
              <w:rPr>
                <w:b w:val="off"/>
                <w:color w:val="000000"/>
                <w:rFonts w:ascii="Times New Roman" w:hAnsi="Times New Roman" w:cs="Times New Roman" w:eastAsia="Times New Roman"/>
                <w:sz w:val="24"/>
              </w:rPr>
              <w:t>- v § 417d ods. 1 slová „označených fyzických osôb“ uviesť v jednotnom čísle, t. j. nahradiť slovami „označenej fyzickej osoby“ a slová „tranzitu týchto osôb“ nahradiť slovami „tranzit tejto osoby“,</w:t>
              <w:br/>
            </w:r>
            <w:r>
              <w:rPr>
                <w:b w:val="off"/>
                <w:color w:val="000000"/>
                <w:rFonts w:ascii="Times New Roman" w:hAnsi="Times New Roman" w:cs="Times New Roman" w:eastAsia="Times New Roman"/>
                <w:sz w:val="24"/>
              </w:rPr>
              <w:t>- v § 417e slová „§ 471a až 417d“ nahradiť slovami „§ 417a až 417d“ a za slovo „417d“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4.	V čl. I bode 8 odporúčame úvodnú vetu upraviť takto: „Príloha č. 3 sa dopĺňa tridsiatym prvým bodom, ktorý znie:“; táto pripomienka primerane platí aj pre čl. II bod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w:t>
              <w:br/>
            </w:r>
            <w:r>
              <w:rPr>
                <w:b w:val="off"/>
                <w:color w:val="000000"/>
                <w:rFonts w:ascii="Times New Roman" w:hAnsi="Times New Roman" w:cs="Times New Roman" w:eastAsia="Times New Roman"/>
                <w:sz w:val="24"/>
              </w:rPr>
              <w:t>5.	V čl. II bode 2 sa navrhuje doplniť odsek 2, ktorým sa ustanovujú nové sankcie pre právnické osoby. V platnom znení § 15 je ustanovená sankcia od 1500 eur do 4 000 000 eur. Dopĺňaným odsekom 2 sa navrhujú ustanoviť dve nové sankcie za trestný čin podľa § 417c Trestného zákona od 1500 eur do 8 000 000 eur a za trestný čin podľa § 417a, § 417b alebo § 417d Trestného zákona od 1500 eur do 40 000 00 eur. Navrhujeme predkladateľovi zvážiť vložiť do § 15 vnútorný odkaz na odsek 2, napríklad „ak odsek 2 neustanovuje inak“, keďže § 15 je generálnym pravidlom a odsek 2 predstavuje odchylnú, prísnejšiu úpravu. Taktiež odporúčame zvážiť zvýšenie dolných hraníc sankcií, keďže horné hranice sú dvojnásobne a desaťnásobne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doplniť odsek 1 o navrhované slová, pretože  nový odsek 2 odkazuje na konkrétne ustanovenia, na ktoré sa 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w:t>
              <w:br/>
            </w:r>
            <w:r>
              <w:rPr>
                <w:b w:val="off"/>
                <w:color w:val="000000"/>
                <w:rFonts w:ascii="Times New Roman" w:hAnsi="Times New Roman" w:cs="Times New Roman" w:eastAsia="Times New Roman"/>
                <w:sz w:val="24"/>
              </w:rPr>
              <w:t>6.	V čl. IV bode 1 odporúčame slová „prvý bod“ nahradiť slovami „prvom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osobitnej časti</w:t>
              <w:br/>
            </w:r>
            <w:r>
              <w:rPr>
                <w:b w:val="off"/>
                <w:color w:val="000000"/>
                <w:rFonts w:ascii="Times New Roman" w:hAnsi="Times New Roman" w:cs="Times New Roman" w:eastAsia="Times New Roman"/>
                <w:sz w:val="24"/>
              </w:rPr>
              <w:t>7.	V dôvodovej správe osobitnej časti odporúčame odôvodnenie k novele zákona č. 289/2016 Z. z. o vykonávaní medzinárodných sankcií a o doplnení zákona č. 566/2001 Z. z. o cenných papieroch a investičných službách a o zmene a doplnení niektorých zákonov (zákon o cenných papieroch) v znení neskorších predpisov v znení neskorších predpisov uviesť ako čl. III.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Slovenský právny poriadok pozná a používa pojem „medzinárodná sankcia“, ktorý je definovaný v zákone č. 289/2016 Z. z. o vykonávaní medzinárodných sankcií a o doplnení zákona</w:t>
              <w:br/>
            </w:r>
            <w:r>
              <w:rPr>
                <w:b w:val="off"/>
                <w:color w:val="000000"/>
                <w:rFonts w:ascii="Times New Roman" w:hAnsi="Times New Roman" w:cs="Times New Roman" w:eastAsia="Times New Roman"/>
                <w:sz w:val="24"/>
              </w:rPr>
              <w:t>č. 566/2001 Z. z. o cenných papieroch a investičných službách a o zmene a doplnení niektorých zákonov (zákon o cenných papieroch) v znení neskorších predpisov v znení neskorších predpisov (ďalej len „zákon o vykonávaní medzinárodných sankcií“). Zavedením novej definície „reštriktívneho opatrenia“ vzniká dualita, ktorá môže pri výklade ustanovení Trestného zákona a zákona o vykonávaní medzinárodných sankcií spôsobovať nejasnosti v aplikačnej praxi. Na uvedenú skutočnosť upozorňujeme najmä s ohľadom na obmedzenie trestnosti konaní v prípade, ak celková suma porušených reštriktívnych opatrení neprekročí hranicu 10 000 eur. V takom prípade by mali byť porušenia reštriktívnych opatrení riešené v správnom konaní ako správne delikty podľa zákona o vykonávaní medzinárodných sankcií. Považujeme za potrebné v procese prípravy novely Trestného zákona vyjasniť vzájomnú previazanosť týchto právnych predpisov a nastaviť ich koexistenciu tak, aby nedochádzalo k výkladovým problémom v aplikačnej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navrhované skutkové podstaty nových trestných činov spočívajúcich v porušení reštriktívneho opatrenia je otázne, či ich umiestnenie do dvanástej hlavy osobitnej časti Trestného zákona je tou najvhodnejšou možnosťou, a to predovšetkým pokiaľ ide o druhový objekt. V tejto súvislosti navrhujeme prehodnotiť zaradenie skutkových podstát týchto trestných činov do nového osobitného dielu dvanástej hlavy osobitnej časti Trestného zákona, čo by bolo zároveň dôvodom aj na úpravu názvu dvanástej hlavy osobitnej časti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zapracovania konaní označených za trestné v článku 3 smernice Európskeho parlamentu a Rady (EÚ) 2024/1226 z 24. apríla 2024 o vymedzení trestných činov a sankcií za porušenie reštriktívnych opatrení Únie a zmene smernice (EÚ) 2018/1673 (ďalej len „smernica“) v navrhovanom ustanovení § 417a ods. 1 je všeobecný a nie je jasné, či pokrýva výpočet konaní vrátane obchádzania sankcií z článku 3 smernice dostatočne. Rešpektujeme skúsenosti navrhovateľa so zavádzaním skutkových podstát trestných činov tak, aby pokrývali čo možno najširší rozsah protispoločenského konania. Zároveň však považujeme za potrebné v dôvodovej správe uviesť detailnejšie vysvetlenie transpozície jednotlivých konaní zo smernice tak, aby nenastali prípady, kedy smernicou definované konanie nebude možné postihovať podľa navrhovaných ustanovení § 417a až 417d.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obsahuje informáciu a vysvetlenie o tom, prečo sa navrhuje trestný čin porušenia reštriktívneho opatrenia zaradiť do dvanástej hlavy osobitnej časti Trestného zákona. Pôvodný návrh znenia jednotlivých skutkových podstát bol detailnejšie upravený.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Systematické umiestnenie predmetných trestných činov do dvanástej hlavy osobitnej časti Trestného zákona vyplýva z objektu chráneného týmto trestným činom, ktorý je determinovaný cieľom smernice (EÚ) 2024/1226, na základe ktorej sa prijíma. Ide predovšetkým najmä o zachovanie medzinárodného mieru a bezpečnosti, celistvosť vnútorného trhu v Únii, ochranu hodnôt EÚ ako aj upevňovanie a podporu demokracie, právneho štátu a ľudských práv. Účinným presadzovaním reštriktívnych opatrení, a to aj prostredníctvom trestnoprávnych opatrení zameraných na riešenie porušovania reštriktívnych opatrení, sa podporuje presadzovanie týchto spoločných hodnôt v EÚ aj mimo nej. Z tohto pohľadu predkladaný návrh zákona tak zaraďuje predmetné trestné činy medzi trestné činy proti mieru rovnako ako tomu bolo v prípade uchopenia danej problematiky aj v rámci vládneho návrhu zákona, ktorým sa mení a dopĺňa Trestný zákon v znení neskorších predpisov a ktorým sa menia a dopĺňajú niektoré zákony (tlač 1528). Nejaví sa preto ako účelné vytvárať v rámci dvanástej hlavy nový oddiel výlučne pre tento typ trestnej činnosti, o ktorej transpozíciu ide.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osobitnej časti dôvodovej správy je potrebné doplniť informáciu, či môže byť subjektom trestného činu porušenia reštriktívneho opatrenia podľa § 417a Trestného zákona orgán verejnej správy, resp. zamestnanec orgánu verejnej správy (napríklad ak poskytovateľ nenávratného finančného príspevku podľa zákona č. 121/2022 Z. z. o príspevkoch z fondov Európskej únie a o zmene a doplnení niektorých zákonov v znení neskorších predpisov poskytuje nenávratný finančný príspevok prijímateľovi).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osobitnej časti dôvodovej správy k § 417a  je uvedené, že páchateľom trestného činu môže byť ktokoľvek, nepovažujeme preto za potrebné špecifikovať o aké osoby môže ísť a uvádzať ich demonštratívny výpočet. To, či bude konanie pričítateľné orgánu verejnej správy alebo zamestnancovi tohto orgánu záleží od konkrétneho prípadu.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a v čl. I úvodnej vete vypustiť slová „mení a“ ako nadbytočné, v čl. I úvodnej vete slová „nálezu Ústavného súdu Slovenskej republiky č. 41/2024 Z. z., zákona č. 47/2024 Z. z., zákona č. 214/2024 Z. z. a nálezu Ústavného súdu Slovenskej republiky č. 215/2024 Z. z.“ nahradiť slovami „uznesenia Ústavného súdu Slovenskej republiky č. 41/2024 Z. z., zákona č. 47/2024 Z. z., zákona č. 214/2024 Z. z., nálezu Ústavného súdu Slovenskej republiky č. 215/2024 Z. z. a zákona č. 248/2024 Z. z.“, v bode 7 § 417d ods. 1 slovo „tranzitu“ nahradiť slovom „tranzit“, v bode 8 úvodnú vetu preformulovať takto: „Príloha č. 3 sa dopĺňa tridsiatym prvým bodom, ktorý znie:“, v čl. II bode 3 úvodnú vetu preformulovať takto: „Príloha sa dopĺňa dvadsiatym prvým bodom, ktorý znie:“, v čl. IV bode 1 slová „prvý bod“ nahradiť slovami „prvom bode“, v bode 2 úvodnej vete slová „bod 1.“ nahradiť slovami „prvý bod“ a slová „bodom 2.“ nahradiť slovami „druhým bodom“, v osobitnej časti dôvodovej správy vymeniť poradie č. III a IV).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bodom 5 a 7</w:t>
              <w:br/>
            </w:r>
            <w:r>
              <w:rPr>
                <w:b w:val="off"/>
                <w:color w:val="000000"/>
                <w:rFonts w:ascii="Times New Roman" w:hAnsi="Times New Roman" w:cs="Times New Roman" w:eastAsia="Times New Roman"/>
                <w:sz w:val="24"/>
              </w:rPr>
              <w:t>V bode 5 § 127 ods. 13 a bode 7 § 417d ods. 1 odporúčame slová „označená fyzická osoba“ vo všetkých tvaroch nahradiť slovami „sankcionovaná fyzická osoba“ v príslušnom tvare. Uvedené navrhujeme za účelom zosúladenia s pojmom „sankcionovaná osoba“, ktorý je už zavedený v zákone o vykonávaní medzinárodných sankcií. Uvedenú úpravu je potrebné vykonať aj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návrh definície bol síce zmenený, ale v inom znení. Z dôvodu dôslednej transpozície návrh používa pojmy, ktoré zavádza smernica.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bodom 5 a 7</w:t>
              <w:br/>
            </w:r>
            <w:r>
              <w:rPr>
                <w:b w:val="off"/>
                <w:color w:val="000000"/>
                <w:rFonts w:ascii="Times New Roman" w:hAnsi="Times New Roman" w:cs="Times New Roman" w:eastAsia="Times New Roman"/>
                <w:sz w:val="24"/>
              </w:rPr>
              <w:t>Za účelom dôslednej transpozície smernice je potrebné objasniť, ako boli do návrhu Trestného zákona prenesené v smernici používané pojmy „označený subjekt alebo orgán“. V smernici sú tieto pojmy použité, pričom návrh Trestného zákona definíciu týchto pojmov neobsahuje.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7 § § 417a až 417c</w:t>
              <w:br/>
            </w:r>
            <w:r>
              <w:rPr>
                <w:b w:val="off"/>
                <w:color w:val="000000"/>
                <w:rFonts w:ascii="Times New Roman" w:hAnsi="Times New Roman" w:cs="Times New Roman" w:eastAsia="Times New Roman"/>
                <w:sz w:val="24"/>
              </w:rPr>
              <w:t xml:space="preserve">V § 417a ods. 1 odporúčame upresnenie slov „v rozsahu najmenej 10 000 eur“ a jeho aplikácie.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nie je zrejmé, na čo konkrétne sa uvedená suma vzťahuje, či ide o výšku spôsobenej škody vzniknutej z dôvodu porušenia príkazu, zákazu alebo obmedzenia alebo o výšku sankcie udelenej za porušenie príkazu, zákazu alebo obmedzenia, prípadne o inú skutočnosť. Problém môže nastať napríklad v prípade porušenia zákazu poskytovať službu (napríklad zákaz poskytovať službu určitej osobe, zákaz poskytovať službu súbežne s inou službou). Aj keď samotné poskytovanie služby mohlo byť vykonané podľa príslušných predpisov a výsledkom poskytnutia služby nie je spôsobená škoda, porušením je už samotný úkon poskytnutia tejto služby. V danom prípade je potrebné upresniť, ako sa má uvedená suma vykladať, či sa má vzťahovať na odmenu za poskytnutie služby, ktorej poskytovanie je zakázané alebo na inú skutočnosť. Odporúčame spresniť formuláciu tak, aby jednoznačne vyjadrovala, či ide o hodnotu finančných prostriedkov, hospodárskych zdrojov alebo hodnotu tovaru, služieb, transakcií alebo iných činností v súvislosti s reštriktívnym opatrením alebo o inú hodnotu. Uvedená nejasnosť môže viesť k výkladovým problémom v aplikačnej praxi. Uvedené sa analogicky vzťahuje aj na ustanovenia § 417a ods. 2, § 417b ods. 1 a § 417c ods. 1 a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Upresnenie slov je špecifikované v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Za bod 3 odporúčame vložiť nový novelizačný bod 4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 86 ods. 1 písmeno d) znie: </w:t>
              <w:br/>
            </w:r>
            <w:r>
              <w:rPr>
                <w:b w:val="off"/>
                <w:color w:val="000000"/>
                <w:rFonts w:ascii="Times New Roman" w:hAnsi="Times New Roman" w:cs="Times New Roman" w:eastAsia="Times New Roman"/>
                <w:sz w:val="24"/>
              </w:rPr>
              <w:t xml:space="preserve"> „d) skrátenia dane a poistného podľa § 276, neodvedenia dane a poistného podľa § 277 alebo nezaplatenia dane a poistného podľa § 278, ak páchateľ nespáchal trestný čin ako člen organizovanej skupiny alebo ako člen zločineckej skupiny a ak splatná daň a jej príslušenstvo, o ktorom bolo právoplatne rozhodnuté správcom dane alebo ak nebolo právoplatne rozhodnuté a lehota na rozhodnutie uplynula, príslušenstvo vo výške polovice splatnej dane, alebo poistné boli dodatočne zaplatené najneskôr do 60 dní od právoplatnosti vznesenia obvinenia,“.“.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platného znenia § 86 ods. 1 písm. d) stačí páchateľom vybraných daňových trestných činov počkať na výsledok vyšetrovania, ktoré buď neodhalilo ich daňovú trestnú činnosť a aj v prípade, že ju odhalilo, tak sa páchateľ môže vyhnúť trestnej zodpovednosti dodatočným zaplatením dane a jej príslušenstva v rozsahu, v akom bola táto trestná činnosť vyšetrovaním odhalená. Pritom ide o úmyselné trestné činy, pri ktorých si páchateľ úmyselne upraví daňové priznanie tak, aby mu vyšla nižšia daň. V navrhovanom znení § 86 ods. 1 písm. d) sa skracuje lehota na dodatočné zaplatenie splatnej dane a jej príslušenstva alebo poistného pre uplatnenie účinnej ľútosti do 60 dní od právoplatnosti vznesenia obvinenia a nie až potom, čo sa vykoná celé náročné vyšetrovanie. Ustanovenie sa rozširuje aj o príslušenstvo splatnej dane vo výške polovice splatnej dane v prípade, ak nebolo o príslušenstve právoplatne rozhodnuté a lehota na rozhodnutie uplynula.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predkladaného návrhu zákona je výlučne transpozícia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Za bod 6 odporúčame vložiť nový novelizačný bod 7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346 ods. 1 sa za slová „Slovenskou republikou“ vkladajú slová „alebo pri správe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Trestný čin krivej výpovede a krivej prísahy sa rozširuje o úmyselné konanie spočívajúce v krivej výpovedi pri správe daní. V praxi sa neosvedčilo súčasné kvalifikovanie takéhoto konania ako priestupku podľa § 21 zákona Slovenskej národnej rady č. 372/1990 Zb. o priestupkoch v znení neskorších predpisov (§ 25 ods. 2 zákona č. 563/2009 Z. z. daňového poriadku). Páchateľovi takéhoto priestupku hrozila iba pokuta do 99 eur, pričom škoda na verejných financiách spôsobená krivou výpoveďou v daňovom konaní môže dosahovať milióny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predkladaného návrhu zákona je výlučne transpozícia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7 - § 417a ods. 1 a 2</w:t>
              <w:br/>
            </w:r>
            <w:r>
              <w:rPr>
                <w:b w:val="off"/>
                <w:color w:val="000000"/>
                <w:rFonts w:ascii="Times New Roman" w:hAnsi="Times New Roman" w:cs="Times New Roman" w:eastAsia="Times New Roman"/>
                <w:sz w:val="24"/>
              </w:rPr>
              <w:t xml:space="preserve">Žiadame predkladateľa, aby objasnil uplatňovanie ustanovení § 417 ods. 1 a 2 vo vzťahu k výkonu štátnej správy. </w:t>
              <w:br/>
            </w:r>
            <w:r>
              <w:rPr>
                <w:b w:val="off"/>
                <w:color w:val="000000"/>
                <w:rFonts w:ascii="Times New Roman" w:hAnsi="Times New Roman" w:cs="Times New Roman" w:eastAsia="Times New Roman"/>
                <w:sz w:val="24"/>
              </w:rPr>
              <w:t>Odôvodnenie: Verejný činiteľ pri posudzovaní napr. žiadostí o výnimku zo sankcie musí posudzovať často aj technické parametre výrobkov (napr. ich vplyv na bezpečnosť fungovania civilných jadrových zariadení). Navyše, legislatíva EÚ upravujúca sankcie je rozsiahla, rýchlo sa mení a zahŕňa mnohé predpisy, či už v rámci komunitárneho práva (EÚ), taktiež akty medzinárodného práva (napr. záväzné rezolúcie Bezpečnostnej rady OSN), pričom neexistuje pri uplatňovaní týchto predpisov jediný príslušný zákonodarný ani vykonávací orgán, ale viacero, navyše na viacerých úrovniach aplikácie a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nepovažuje sa žiadúce ďalšie bližšie objasňovanie týchto ustanovení vo vzťahu k výkonu štátnej správy, nakoľko osobitná časť dôvodovej správy už uvádza, kto môže byť páchateľom tohto činu, t. j. ktokoľvek (všeobecný subjekt), kto je trestne zodpovedný, pričom ide o úmyselný trestný čin.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7 - § 417b ods. 2 písm. a)</w:t>
              <w:br/>
            </w:r>
            <w:r>
              <w:rPr>
                <w:b w:val="off"/>
                <w:color w:val="000000"/>
                <w:rFonts w:ascii="Times New Roman" w:hAnsi="Times New Roman" w:cs="Times New Roman" w:eastAsia="Times New Roman"/>
                <w:sz w:val="24"/>
              </w:rPr>
              <w:t xml:space="preserve">Žiadame predkladateľa o doplnenie a konkretizovanie priťažujúcej okolnosti vzhľadom na doterajšiu skúsenosť príslušného správneho orgánu. </w:t>
              <w:br/>
            </w:r>
            <w:r>
              <w:rPr>
                <w:b w:val="off"/>
                <w:color w:val="000000"/>
                <w:rFonts w:ascii="Times New Roman" w:hAnsi="Times New Roman" w:cs="Times New Roman" w:eastAsia="Times New Roman"/>
                <w:sz w:val="24"/>
              </w:rPr>
              <w:t>Napr.: spôsobenie škody v rozsahu najmenej 100 000 eur; škoda spáchaná z osobitného motívu...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7 - § 417b ods. 2 písm. b)</w:t>
              <w:br/>
            </w:r>
            <w:r>
              <w:rPr>
                <w:b w:val="off"/>
                <w:color w:val="000000"/>
                <w:rFonts w:ascii="Times New Roman" w:hAnsi="Times New Roman" w:cs="Times New Roman" w:eastAsia="Times New Roman"/>
                <w:sz w:val="24"/>
              </w:rPr>
              <w:t>Žiadame vypustenie navrhovaného ustanovenia („ako verejný činiteľ“) alebo, v prípade ponechania priťažujúcej okolnosti (spáchanie činu verejným činiteľom), považujeme za nevyhnutné uviesť v ustanovení úpravu priťažujúcej okolnosti v podobe úmyselného spáchania činu takouto osobou, aby bolo explicitne zrejmé, že sa nemá na mysli spáchanie činu hrubou nedbanlivosťou.</w:t>
              <w:br/>
            </w:r>
            <w:r>
              <w:rPr>
                <w:b w:val="off"/>
                <w:color w:val="000000"/>
                <w:rFonts w:ascii="Times New Roman" w:hAnsi="Times New Roman" w:cs="Times New Roman" w:eastAsia="Times New Roman"/>
                <w:sz w:val="24"/>
              </w:rPr>
              <w:t>Odôvodnenie: Verejný činiteľ pri posudzovaní napr. žiadostí o výnimku zo sankcie alebo žiadostí o vydanie povolenia/licencie pre dovozy/vývozy výrobkov obranného priemyslu/položiek s dvojakým použitím musí často posudzovať technické parametre výrobkov, ktoré nevedia jednoznačne posúdiť ani experti na úrovni EÚ (v rámci tzv. Pool of Experts). Trestná zodpovednosť verejného činiteľa v rozsahu hrubej nedbanlivosti je pri reáliách týchto typov správnych konaní nemysliteľná.</w:t>
              <w:br/>
            </w:r>
            <w:r>
              <w:rPr>
                <w:b w:val="off"/>
                <w:color w:val="000000"/>
                <w:rFonts w:ascii="Times New Roman" w:hAnsi="Times New Roman" w:cs="Times New Roman" w:eastAsia="Times New Roman"/>
                <w:sz w:val="24"/>
              </w:rPr>
              <w:t>Navyše, legislatíva EÚ, upravujúca sankcie je rozsiahla, rýchlo sa mení a zahŕňa mnohé predpisy, či už v rámci komunitárneho práva (EÚ), taktiež akty medzinárodného práva (napr. záväzné rezolúcie Bezpečnostnej rady OSN), pričom neexistuje pri uplatňovaní týchto predpisov jediný príslušný zákonodarný ani vykonávací orgán, ale viacero, navyše na viacerých úrovniach aplikácie a pôsobnosti. V praxi to znamená, že do rozhodovacieho konania sú zapojené mnohé národné a nadnárodné inštitúcie a orgány (napr. viď čl. 14 nariadenia č. 821/2021).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7 - § 417c ods. 1</w:t>
              <w:br/>
            </w:r>
            <w:r>
              <w:rPr>
                <w:b w:val="off"/>
                <w:color w:val="000000"/>
                <w:rFonts w:ascii="Times New Roman" w:hAnsi="Times New Roman" w:cs="Times New Roman" w:eastAsia="Times New Roman"/>
                <w:sz w:val="24"/>
              </w:rPr>
              <w:t>Žiadame bližšie špecifikovať slovné spojenie „informačnú povinnosť“.</w:t>
              <w:br/>
            </w:r>
            <w:r>
              <w:rPr>
                <w:b w:val="off"/>
                <w:color w:val="000000"/>
                <w:rFonts w:ascii="Times New Roman" w:hAnsi="Times New Roman" w:cs="Times New Roman" w:eastAsia="Times New Roman"/>
                <w:sz w:val="24"/>
              </w:rPr>
              <w:t>Odôvodnenie: Navrhované slovné spojenie je príliš neurčité. Máme za to, že je ho potrebné podrobnejšie upraviť alebo k nemu pridať legislatívny odkaz na zákon č. 289/2016 Z. z. o vykonávaní medzinárodných sankcií a o doplnení zákona č. 566/2001 Z. z. o cenných papieroch a investičných službách a o zmene a doplnení niektorých zákonov (zákon o cenných papieroch) v znení neskorších predpisov. Je potrebné spresniť, že ide o informačnú povinnosť vyplývajúcu z národnej legislatívy konkrétnym odkazom na ňu.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417c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7 - § 417e</w:t>
              <w:br/>
            </w:r>
            <w:r>
              <w:rPr>
                <w:b w:val="off"/>
                <w:color w:val="000000"/>
                <w:rFonts w:ascii="Times New Roman" w:hAnsi="Times New Roman" w:cs="Times New Roman" w:eastAsia="Times New Roman"/>
                <w:sz w:val="24"/>
              </w:rPr>
              <w:t>Žiadame pridať k navrhovanému slovnému spojeniu „v súlade s medzinárodným humanitárnym právom“ odkaz na príslušné sankčné predpisy EÚ, keďže každá konkrétna sankcia má konkrétne definované výnimky, alebo zapracovať bližšie špecifikovanú definíciu pojmu napr. do piatej hlavy medzi výklad pojmov.</w:t>
              <w:br/>
            </w:r>
            <w:r>
              <w:rPr>
                <w:b w:val="off"/>
                <w:color w:val="000000"/>
                <w:rFonts w:ascii="Times New Roman" w:hAnsi="Times New Roman" w:cs="Times New Roman" w:eastAsia="Times New Roman"/>
                <w:sz w:val="24"/>
              </w:rPr>
              <w:t>Odôvodnenie: Pojem „medzinárodného humanitárneho práva“ je príliš široký, dokazovanie bude nielen náročné, ale vďaka jeho prílišnej vágnosti vzniká navyše značné riziko obchádzania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10.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417e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predkladateľovi doplniť  časť 10. Poznámky o podrobnejšie informácie o konzultáciách       </w:t>
              <w:br/>
            </w:r>
            <w:r>
              <w:rPr>
                <w:b w:val="off"/>
                <w:color w:val="000000"/>
                <w:rFonts w:ascii="Times New Roman" w:hAnsi="Times New Roman" w:cs="Times New Roman" w:eastAsia="Times New Roman"/>
                <w:sz w:val="24"/>
              </w:rPr>
              <w:t>Odôvodnenie:  Predkladateľ môže vymenovať subjekty, ktoré sa konzultácií zúčastnili, ich diskutované témy, alternatívy navrhnuté subjektmi a podobne.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doplniť  v časti 11. Kontakt na spotrebiteľa – telefonický kontakt. Ďalej doplniť aj chýbajúce časť 12. Zdroje – odkiaľ predkladateľ čerpal ( údaje, čísla, fakty).</w:t>
              <w:br/>
            </w:r>
            <w:r>
              <w:rPr>
                <w:b w:val="off"/>
                <w:color w:val="000000"/>
                <w:rFonts w:ascii="Times New Roman" w:hAnsi="Times New Roman" w:cs="Times New Roman" w:eastAsia="Times New Roman"/>
                <w:sz w:val="24"/>
              </w:rPr>
              <w:t>Odôvodnenie: Uvedené časti sa odporúčajú uviesť podľa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7 - § 417e</w:t>
              <w:br/>
            </w:r>
            <w:r>
              <w:rPr>
                <w:b w:val="off"/>
                <w:color w:val="000000"/>
                <w:rFonts w:ascii="Times New Roman" w:hAnsi="Times New Roman" w:cs="Times New Roman" w:eastAsia="Times New Roman"/>
                <w:sz w:val="24"/>
              </w:rPr>
              <w:t>Navrhujeme opraviť preklep v označení ustanovenia § 471. (417)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417a</w:t>
              <w:br/>
            </w:r>
            <w:r>
              <w:rPr>
                <w:b w:val="off"/>
                <w:color w:val="000000"/>
                <w:rFonts w:ascii="Times New Roman" w:hAnsi="Times New Roman" w:cs="Times New Roman" w:eastAsia="Times New Roman"/>
                <w:sz w:val="24"/>
              </w:rPr>
              <w:t>V § 417a ods. 1 a 2 navrhujeme konkretizovať pojem „v rozsahu najmenej 10 000 eur“ resp. „v rozsahu najmenej 100 000 eur“. Nie je jasné, či sa táto prahová hodnota môže dosiahnuť sériou konaní uvedených v článku 3 odseku 1 písm. a), b) a d) až i) transponovanej smernice aj vtedy, ak tieto konania nie sú prepojené alebo rovnakého druhu.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Konkretizovanie pojmu " v rozsahu najmenej 10 000 eur" je uvedené v dôvodovej správe, rovnako ako informácia týkajúca sa pokračovacieho trestného činu, ktorá vyplýva z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417b</w:t>
              <w:br/>
            </w:r>
            <w:r>
              <w:rPr>
                <w:b w:val="off"/>
                <w:color w:val="000000"/>
                <w:rFonts w:ascii="Times New Roman" w:hAnsi="Times New Roman" w:cs="Times New Roman" w:eastAsia="Times New Roman"/>
                <w:sz w:val="24"/>
              </w:rPr>
              <w:t>V § 417b ods. 1 navrhujeme za slovo „kto“ a za slovo „nedbanlivosti“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417e</w:t>
              <w:br/>
            </w:r>
            <w:r>
              <w:rPr>
                <w:b w:val="off"/>
                <w:color w:val="000000"/>
                <w:rFonts w:ascii="Times New Roman" w:hAnsi="Times New Roman" w:cs="Times New Roman" w:eastAsia="Times New Roman"/>
                <w:sz w:val="24"/>
              </w:rPr>
              <w:t>V § 417e odporúčame upraviť znenie tak, aby nespájal slovo „trestný“ so slovom „kto“, keďže trestným môže alebo nemôže byť čin, ale nie osoba.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Platné znenie Trestného zákona používa predkladateľom použitú legislatívnu techniku, napr. § 339 ods. 3 Trestného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odporúčame do úvodnej vety doplniť aj skrátenú citáciu zákona č. 248/2024 Z. z., ktorým bol Trestný zákon taktiež novelizovaný.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návrhu zákona</w:t>
              <w:br/>
            </w:r>
            <w:r>
              <w:rPr>
                <w:b w:val="off"/>
                <w:color w:val="000000"/>
                <w:rFonts w:ascii="Times New Roman" w:hAnsi="Times New Roman" w:cs="Times New Roman" w:eastAsia="Times New Roman"/>
                <w:sz w:val="24"/>
              </w:rPr>
              <w:t>Znenie navrhovaného ustanovenia § 16a odporúčame nahradiť napr. týmto znením: „§ 16a Trestný čin je spáchaný z hrubej nedbanlivosti, ak páchateľ obzvlášť ľahostajne alebo závažne nezachoval obvyklú opatrnosť alebo obvyklú starostlivosť a porušil povinnosť vyplývajúcu z jeho zamestnania, povolania, postavenia alebo funkcie alebo z osobitného predpisu a toto porušenie viedlo k ohrozeniu alebo porušeniu záujmu chráneného týmto zákonom.“.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prehodnotiť navrhované vymedzenie trestného činu spáchaného z hrubej nedbanlivosti v § 16a tak, aby jeho znenie bolo formulované jednoznačne a bolo v súlade s odôvodnením uvedeným k čl. I bodu 2 návrhu zákona. Navrhujeme aj úpravy v súlade s bodmi 3, 22.1. a 22.12. prílohy č. 1 k Legislatívnym pravidlám vlády SR. Odporúčame vymedziť povinnosti, na plnenie ktorých sa má vzťahovať obvyklá opatrnosť alebo starostlivosť, pričom poukazujeme na odôvodnenie navrhovaného znenia § 16a, z ktorého vyplýva, že hrubá nedbanlivosť „z objektívneho hľadiska musí byť determinovaná existenciou všeobecne záväzných právnych predpisov“. V súvislosti s odkazom na osobitný predpis poukazujeme na znenie § 3 ods. 1 zákona č. 289/2016 Z. z. v znení zákona č. 52/2018 Z. z., podľa ktorého medzinárodnú sankciu, ktorá nevyplýva z priamo uplatniteľného predpisu o medzinárodnej sankcii podľa § 2 písm. b) tohto zákona, vyhlasuje vláda SR nariadením vlády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uskutočnených rozporových konaní došlo k podstatnej zmene pôvodného návrhu definície.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 návrhu zákona</w:t>
              <w:br/>
            </w:r>
            <w:r>
              <w:rPr>
                <w:b w:val="off"/>
                <w:color w:val="000000"/>
                <w:rFonts w:ascii="Times New Roman" w:hAnsi="Times New Roman" w:cs="Times New Roman" w:eastAsia="Times New Roman"/>
                <w:sz w:val="24"/>
              </w:rPr>
              <w:t xml:space="preserve">V navrhovanom znení § 417b odporúčame za slovo „obmedzenie“ vložiť slová „vyplývajúce z reštriktívneho opatrenia“ a slová „v osobitných predpisoch a vyplývajúce z reštriktívneho opatrenia“ nahradiť slovami „v osobitnom predpise“.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ustanovenia § 417b v súlade s bodmi 3, 22.12 a 62.3. prílohy č. 1 k Legislatívnym pravidlám vlády SR, ako aj štylistickú úpravu jeho znenia. Navrhujeme pritom zohľadniť skutočnosť, že zoznamy položiek dvojakého použitia sú uvedené v prílohách nariadenia Európskeho parlamentu a Rady (EÚ) 2021/821 z 20. mája 2021, ktorým sa stanovuje režim Únie na kontrolu vývozov, sprostredkovania, technickej pomoci, tranzitu a transferu položiek s dvojakým použití v platnom znení, pričom Spoločný zoznam vojenského materiálu Európskej únie nemá povahu právne záväzného aktu Európskej únie podľa čl. 288 Zmluvy o fungovaní Európskej únie. Navrhované znenie § 417b teda odkazuje iba na nariadenie (EÚ) 2021/821 v platnom znení, nie aj na opatrenie Ministerstva hospodárstva SR č. 1/2024 z 3. júna 2024, ktorým sa vydáva zoznam výrobkov obranného priemyslu na základe § 43 písm. a) zákona č. 392/2011 Z. z. o obchodovaní s výrobkami obranného priemyslu a o zmene a doplnení niektorých zákonov. Poznamenávame, že podľa smernice Európskeho parlamentu a Rady 2009/43/ES zo 6. mája 2009 o zjednodušení podmienok pre transfery výrobkov obranného priemyslu v rámci Spoločenstva v platnom znení, konkrétne podľa odsekov 10 a 37 recitálu a čl. 13 by sa zoznam výrobkov obranného priemyslu mal aktualizovať podľa Spoločného zoznamu vojenského materiálu Európskej únie, teda dané zoznamy by sa mali unifikovať, pričom  aktualizácia zoznamu výrobkov obranného priemyslu v nadväznosti na Spoločný zoznam vojenského materiálu Európskej únie môže trvať nejaký čas.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uskutočnených rozporových konaní došlo k podstatnej zmene pôvodného návrhu skutkovej podstaty podľa § 417b.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osobitnej časti</w:t>
              <w:br/>
            </w:r>
            <w:r>
              <w:rPr>
                <w:b w:val="off"/>
                <w:color w:val="000000"/>
                <w:rFonts w:ascii="Times New Roman" w:hAnsi="Times New Roman" w:cs="Times New Roman" w:eastAsia="Times New Roman"/>
                <w:sz w:val="24"/>
              </w:rPr>
              <w:t xml:space="preserve">V odôvodnení čl. I bodu 7 návrhu zákona odporúčame v časti s názvom „Všeobecne“ na str. 5 slovo „nižšou“ nahradiť slovom „vyššou“.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opraviť zrejmú nesprávnosť v odôvodnení všeobecnej skutkovej podstaty trestného činu porušenia reštriktívneho opatrenia vzhľadom na znenie ustanovenia § 417a, ako aj obsah predchádzajúcej časti vety predmetného odôvodnenia.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V bode 7 doložky vybraných vplyvov odporúčame zvážiť vyznačenie goldplatingu v súvislosti s navrhovaným znením čl. I bodov 1 a 6 návrhu zákona.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zvážiť uvedenie goldplatingu v rámci doložky vybraných vplyvov vo vzťahu k navrhovanému zneniu § 5a a § 137b, a to vzhľadom na znenie čl. 2 ods. 1 a čl. 12 preberanej smernice Európskeho parlamentu a Rady (EÚ) 2024/1226 z 24. apríla 2024 o vymedzení trestných činov a sankcií za porušenie reštriktívnych opatrení Únie a zmene smernice (EÚ) 2018/1673.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má za to, že navrhované zmeny nepredstavujú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Odporúčame v úvodnej vete Čl. I doplniť skrátenú citáciu zákona č. 248/2024 Z. z. </w:t>
              <w:br/>
            </w:r>
            <w:r>
              <w:rPr>
                <w:b w:val="off"/>
                <w:color w:val="000000"/>
                <w:rFonts w:ascii="Times New Roman" w:hAnsi="Times New Roman" w:cs="Times New Roman" w:eastAsia="Times New Roman"/>
                <w:sz w:val="24"/>
              </w:rPr>
              <w:t>o niektorých povinnostiach a oprávneniach v oblasti kryptoaktív a o zmene 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 xml:space="preserve">Odporúčame v osobitnej časti dôvodovej správy presunúť text k Čl. III za nadpis Čl. IV </w:t>
              <w:br/>
            </w:r>
            <w:r>
              <w:rPr>
                <w:b w:val="off"/>
                <w:color w:val="000000"/>
                <w:rFonts w:ascii="Times New Roman" w:hAnsi="Times New Roman" w:cs="Times New Roman" w:eastAsia="Times New Roman"/>
                <w:sz w:val="24"/>
              </w:rPr>
              <w:t>a naopak.</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7 (§ 417d ods. 1) je potrebné slovo „tranzitu“ nahradiť slovom „tranzit“.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7 (§ 417e) je potrebné slovo „§ 471a“ nahradiť slovom „§ 417a“.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 (§ 417e)</w:t>
              <w:br/>
            </w:r>
            <w:r>
              <w:rPr>
                <w:b w:val="off"/>
                <w:color w:val="000000"/>
                <w:rFonts w:ascii="Times New Roman" w:hAnsi="Times New Roman" w:cs="Times New Roman" w:eastAsia="Times New Roman"/>
                <w:sz w:val="24"/>
              </w:rPr>
              <w:t xml:space="preserve">V čl. I bode 7 § 417e odporúčame slová „§ 471a“ nahradiť slovami „§ 417a“.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Oprava nesprávneho vnútorného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konsolidovanému zneniu zákona č. 54/2019 Z. z.</w:t>
              <w:br/>
            </w:r>
            <w:r>
              <w:rPr>
                <w:b w:val="off"/>
                <w:color w:val="000000"/>
                <w:rFonts w:ascii="Times New Roman" w:hAnsi="Times New Roman" w:cs="Times New Roman" w:eastAsia="Times New Roman"/>
                <w:sz w:val="24"/>
              </w:rPr>
              <w:t>V konsolidovanom znení zákona č. 54/2019 Z. z. o ochrane oznamovateľov protispoločenskej činnosti a o zmene a doplnení niektorých zákonov v znení neskorších predpisov odporúčame v § 2 ods. 1 písm. d) prvý bod zosúladiť s novelizačným bodom 1 v čl. IV vlastného materiálu, ktorým nedochádza k vypusteniu § 352a.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Do Čl. I predkladaného návrhu zákona žiadame doplniť samostatný novelizačný bod, ktorým sa z Prílohy č. 3 k zákonu č. 300/2005 Z. z. (transpozičná príloha) vypustí zo Zoznamu preberaných právne záväzných aktov Európskej únie bod 2, obsahujúci neúčinné rámcové rozhodnutie 2000/383/SVV, bod 3, obsahujúci neúčinné rámcové rozhodnutie 2001/220/SVV, bod 4, obsahujúci neúčinné rámcové rozhodnutie 2001/413/SVV, bod 6, obsahujúci neúčinné rámcové rozhodnutie 2002/475/SVV, bod 11, obsahujúci neúčinné rámcové rozhodnutie 2005/222/SVV a bod 12, obsahujúci neúčinné rámcové rozhodnutie 2008/919/SVV.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Do Čl. I predkladaného návrhu zákona žiadame doplniť samostatný novelizačný bod, ktorým dôjde k úprave znenia Prílohy č. 3 k zákonu č. 300/2005 Z. z. (transpozičná príloha). Žiadame aby sa v bode 7 Prílohy č. 3 k zákonu č. 300/2005 Z. z. slovo „bydliska“ nahradilo slovom „pobytu“, a to v súlade s bodom 62.5. prílohy č. 1 k Legislatívnym pravidlám vlády SR, podľa ktorého sa citácia právne záväzného aktu Európskej únie musí zhodovať s názvom uverejneným v úradnej zbierke právne záväzných aktov Európskej únie (Ú. v. ES alebo Ú. v.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3.	Do Čl. II predkladaného návrhu zákona žiadame doplniť samostatný novelizačný bod, ktorým sa z Prílohy k zákonu č. 91/2016 Z. z. (transpozičná príloha) vypustí zo Zoznamu preberaných právne záväzných aktov Európskej únie bod 1, obsahujúci neúčinné rámcové rozhodnutie 2001/413/SVV a bod 2, obsahujúci neúčinné rámcové rozhodnutie 2002/475/SVV.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	V celej predloženej tabuľke zhody so smernicou (EÚ) 2024/1226 žiadame upraviť deviaty stĺpec v súlade s Prílohou č. 3 Legislatívnych pravidiel vlády Slovenskej republiky v platnom znení a poznámku „N“ nahradiť poznámkou „GP-N“, alebo v prípade identifikovania goldplatingu poznámkou „GP-A“.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2.	Žiadame preukázať transpozíciu čl. 2 ods. 2 smernice (EÚ) 2024/1226 do slovenského právneho poriadku. Uvádzané transpozičné opatrenie nepovažujeme za dostatočné na preukázanie úplnej transpozície. Smernica (EÚ) 2024/1226 považuje za označenú osobu, subjekt alebo orgán fyzickú alebo právnickú osobu, subjekt alebo orgán, pričom predkladaný návrh zákona určuje len pojem označená fyzická osoba.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účely navrhovaných skutkových podstát trestného činu porušenia reštriktívneho opatrenia sa javí ako postačujúca definícia označenej osoby v návrhu § 137b ods. 2: "Označenou osobou sa v súvislosti s reštriktívnym opatrením rozumie osoba alebo orgán, na ktoré sa vzťahujú reštriktívne opatrenia."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3.	Žiadame preukázať transpozíciu čl. 2 ods. 3, 4 a 5 smernice (EÚ) 2024/1226 do slovenského právneho poriadku,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4.	Upozorňujeme, že transpozícia čl. 3 ods. 1 písm. a), b), d), e), f), g), h) body i) a ii) smernice (EÚ) 2024/1226, ktorá je preukázaná v slovenskom právnom poriadku len prostredníctvom všeobecnej skutkovej podstaty uvedenej v § 417a predkladaného návrhu zákona, nebude dostatočná. Žiadame preto predkladateľa o preukázanie úplnej transpozície predmetného článku smernice (EÚ) 2024/1226 prostredníctvom bližšej špecifikácie konaní, ktoré sú trestným činom.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5.	Transpozíciu čl. 5 ods. 1 smernice (EÚ) 2024/1226 do slovenského právneho poriadku žiadame preukazovať aj § 34 ods. 1 zákona č. 300/2005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6.	Žiadame preukázať transpozíciu čl. 5 ods. 3 písm. e) smernice (EÚ) 2024/1226 do slovenského právneho poriadku. Transpozičné opatrenie predkladaného návrhu zákona uvedené v šiestom stĺpci tabuľky zhody so smernicou (EÚ) 2024/1226 určuje, že trestným činom je porušenie príkazu, zákazu alebo obmedzenia týkajúceho sa nakladania s položkami uvedenými na zozname vojenského materiálu Európskej únie alebo položkami s dvojakým použitím uvedenými v osobitných predpisoch vyplývajúce z reštriktívneho opatrenia v rozsahu najmenej 10 000 eur. Smernica (EÚ) 2024/1226 považuje takéto konanie za trestný čin bez ohľadu na hodnotu dotknutých položiek a preto máme za to, že sa jedná o prípad nesprávnej transpozície.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však zároveň v čl. 3 ods. 2 pripúšťa pre písmeno e) opciu netrestnosti konania, ak sa toto konanie týka finančných prostriedkov alebo hospodárskych zdrojov s hodnotou nižšou ako 10 000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7.	Pri preukazovaní transpozície čl. 5 ods. 4 smernice (EÚ) 2024/1226 žiadame vyplniť siedmy a deviaty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8.	Transpozíciu čl. 7 ods. 1 smernice (EÚ) 2024/1226 do slovenského právneho poriadku žiadame preukazovať aj § 31 ods. 1 a § 33a ods. 1, 2 a 3 zákona č. 300/2005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9.	Pri preukazovaní transpozície čl. 7 ods. 2 smernice (EÚ) 2024/1226 do slovenského právneho poriadku žiadame upraviť tretí stĺpec predkladanej tabuľky zhody. Podľa Prílohy 3 Legislatívnych pravidiel vlády Slovenskej republiky v platnom znení ak jednotlivé články obsahujú obligatórne, fakultatívne ustanovenia, alebo ustanovenia s viacerými možnosťami právnej úpravy, články sa rozdelia do jednotlivých riadkov s cieľom oddeliť tieto ustanovenia. Prvá veta predmetného ustanovenia predstavuje bežnú transpozíciu a preto žiadame doplniť do tretieho stĺpca označenie „N“, druhá veta čl. 7 ods. 2 smernice (EÚ) 2024/1226 je transpozičným ustanovením s možnosťou voľby a preto žiadame doplniť do tretieho stĺpca označenie „O“. Posledná veta čl. 7 ods. 2 smernice (EÚ) 2024/1226 predstavuje ustanovenie s dobrovoľnou transpozíciou a preto žiadame doplniť do tretieho stĺpca označenie „D“ a zároveň vyplniť pri tomto ustanovení siedmy a deviaty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10.	Pri preukazovaní transpozície čl. 11 ods. 4 smernice (EÚ) 2024/1226 do slovenského právneho poriadku žiadame v treťom stĺpci predkladanej tabuľky zhody uvádzať označenie „D“, nakoľko toto ustanovenie predstavuje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11.	Pri preukazovaní transpozície čl. 12 ods. 2 písm. d) smernice (EÚ) 2024/1226 do slovenského právneho poriadku žiadame upraviť označenie v treťom stĺpci predkladanej tabuľky zhody, nakoľko toto ustanovenie považujeme za ustanovenie s dobrovoľnou transpozíciou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12.	Žiadame preukázať transpozíciu čl. 15 smernice (EÚ) 2024/1226 do slovenského právneho poriadku. Zároveň žiadame doplniť označenie „N“ do tretieho stĺpca, nakoľko ide o ustanovenie s bežnou transpozíciou a vyplniť siedmy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Smernica nevyžaduje aby išlo o orgán, ktorý bol zriadený na základe zákona, má ísť o orgán, ktorý reálne existuje a vykonáva smernicou požadované činnosti. V tomto prípade je uvedeným orgánom NKS, ktorá bola  zriadená na základe uznesenia vlády SR č. 221 z 23. marca 2022.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13.	Žiadame preukázať transpozíciu čl. 16 ods. 1 smernice (EÚ) 2024/1226 do slovenského právneho poriadku. Zároveň žiadame doplniť označenie „N“ do tretieho stĺpca, nakoľko ide o ustanovenie s bežnou transpozíciou a vyplniť siedmy stĺpec predkladanej tabuľky zhody. V spojení s týmto ustanovením žiadame preukázať aj transpozíciu čl. 16 ods. 3 smernice (EÚ) 2024/1226.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transpozícia predstavuje ustálenú transpozičnú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14.	Žiadame preukázať transpozíciu čl. 16 ods. 4 smernice (EÚ) 2024/1226 do slovenského právneho poriadku. Zároveň žiadame doplniť označenie „N“ do tretieho stĺpca, nakoľko ide o ustanovenie s bežnou transpozíciou a vyplniť siedmy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nevyžaduje aby išlo o orgán, ktorý bol zriadený na základe zákona, má ísť o orgán, ktorý reálne existuje a vykonáva smernicou požadované činnosti. V tomto prípade je uvedeným orgánom NKS, ktorá bola  zriadená na základe uznesenia vlády SR č. 221 z 23. marca 2022.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15.	Žiadame preukázať transpozíciu čl. 17 ods. 1 a 2 smernice (EÚ) 2024/1226 do slovenského právneho poriadku. Uvádzané transpozičné opatrenia nie sú dostatočné na preukázanie úplnej transpozície, keďže smernica (EÚ) 2024/1226 vyžaduje od členských štátov Európskej únie zavedenie systému na zaznamenávanie, vytváranie a poskytovanie anonymizovaných štatistických údajov s cieľom monitorovať účinnosť svojich opatrení boja proti porušovaniu reštriktívnych opatrení Únie a transpozičné opatrenie poukazuje len na všeobecnú informačnú a oznamovaciu povinnosť ministerstiev a ostatných ústredných orgánov štátnej správy voči orgánom Európskej únie uvedenú v § 35 ods. 7 zákona č. 575/2001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transpozícia predstavuje ustálenú transpozičnú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16.	Žiadame preukázať transpozíciu čl. 17 ods. 3 smernice (EÚ) 2024/1226 do slovenského právneho poriadku. Domnievame sa, že uvádzané transpozičné opatrenie nie je dostatočné na preukázanie úplnej transpozície keďže smernica (EÚ) 2024/1226 vyžaduje zavedenie systému na zaznamenávanie, vytváranie a poskytovanie anonymizovaných štatistických údajov s cieľom monitorovať účinnosť svojich opatrení boja proti porušovaniu reštriktívnych opatrení Únie, z ktorého majú členské štáty zabezpečiť zverejňovanie konsolidovaných štatistík aspoň každé tri roky. Prípadne žiadame pri preukazovaní transpozície doplnenie informácie do ôsmeho stĺpca tabuľky zhody so smernicou (EÚ) 2024/1226, že zverejňovanie štatistických údajov na stránke Ministerstva spravodlivosti bude obsahovať štatistické údaje konkrétne aj o trestných činoch uvedených v § 417a až 417d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2024/1226</w:t>
              <w:br/>
            </w:r>
            <w:r>
              <w:rPr>
                <w:b w:val="off"/>
                <w:color w:val="000000"/>
                <w:rFonts w:ascii="Times New Roman" w:hAnsi="Times New Roman" w:cs="Times New Roman" w:eastAsia="Times New Roman"/>
                <w:sz w:val="24"/>
              </w:rPr>
              <w:t>17.	Žiadame preukázať transpozíciu čl. 18 smernice (EÚ) 2024/1226 do slovenského právneho poriadku prostredníctvom § 417a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druhom odseku predkladacej správy žiadame za názvom smernice (EÚ) 2024/1226 doplniť publikačný zdroj nasledovne: „(Ú. v. EÚ L, 2024/1226, 29.4.2024)“. Zároveň žiadame upraviť skrátenú citáciu v súlade s bodom 62.7. Prílohy č. 1 Legislatívnych pravidiel vlády Slovenskej republiky v platnom znení nasledovne: „(ďalej len „smernica (EÚ) 2024/1226“).“.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druhom odseku všeobecnej časti dôvodovej správy žiadame za názvom smernice (EÚ) 2024/1226 doplniť publikačný zdroj nasledovne: „(Ú. v. EÚ L, 2024/1226, 29.4.2024)“. Zároveň žiadame upraviť skrátenú citáciu v súlade s bodom 62.7. Prílohy č. 1 Legislatívnych pravidiel vlády Slovenskej republiky v platnom znení nasledovne: „(ďalej len „smernica (EÚ) 2024/1226“).“. Zavedenú skrátenú citáciu žiadame následne používať v celom texte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Do všeobecnej časti dôvodovej správy žiadame v súlade s Čl. 20 Legislatívnych pravidiel vlády Slovenskej republiky v platnom znení doplniť informáciu, či návrh zákona má byť predmetom vnútrokomunitárneho pripomienkového konania alebo či sa vnútrokomunitárne pripomienkové konanie uskutočnilo.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celom texte osobitnej časti dôvodovej správy žiadame upraviť skrátenú citáciu smernice (EÚ) 2024/1226 v súlade s  bodom 62.7. Prílohy č. 1 Legislatívnych pravidiel vlády Slovenskej republiky v platnom znení nasledovne: „(ďalej len „smernica (EÚ) 2024/1226“).“.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 bodom 2 a 3 žiadame za názov smernice (EÚ) 2024/1203 doplniť publikačný zdroj nasledovne: „(Ú. v. EÚ L 2024/1203, 30.4.2024)“.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Čl. I bodu 7 žiadame uvádzať celý názov nariadenia (EÚ) 2021/821 v platnom znení nasledovne: „Nariadenie Európskeho parlamentu a Rady (EÚ) 2021/821 z 20. mája 2021, ktorým sa stanovuje režim Únie na kontrolu vývozov, sprostredkovania, technickej pomoci, tranzitu a transferu položiek s dvojakým použitím (prepracované znenie) (Ú. v. EÚ L 206, 11.6.2021)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Žiadame upraviť osobitnú časť dôvodovej správy v časti týkajúcej sa čl. III a čl. IV. Poradie článkov nezodpovedá predkladanému návrhu zákona. Čl. III predkladaného návrhu zákona novelizuje zákon č. 289/2016 Z. z. a Čl. IV novelizuje zákon č. 54/2019.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za názvom smernice (EÚ) 2024/1226 doplniť publikačný zdroj nasledovne: „(Ú. v. EÚ L, 2024/1226, 29.4.2024)“.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druhom bode doložky vybraných vplyvov žiadame za názvom smernice (EÚ) 2024/1226 doplniť publikačný zdroj nasledovne: „(Ú. v. EÚ L, 2024/1226, 29.4.2024)“. Zároveň žiadame upraviť skrátenú citáciu v súlade s bodom 62.7. Prílohy č. 1 Legislatívnych pravidiel vlády Slovenskej republiky v platnom znení nasledovne: „(ďalej len „smernica (EÚ) 2024/1226“).“.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v písm. a) žiadame za Zmluvu o fungovaní Európskej únie doplniť publikačný zdroj nasledovne: „(Ú. v. EÚ C 202, 7.6.2016)“.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Žiadame vyplniť štvrtý bod písm. b)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Žiadame vypustiť informácie zo štvrtého bodu písm. c) doložky zlučiteľnosti, keďže transpozícia smernice (EÚ) 2024/1226 sa vykonáva predkladaným návrhom zákona. Zároveň žiadame doplniť do štvrtého bodu písm. c) doložky zlučiteľnosti informáciu, že k transpozícii smernice (EÚ) 2024/1226 dochádza predkladaným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 (§16a)</w:t>
              <w:br/>
            </w:r>
            <w:r>
              <w:rPr>
                <w:b w:val="off"/>
                <w:color w:val="000000"/>
                <w:rFonts w:ascii="Times New Roman" w:hAnsi="Times New Roman" w:cs="Times New Roman" w:eastAsia="Times New Roman"/>
                <w:sz w:val="24"/>
              </w:rPr>
              <w:t>Žiadame navrhnutú definíciu preformulovať, a to s ohľadom na argumenty uvedené v odôvodnení tejto pripomienky a subsumovať pod aktuálne platné a účinné ustanovenie §16. Taktiež navrhujeme úpravu definície hrubej nedbanlivosti tak, aby bolo zrejmé, že sa jej možno dopustiť len porušením všeobecne záväzného predpisu a neúmyselným konaním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Predkladateľ návrhu zákona navrhuje zaviesť definíciu hrubej nedbanlivosti, a to v novom § 16a.  Zastávame názor, že „hrubou nedbanlivosťou“ sa rozumie vyšší stupeň intenzity, resp. miery nedbanlivosti, či už vedomej alebo nevedomej, a to na základe prístupu (postoja) páchateľa k požiadavkám náležitej opatrnosti, ktorá svedčí o zrejmej a zároveň celkom zjavnej bezohľadnosti páchateľa k záujmom chráneným trestným zákonom. Kritérium nedbanlivosti v oboch jej formách je zachovanie určitej miery opatrnosti páchateľa, ktorá je spravidla charakterizovaná ako potrebná miera opatrnosti, pričom táto miera potrebnej opatrnosti je daná spojením objektívneho a subjektívneho hľadiska pri predvídaní spôsobeného porušenia alebo ohrozenia záujmu chráneného trestným zákonom. Hrubá nedbanlivosť by mala viazať intenzitu nedbanlivosti práve na postoj páchateľa k požiadavkám náležitej opatrnosti, pričom by prístup páchateľa k požiadavkám náležitej opatrnosti mal svedčať o jeho zrejmej bezohľadnosti k záujmom chráneným TZ. Zvláštnu pozornosť v tomto prípade treba venovať práve prístupu páchateľa k požiadavkám náležitej opatrnosti, nakoľko práve v tom by malo byť jadro posúdenia miery zavinenia, t.j. či jeho nedbanlivosť je hrubá alebo ľahká/menšia s nižšou mierou nedbanlivosti. Hrubá nedbanlivosť podľa teórie trestného práva nie je zvláštnym, resp. osobitným druhom nedbanlivosti (buď vedomej alebo nevedomej), ale je len vyjadrením miery nedbanlivosti či už vedomej alebo nevedomej.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zastávame názor, že predkladateľom navrhovaná definícia neobsahuje podstatné zložky zavinenia (vedomostnú a vôľovú) ako takého a nevykazuje potrebné zložky, ktoré by umožnili jej presné zaradenie do právneho rámca Trestného zákona. V definícii absentuje vedomostná zložka, ktorá predstavuje vzťah páchateľa k jeho konaniu a jeho možným následkom a vôľová zložka, ktorá vyjadruje postoj páchateľa k spôsobenému výsledku. Bez týchto prvkov ide skôr o popis povahy konania páchateľa, nie o zavinenie, ktoré by zahŕňalo vnútorný psychický vzťah páchateľa k podstatným zložkám trestného činu. Táto skutočnosť narúša konzistentnosť v rámci právneho systému, keďže zavinenie podľa § 15 a § 16 je vybudované na oboch zložkách – vedomostnej aj vôľovej.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v navrhovanej definícii „hrubej nedbanlivosti“ sa používa pojem „porušiť,“ ktorý sa však viaže na konanie páchateľa, zatiaľ čo v definíciách zavinenia podľa § 15 a § 16 sa tento pojem vzťahuje na záujem chránený Trestným zákonom. Tento nesúlad môže viesť k nejasnostiam pri aplikácii definície v praxi. Celkovo možno konštatovať, že navrhovaná definícia „hrubej nedbanlivosti“ sa zameriava na opis charakteru konania páchateľa (napr. „obzvlášť ľahostajné alebo závažné porušenie“), ale neobsahuje potrebné psychické aspekty, ktoré sú pre zavinenie kľúčové. Pre zabezpečenie jednoznačnosti a správneho výkladu navrhujeme, aby definícia zahŕňala kumulatívne podmienky reflektujúce vedomostnú aj vôľovú zložku, alebo aby sa požiadavky spojené s „hrubou nedbanlivosťou“ uvádzali priamo v skutkových podstatách príslušných trestných činov. Tento postup by zabezpečil konkrétnejšiu a presnejšiu aplikáciu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definície so zaradeným do samostatného § 16a umožňuje rôzny výklad vo vzťahu k určeniu formy zavinenia (úmysel, nedbanlivosť), keďže obsahuje znenie závažného porušenia povinnosti bez vylúčenia  porušenia tejto povinnosti úmyselným konaním.  Rozumieme, že „hrubá nedbanlivosť“ je nedbanlivostná forma zavinenia, preto by mala byť zaradená do tejto formy zavinenia, ktorá je upravená a definovaná v § 16. Definícia hrubej nedbanlivosti určuje podmienky konania a nie novú formu zavinenia.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  definície hrubej nedbanlivosti zároveň evokuje možnosť spáchania trestného činu porušením povinnosti, ktorá nebola stanovená všeobecne záväzným právnym predpisom, keďže definícia obsahuje možnosť porušenia povinnosti vyplývajúcej zo zamestnania a ďalších ALEBO uloženej všeobecne záväzným právnym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trestný čin je možné spáchať len ohrozením / porušením záujmu chráneného trestným zákonom, t. j. povinnosti vyplývajúcej zo všeobecne záväzného právneho predpisu. V tejto súvislosti poukazujeme na výkladovú prax NS SR (napr. viď v rozsudku NS SR, sp. zn. 3 Tdo 28/2008, v ktorom je uvedené: „Formulácia „dôležitá povinnosť vyplývajúca zo zamestnania, povolania, postavenia alebo funkcie“ je zákonodarcom volená tak, aby zahŕňala porušenie všetkých možných dôležitých povinností, ktoré páchateľovi vyplývajú z jeho povolania, zamestnania a pracovného zaradenia, pričom ide o povinnosti, ktoré majú vzťah k ochrane života a zdravia ľudí a ktoré sú z tohto hľadiska dôležité a uložené zákonom. Prax túto povinnosť interpretuje tak, že môže byť obsiahnutá okrem zákona aj v inom všeobecne záväznom právnom predpise alebo aj v konkrétnom príkaze vydanom na základe zákona a spôsobom uvedeným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definícia hrubej nedbanlivosti nebola viazaná na porušenie obvyklej starostlivosti a opatrnosti ale náležitej starostlivosti a opatrnosti a žiadame ich význam definovať a jasne opísať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11. decembra 2024.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Definícia bola primerane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3. (§17)</w:t>
              <w:br/>
            </w:r>
            <w:r>
              <w:rPr>
                <w:b w:val="off"/>
                <w:color w:val="000000"/>
                <w:rFonts w:ascii="Times New Roman" w:hAnsi="Times New Roman" w:cs="Times New Roman" w:eastAsia="Times New Roman"/>
                <w:sz w:val="24"/>
              </w:rPr>
              <w:t>Navrhovaný bod 3.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slov „alebo z hrubej nedbanlivosti“ v § 17 považujeme za nevhodné a aplikačne rizikové. Ustanovenie § 17 sa v súčasnosti subsidiárne uplatňuje na všetky trestné činy, pri ktorých osobitná časť Trestného zákona nevyžaduje úmyselné zavinenie ergo nedbanlivostné zavinenie sa v praxi vzťahuje na všetky prípady, kde nie je vyžadované úmyselné zavinenie. Navrhovaný bod 3. je spôsobilý v praxi viesť k tomu, že väčšina trestných činov by mohla byť posudzovaná dvojako – ako zavinenie z nedbanlivosti alebo z hrubej nedbanlivosti.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hrubá nedbanlivosť je formou zavinenia z nedbanlivosti a preto by nemalo byť v § 17 upravené ako osobitná forma zavinenia. Keďže nedbanlivosť v sebe zahŕňa aj hrubú nedbanlivosť, je takéto doplnenie formy zavinenia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rozšírenie by narušilo právnu istotu, keďže subsidiárny charakter § 17 zabezpečuje jasné a predvídateľné pravidlá aplikácie zavinenia. Doplnenie „hrubej nedbanlivosti“ by spôsobilo nejasnosti pri posudzovaní trestných činov, najmä tam, kde sú skutkové podstaty formulované všeobecnejšie. Bez jednoznačnej a jednotnej definície „hrubej nedbanlivosti“ by navyše hrozilo rozdielne uplatňovanie zákona, čo by znižovalo predvídateľnosť práva a mohlo viesť k nespravodlivým rozhodnutiam či neprimeraným trestnoprávnym dôsledkom ako aj zvýšenej právnej neistote pre obvinených.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11. decembra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6</w:t>
              <w:br/>
            </w:r>
            <w:r>
              <w:rPr>
                <w:b w:val="off"/>
                <w:color w:val="000000"/>
                <w:rFonts w:ascii="Times New Roman" w:hAnsi="Times New Roman" w:cs="Times New Roman" w:eastAsia="Times New Roman"/>
                <w:sz w:val="24"/>
              </w:rPr>
              <w:t>Uvedenú definíciu žiadame preformulovať a zúžiť výlučne len na tie porušenia, ktoré jednoznačne uvádza smernica 2024/1226 vo svojom článku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definície reštriktívneho opatrenia je neakceptovateľné, nakoľko odkazuje výlučne len na zákon č. 289/2016 Z.z.  o vykonávaní medzinárodných sankcií. Takto uvedenú definíciu považujeme za oveľa širšiu ako vyžaduje smernica 2024/1226. Daná smernica jednoznačne v článku 3. uvádza, úmyselné porušenie ktorých sankcií by malo byť posudzované ako trestný čin. Tak ako túto implementáciu predkladateľ uchopil porušuje zásadu proporcionality (právna úprava je neprimeraná vo vzťahu k sledovanému cieľu smernice), ohrozuje právnu istotu a porušuje zásadu legality v trestnom práve (zásada žiadny trestný čin ani trest bez zákona vyžaduje, aby bolo jasné a predvídateľné, čo je trestným činom. V danom prípade sa jedná o rozšírenie trestnej zodpovednosti nad rámec požiadaviek smernice, čo môže spôsobiť svojvoľné alebo neprimerané postihovanie).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11. decembra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7</w:t>
              <w:br/>
            </w:r>
            <w:r>
              <w:rPr>
                <w:b w:val="off"/>
                <w:color w:val="000000"/>
                <w:rFonts w:ascii="Times New Roman" w:hAnsi="Times New Roman" w:cs="Times New Roman" w:eastAsia="Times New Roman"/>
                <w:sz w:val="24"/>
              </w:rPr>
              <w:t xml:space="preserve">V bode 7. § 417b ods. 1 znie: </w:t>
              <w:br/>
            </w:r>
            <w:r>
              <w:rPr>
                <w:b w:val="off"/>
                <w:color w:val="000000"/>
                <w:rFonts w:ascii="Times New Roman" w:hAnsi="Times New Roman" w:cs="Times New Roman" w:eastAsia="Times New Roman"/>
                <w:sz w:val="24"/>
              </w:rPr>
              <w:t xml:space="preserve">„(1) Kto čo aj z hrubej nedbanlivosti poruší príkaz, zákaz alebo obmedzenie týkajúce sa obchodovania s položkami uvedenými v Spoločnom zozname vojenského materiálu Európskej únie alebo položkami s dvojakým použitím uvedenými v osobitných predpisoch ich dovozom, vývozom, predajom, nákupom, prevodom, tranzitom alebo prepravou ako aj poskytovaním sprostredkovateľských služieb, technickej pomoci alebo iných služieb súvisiacich s týmito položkami a vyplývajúce z reštriktívneho opatrenia v rozsahu najmenej 10 000 eur, potrestá sa odňatím slobody až na päť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„nakladanie s položkami“ uvedený v novele je výrazne širší a zahŕňa viac spôsobov konania ako navrhuje Smernica sankcionovať v čl. 3 ods. 1 písm. e). Smernica uvádza iba: „obchodovanie, dovoz, vývoz, predaj, nákup, prevod, tranzit alebo preprava, ako aj poskytovanie sprostredkovateľských služieb, technickej pomoci alebo iných služieb“. Navrhované znenie novely považujeme za gold plating.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7</w:t>
              <w:br/>
            </w:r>
            <w:r>
              <w:rPr>
                <w:b w:val="off"/>
                <w:color w:val="000000"/>
                <w:rFonts w:ascii="Times New Roman" w:hAnsi="Times New Roman" w:cs="Times New Roman" w:eastAsia="Times New Roman"/>
                <w:sz w:val="24"/>
              </w:rPr>
              <w:t>V ust. § 417b ods. 1 navrhujeme vypustiť slová: „uvedenými v osobitných predpisoch“ a žiadame ich nahradiť slovami „uvedených v prílohách I a IV k nariadeniu EÚ 2021/821“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pripomienkou žiadame predkladateľa o precíznu implementáciu smernice 2024/1226, a to konkrétne článku 3 bod 3. ustanovujúceho trestný čin spáchaný z hrubej nedbanlivosti.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Legislatívnych pravidiel vlády SR, v texte právneho predpisu sa nariadenia Európskej únie alebo rozhodnutia Európskej únie necitujú, ale použije sa odkaz na osobitný predpis a v príslušnej poznámke pod čiarou sa uvedie ich názov a publikačný zdroj. To neplatí, ak implementáciu nariadenia Európskej únie alebo rozhodnutia Európskej únie nie je možné vykonať iným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Citácia právne záväzného aktu Európskej únie sa musí zhodovať s názvom uverejneným v úradnej zbierke právne záväzných aktov Európskej únie  (Ú. v. ES alebo Ú. v.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7</w:t>
              <w:br/>
            </w:r>
            <w:r>
              <w:rPr>
                <w:b w:val="off"/>
                <w:color w:val="000000"/>
                <w:rFonts w:ascii="Times New Roman" w:hAnsi="Times New Roman" w:cs="Times New Roman" w:eastAsia="Times New Roman"/>
                <w:sz w:val="24"/>
              </w:rPr>
              <w:t>V bode 7. v § 417e sa na konci dopĺňajú tieto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na základe povolenia udeleného príslušným orgánom podľa osobitného predpisu2.“. Poznámka pod čiarou 2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napr. Nariadenie RADY (EÚ) č. 833/2014 z 31. júla 2014 o reštriktívnych opatreniach s ohľadom na konanie Ruska, ktorým destabilizuje situáciu na Ukrajine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navrhujeme upraviť a nekriminalizovať konanie poskytnutia humanitárnej pomoci podľa čl. 4 bod. 5 Smernice 2024/1226, ktoré zahŕňa poskytnutie humanitárnej pomoci v súlade so zásadami nestrannosti, ľudskosti, neutrality a nezávislosti.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Nariadenia EÚ,  napr. Nariadenia Rady (EÚ) č. 833/2014 o reštriktívnych opatreniach, umožňujú vydať príslušnému orgánu povolenie na výkon činnosti, ktorá je predmetom zákazu. Pri konaní na základe povolenia vydaného príslušným orgánom nemôže vzniknúť subjektu trestná zodpovednosť. Návrh znenia § 417e môže umožniť rozširujúci výklad, keďže umožňuje takéto konanie kriminalizovať.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ustanovenia § 417e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6</w:t>
              <w:br/>
            </w:r>
            <w:r>
              <w:rPr>
                <w:b w:val="off"/>
                <w:color w:val="000000"/>
                <w:rFonts w:ascii="Times New Roman" w:hAnsi="Times New Roman" w:cs="Times New Roman" w:eastAsia="Times New Roman"/>
                <w:sz w:val="24"/>
              </w:rPr>
              <w:t>Navrhujeme doplniť odkaz na zákon v poznámke pod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poznámky pod čiarou zákon č. 289/2016 Z. z. o vykonávaní medzinárodných sankcií a doplnení niektorých zákonov (zákon o cenných papieroch) v znení neskorších predpisov, v ktorom je definovaný pojem medzinárodná sankcia a na ktorý tento § odkazuje.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na zákon v poznámke pod čiarou nie je v danom prípade potrebný, nakoľko návrh je v súlade s bodom 22.9.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7</w:t>
              <w:br/>
            </w:r>
            <w:r>
              <w:rPr>
                <w:b w:val="off"/>
                <w:color w:val="000000"/>
                <w:rFonts w:ascii="Times New Roman" w:hAnsi="Times New Roman" w:cs="Times New Roman" w:eastAsia="Times New Roman"/>
                <w:sz w:val="24"/>
              </w:rPr>
              <w:t xml:space="preserve">Navrhujeme upraviť znenie dôvodovej správy – nesprávne určená výška finančných prostriedkov „menej ako 10.000 Eur“, pričom správne má byť „viac ako 10.000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§16a</w:t>
              <w:br/>
            </w:r>
            <w:r>
              <w:rPr>
                <w:b w:val="off"/>
                <w:color w:val="000000"/>
                <w:rFonts w:ascii="Times New Roman" w:hAnsi="Times New Roman" w:cs="Times New Roman" w:eastAsia="Times New Roman"/>
                <w:sz w:val="24"/>
              </w:rPr>
              <w:t>Navrhujeme, aby pojem „hrubá nedbanlivosť“ bol zaradený do  § 16, ako ods. 2. Zároveň navrhujeme úpravu definície hrubej nedbanlivosti jednak vypustením slova „ľahostajnosť“ a zároveň tak, aby bolo zrejmé, že sa jej možno dopustiť len porušením všeobecne záväzného predpisu a neúmyselným konaním.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definície trestného činu spáchaného z hrubej nedbanlivosti so zaradeným do samostatného § 16a umožňuje rôzny výklad (čo v takto navrhovanom znení sa môže zdať, že ide ďalšiu - tretiu formu zavinenia) vo vzťahu k určeniu formy zavinenia (úmysel, nedbanlivosť), keďže obsahuje znenie závažného porušenia povinnosti bez vylúčenia porušenia tejto povinnosti úmyselným konaním.</w:t>
              <w:br/>
            </w:r>
            <w:r>
              <w:rPr>
                <w:b w:val="off"/>
                <w:color w:val="000000"/>
                <w:rFonts w:ascii="Times New Roman" w:hAnsi="Times New Roman" w:cs="Times New Roman" w:eastAsia="Times New Roman"/>
                <w:sz w:val="24"/>
              </w:rPr>
              <w:t xml:space="preserve">Rozumieme, že „hrubá nedbanlivosť“ je nedbanlivostná forma zavinenia, preto by mala byť zaradená do tejto formy zavinenia, ktorá je upravená a definovaná v § 16. </w:t>
              <w:br/>
            </w:r>
            <w:r>
              <w:rPr>
                <w:b w:val="off"/>
                <w:color w:val="000000"/>
                <w:rFonts w:ascii="Times New Roman" w:hAnsi="Times New Roman" w:cs="Times New Roman" w:eastAsia="Times New Roman"/>
                <w:sz w:val="24"/>
              </w:rPr>
              <w:t>Definícia hrubej nedbanlivosti určuje podmienky konania a nie novú formu zavinenia.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Hrubú nedbanlivosť je potrebné vnímať ako vyššiu formu vedomej nedbanlivosti (kvalifikovaná forma nedbanlivosti), ktorá na strane jednej hraničí s nepriamym úmyslom a na strane druhej s vedomou nedbanlivosťou.</w:t>
              <w:br/>
            </w:r>
            <w:r>
              <w:rPr>
                <w:b w:val="off"/>
                <w:color w:val="000000"/>
                <w:rFonts w:ascii="Times New Roman" w:hAnsi="Times New Roman" w:cs="Times New Roman" w:eastAsia="Times New Roman"/>
                <w:sz w:val="24"/>
              </w:rPr>
              <w:t>Použitie pojmu „ľahostajne“ v definícii hrubej nedbanlivosti môže vyvolávať problematické otázky, keďže v zmysle judikatúry je ľahostajnosť vo vzťahu k následku trestného činu považovaná a priraďovaná pod nepriamy úmysel.</w:t>
              <w:br/>
            </w:r>
            <w:r>
              <w:rPr>
                <w:b w:val="off"/>
                <w:color w:val="000000"/>
                <w:rFonts w:ascii="Times New Roman" w:hAnsi="Times New Roman" w:cs="Times New Roman" w:eastAsia="Times New Roman"/>
                <w:sz w:val="24"/>
              </w:rPr>
              <w:t>Judikatúra v Českej a Slovenskej republike už dlhodobo považuje ľahostajný prístup páchateľa k možnému následku za súčasť nepriameho úmyslu, nie za prejav nedbanlivosti. Ak páchateľ obzvlášť ľahostajne poruší obvyklú mieru opatrnosti a jeho konanie vedie k následku trestného činu (v súlade s navrhovanou definíciou hrubej nedbanlivosti), takéto správanie by mohlo byť kvalifikované ako nepriamy úmysel.</w:t>
              <w:br/>
            </w:r>
            <w:r>
              <w:rPr>
                <w:b w:val="off"/>
                <w:color w:val="000000"/>
                <w:rFonts w:ascii="Times New Roman" w:hAnsi="Times New Roman" w:cs="Times New Roman" w:eastAsia="Times New Roman"/>
                <w:sz w:val="24"/>
              </w:rPr>
              <w:t>Keďže definícia hrubej nedbanlivosti v takomto znení môže v budúcnosti viesť k výkladovým nejasnostiam, žiadame odstrániť pojem „ľahostajne“.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 definície hrubej nedbanlivosti zároveň evokuje možnosť spáchania trestného činu porušením povinnosti, ktorá nebola stanovená všeobecne záväzným právnym predpisom, keďže definícia obsahuje možnosť porušenia povinnosti vyplývajúcej zo zamestnania a ďalších ALEBO uloženej všeobecne záväzným právnym predpisom.</w:t>
              <w:br/>
            </w:r>
            <w:r>
              <w:rPr>
                <w:b w:val="off"/>
                <w:color w:val="000000"/>
                <w:rFonts w:ascii="Times New Roman" w:hAnsi="Times New Roman" w:cs="Times New Roman" w:eastAsia="Times New Roman"/>
                <w:sz w:val="24"/>
              </w:rPr>
              <w:t>Rozumieme, že trestný čin je možné spáchať len ohrozením / porušením záujmu chráneného trestným zákonom, t. j. povinnosti vyplývajúcej zo všeobecne záväzného právneho predpisu. V tejto súvislosti poukazujeme na výkladovú prax NS SR (napr. viď v rozsudku NS SR, sp. zn. 3 Tdo 28/2008, v ktorom je uvedené: „Formulácia „dôležitá povinnosť vyplývajúca zo zamestnania, povolania, postavenia alebo funkcie“ je zákonodarcom volená tak, aby zahŕňala porušenie všetkých možných dôležitých povinností, ktoré páchateľovi vyplývajú z jeho povolania, zamestnania a pracovného zaradenia, pričom ide o povinnosti, ktoré majú vzťah k ochrane života a zdravia ľudí a ktoré sú z tohto hľadiska dôležité a uložené zákonom. Prax túto povinnosť interpretuje tak, že môže byť obsiahnutá okrem zákona aj v inom všeobecne záväznom právnom predpise alebo aj v konkrétnom príkaze vydanom na základe zákona a spôsobom uvedeným v zákone.“).</w:t>
              <w:br/>
            </w:r>
            <w:r>
              <w:rPr>
                <w:b w:val="off"/>
                <w:color w:val="000000"/>
                <w:rFonts w:ascii="Times New Roman" w:hAnsi="Times New Roman" w:cs="Times New Roman" w:eastAsia="Times New Roman"/>
                <w:sz w:val="24"/>
              </w:rPr>
              <w:t xml:space="preserve">Zároveň z dôvodu neexistencie presne definovaných pojmov „obvyklá opatrnosť a starostlivosť“ je potrebné tieto termíny jasne definovať a upraviť, aby sa predišlo interpretačným nejasnostiam a problémom v aplikačnej praxi, kedy môže dochádzať k rôznorodým výkladom. Navrhujeme doplniť presnú legislatívnu definíciu uvedených pojmov alebo poskytnúť ich podrobné vymedzenie v dôvodovej správe, čím by sa zabezpečila väčšia právna istota a predvídateľnosť pri ich aplikácii. </w:t>
              <w:br/>
            </w:r>
            <w:r>
              <w:rPr>
                <w:b w:val="off"/>
                <w:color w:val="000000"/>
                <w:rFonts w:ascii="Times New Roman" w:hAnsi="Times New Roman" w:cs="Times New Roman" w:eastAsia="Times New Roman"/>
                <w:sz w:val="24"/>
              </w:rPr>
              <w:t xml:space="preserve">Obvyklá opatrnosť: „je taký štandard správania, ktorý zodpovedá bežnej miere starostlivosti, predvídavosti a pozornosti, ktorú by za daných okolností prejavila priemerná, rozumná osoba. Zahŕňa dodržiavanie bežných bezpečnostných opatrení a postupov na predídenie vzniku škody alebo nežiadúceho následku. </w:t>
              <w:br/>
            </w:r>
            <w:r>
              <w:rPr>
                <w:b w:val="off"/>
                <w:color w:val="000000"/>
                <w:rFonts w:ascii="Times New Roman" w:hAnsi="Times New Roman" w:cs="Times New Roman" w:eastAsia="Times New Roman"/>
                <w:sz w:val="24"/>
              </w:rPr>
              <w:t>Obvyklá starostlivosť: „Je úroveň pozornosti, opatrnosti a starostlivosti, ktorú by za daných okolností prejavila priemerná, rozumná osoba. Zahŕňa to dodržiavanie bežných postupov a opatrení, aby sa predišlo škodám alebo rizikám a zabezpečilo sa riadne plnenie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túto pripomienku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11. decembra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3. bod § 17</w:t>
              <w:br/>
            </w:r>
            <w:r>
              <w:rPr>
                <w:b w:val="off"/>
                <w:color w:val="000000"/>
                <w:rFonts w:ascii="Times New Roman" w:hAnsi="Times New Roman" w:cs="Times New Roman" w:eastAsia="Times New Roman"/>
                <w:sz w:val="24"/>
              </w:rPr>
              <w:t>Bod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Rozumieme, že hrubá nedbanlivosť je formou zavinenia z nedbanlivosti a preto by nemalo byť v § 17 upravené ako osobitná forma zavinenia. Viď odôvodnenie k Čl. I, 2. bod § 16a. Keďže nedbanlivosť v sebe zahŕňa aj hrubú nedbanlivosť, je takéto doplnenie formy zavinenia nadbytočné.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túto pripomienku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Čl. 2 bod 2 Smernice uvádza: „označená osoba, subjekt alebo orgán“ je fyzická alebo právnická osoba, subjekt alebo orgán, na ktoré sa vzťahujú reštriktívne opatrenia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preukázať úplnú a správnu transpozíciu čl. 2 ods. 2 Smernice do slovenského právneho poriadku. Predkladané transpozičné opatrenie, ktoré definuje pojem „označená fyzická osoba“, nepovažujeme za dostatočné, keďže Smernica v čl. 2 ods. 2 jednoznačne zahŕňa širší okruh subjektov. Konkrétne stanovuje, že za označenú osobu, subjekt alebo orgán sa považujú fyzické a právnické osoby, subjekty alebo orgány. Predložený návrh však týmto požiadavkám nezodpovedá, čím dochádza k nesprávnej transpozícii Smernice.</w:t>
              <w:br/>
            </w:r>
            <w:r>
              <w:rPr>
                <w:b w:val="off"/>
                <w:color w:val="000000"/>
                <w:rFonts w:ascii="Times New Roman" w:hAnsi="Times New Roman" w:cs="Times New Roman" w:eastAsia="Times New Roman"/>
                <w:sz w:val="24"/>
              </w:rPr>
              <w:t>Vynechanie subjektov a orgánov z transpozície môže viesť k nedostatočnej aplikácii Smernice v praxi a oslabeniu účinnosti reštriktívnych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Neúplná definícia označenej osoby môže spôsobiť právnu neistotu pri výklade a aplikácii predpisov. Napríklad orgány činné v trestnom konaní alebo správne orgány by mohli nesprávne vyhodnotiť situácie týkajúce sa iných subjektov a orgánov.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bola primerane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6. bod § 137b</w:t>
              <w:br/>
            </w:r>
            <w:r>
              <w:rPr>
                <w:b w:val="off"/>
                <w:color w:val="000000"/>
                <w:rFonts w:ascii="Times New Roman" w:hAnsi="Times New Roman" w:cs="Times New Roman" w:eastAsia="Times New Roman"/>
                <w:sz w:val="24"/>
              </w:rPr>
              <w:t>Navrhujeme doplniť odkaz na zákon v poznámke pod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poznámky pod čiarou § 2 písm. a) zákona č. 289/2016 Z. z. o vykonávaní medzinárodných sankcií a doplnení niektorých zákonov (zákon o cenných papieroch) v znení neskorších predpisov, v ktorom je definovaný pojem medzinárodná sankcia a na ktorý tento § odkazuje.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na zákon v poznámke pod čiarou nie je v danom prípade potrebný, nakoľko návrh je v súlade s bodom 22.9.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7. bod § 417b</w:t>
              <w:br/>
            </w:r>
            <w:r>
              <w:rPr>
                <w:b w:val="off"/>
                <w:color w:val="000000"/>
                <w:rFonts w:ascii="Times New Roman" w:hAnsi="Times New Roman" w:cs="Times New Roman" w:eastAsia="Times New Roman"/>
                <w:sz w:val="24"/>
              </w:rPr>
              <w:t xml:space="preserve">V bode 7. § 417b ods. 1 znie: </w:t>
              <w:br/>
            </w:r>
            <w:r>
              <w:rPr>
                <w:b w:val="off"/>
                <w:color w:val="000000"/>
                <w:rFonts w:ascii="Times New Roman" w:hAnsi="Times New Roman" w:cs="Times New Roman" w:eastAsia="Times New Roman"/>
                <w:sz w:val="24"/>
              </w:rPr>
              <w:t>„(1) Kto čo aj z hrubej nedbanlivosti poruší príkaz, zákaz alebo obmedzenie týkajúce sa nakladania s položkami uvedenými v Spoločnom zozname vojenského materiálu Európskej únie alebo položkami s dvojakým použitím uvedenými v osobitných predpisoch  a vyplývajúce z reštriktívneho opatrenia v rozsahu najmenej 10 000 eur, potrestá sa odňatím slobody až na päť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„nakladanie s položkami“ uvedený v novele je výrazne širší a zahŕňa viac spôsobov konania ako navrhuje Smernica sankcionovať v čl. 3 ods. 1 písm. e). Smernica uvádza iba: „obchodovanie, dovoz, vývoz, predaj, nákup, prevod, tranzit alebo preprava, ako aj poskytovanie sprostredkovateľských služieb, technickej pomoci alebo iných služieb“. Navrhované znenie novely však prekonáva rámec požiadaviek Smernice a zahŕňa aj činnosti, ktoré môžu byť v praxi interpretované nejasne alebo až príliš široko. Takýto prístup môže viesť k disproporčnému zaťaženiu subjektov, ktoré so sankcionovanými položkami nakladajú legálne, alebo k postihovaniu konaní, ktoré Smernica nehodnotí ako sankcionovateľné. Nadmerne široké definovanie pojmu „nakladanie s položkami“ môže zároveň ohroziť právnu predvídateľnosť a viesť k rozdielnym výkladom zo strany kontrolných orgánov, čím sa môže narušiť jednotná aplikácia pravidiel v rámci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takáto právna úprava vytvára riziko znevýhodnenia domácich hospodárskych subjektov v porovnaní so subjektmi v iných členských štátoch, ktoré aplikujú Smernicu v jej pôvodnom rozsahu. Ide o jav označovaný ako gold plating, pri ktorom dochádza k nadmernej implementácii smernice, čím sa zavádzajú vyššie požiadavky, než smernica požaduje, čo môže mať negatívny vplyv na konkurencieschopnosť, administratívnu záťaž a právnu istotu subjektov v rámci vnútroštátneho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preto prehodnotiť navrhované znenie a zosúladiť jeho rozsah s minimálnymi požiadavkami uvedenými v Smernici, aby sa predišlo nadbytočnej regulácii a zabezpečila právna istota a efektívna implementácia smernice v súlade s jej účelom. Navrhované znenie novely považujeme za gold plating.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7. bod § 417e</w:t>
              <w:br/>
            </w:r>
            <w:r>
              <w:rPr>
                <w:b w:val="off"/>
                <w:color w:val="000000"/>
                <w:rFonts w:ascii="Times New Roman" w:hAnsi="Times New Roman" w:cs="Times New Roman" w:eastAsia="Times New Roman"/>
                <w:sz w:val="24"/>
              </w:rPr>
              <w:t>V bode 7. v § 417e sa na konci dopĺňajú tieto slová:</w:t>
              <w:br/>
            </w:r>
            <w:r>
              <w:rPr>
                <w:b w:val="off"/>
                <w:color w:val="000000"/>
                <w:rFonts w:ascii="Times New Roman" w:hAnsi="Times New Roman" w:cs="Times New Roman" w:eastAsia="Times New Roman"/>
                <w:sz w:val="24"/>
              </w:rPr>
              <w:t>„alebo na základe povolenia udeleného príslušným orgánom podľa osobitného predpisu2.“. Poznámka pod čiarou 2 znie takto:</w:t>
              <w:br/>
            </w:r>
            <w:r>
              <w:rPr>
                <w:b w:val="off"/>
                <w:color w:val="000000"/>
                <w:rFonts w:ascii="Times New Roman" w:hAnsi="Times New Roman" w:cs="Times New Roman" w:eastAsia="Times New Roman"/>
                <w:sz w:val="24"/>
              </w:rPr>
              <w:t>„2. napr. Nariadenie RADY (EÚ) č. 833/2014 z 31. júla 2014 o reštriktívnych opatreniach s ohľadom na konanie Ruska, ktorým destabilizuje situáciu na Ukrajine v platnom znení.“</w:t>
              <w:br/>
            </w:r>
            <w:r>
              <w:rPr>
                <w:b w:val="off"/>
                <w:color w:val="000000"/>
                <w:rFonts w:ascii="Times New Roman" w:hAnsi="Times New Roman" w:cs="Times New Roman" w:eastAsia="Times New Roman"/>
                <w:sz w:val="24"/>
              </w:rPr>
              <w:t xml:space="preserve">Zároveň navrhujeme upraviť a nekriminalizovať konanie poskytnutia humanitárnej pomoci podľa čl. 3 bod. 5 Smernice 2024/1226, ktoré zahŕňa poskytnutie humanitárnej pomoci v súlade so zásadami nestrannosti, ľudskosti, neutrality a nezávislosti.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Nariadenia EÚ,  napr. Nariadenia Rady (EÚ) č. 833/2014 o reštriktívnych opatreniach, umožňujú vydať príslušnému orgánu povolenie na výkon činnosti, ktorá je predmetom zákazu. Pri konaní na základe povolenia vydaného príslušným orgánom nemôže vzniknúť subjektu trestná zodpovednosť. Návrh znenia § 417e môže umožniť rozširujúci výklad, keďže umožňuje takéto konanie kriminalizovať.</w:t>
              <w:br/>
            </w:r>
            <w:r>
              <w:rPr>
                <w:b w:val="off"/>
                <w:color w:val="000000"/>
                <w:rFonts w:ascii="Times New Roman" w:hAnsi="Times New Roman" w:cs="Times New Roman" w:eastAsia="Times New Roman"/>
                <w:sz w:val="24"/>
              </w:rPr>
              <w:t>Navrhované doplnenie „alebo na základe povolenia udeleného príslušným orgánom podľa osobitného predpisu“ prispieva k zabezpečeniu súladu s právom EÚ, predchádza riziku rozširujúceho výkladu a zaručuje ochranu subjektov, ktoré konajú na základe legálne udelených povolení. Týmto spôsobom sa posilní právna istota, zamedzí sa kriminalizácii legálnych konaní a zároveň sa zabezpečí, že zákon bude v plnej miere rešpektovať zásady právneho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ustanovenie bolo upravené v zmysle záverov vyplývajúcich z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7. bod</w:t>
              <w:br/>
            </w:r>
            <w:r>
              <w:rPr>
                <w:b w:val="off"/>
                <w:color w:val="000000"/>
                <w:rFonts w:ascii="Times New Roman" w:hAnsi="Times New Roman" w:cs="Times New Roman" w:eastAsia="Times New Roman"/>
                <w:sz w:val="24"/>
              </w:rPr>
              <w:t xml:space="preserve">Navrhujeme upraviť znenie dôvodovej správy – nesprávne určená výška finančných prostriedkov „menej ako 10.000 Eur“, pričom správne má byť „viac ako 10.000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Precizovanie textu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7 bod</w:t>
              <w:br/>
            </w:r>
            <w:r>
              <w:rPr>
                <w:b w:val="off"/>
                <w:color w:val="000000"/>
                <w:rFonts w:ascii="Times New Roman" w:hAnsi="Times New Roman" w:cs="Times New Roman" w:eastAsia="Times New Roman"/>
                <w:sz w:val="24"/>
              </w:rPr>
              <w:t>čl. 3 ods. 1 písm. a), b), d), e), f), g), h) body i) a ii)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transpozícia čl. 3 ods. 1 písm. a), b), d), e), f), g), h) body i) a ii) Smernice, ktorá je preukázaná v slovenskom právnom poriadku len prostredníctvom všeobecnej skutkovej podstaty uvedenej v § 417a predkladaného návrhu zákona s odkazom na zákon č. 289/2016 o vykonávaní medzinárodných sankcií a o doplnení zákona č. 566/2001 Z. z. o cenných papieroch a investičných službách a o zmene a doplnení niektorých zákonov (zákon o cenných papieroch) v znení neskorších predpisov na všeobecnú definíciu pojmu medzinárodná sankcia, ktorá v sebe zahŕňa oveľa viac činností ako Smernica v čl. 3, je nesprávne implementovaná. Táto všeobecná skutková podstata pokrýva jednoznačne viacero činností, ktoré nie sú upravené v článku 3 Smernice, čím nepriamo dochádza ku kriminalizácii viacero konaní, ako predpokladá Smernica. Takýmto postupom môže dôjsť k narušeniu cieľa Smernice, ktorým je postihnutie konkrétnych foriem konania spojených s obchádzaním alebo porušovaním reštriktívnych opatrení.</w:t>
              <w:br/>
            </w:r>
            <w:r>
              <w:rPr>
                <w:b w:val="off"/>
                <w:color w:val="000000"/>
                <w:rFonts w:ascii="Times New Roman" w:hAnsi="Times New Roman" w:cs="Times New Roman" w:eastAsia="Times New Roman"/>
                <w:sz w:val="24"/>
              </w:rPr>
              <w:t>Smernica explicitne vymenúva jednotlivé činnosti, ktoré majú byť trestným činom, vrátane obchádzania reštriktívnych opatrení, pričom jednotlivé body sú formulované tak, aby umožnili jednotnú aplikáciu naprieč členskými štátmi. Všeobecná skutková podstata uvedená v § 417a predkladaného návrhu zákona tieto činnosti špecificky nerozlišuje, čo môže viesť k:</w:t>
              <w:br/>
            </w:r>
            <w:r>
              <w:rPr>
                <w:b w:val="off"/>
                <w:color w:val="000000"/>
                <w:rFonts w:ascii="Times New Roman" w:hAnsi="Times New Roman" w:cs="Times New Roman" w:eastAsia="Times New Roman"/>
                <w:sz w:val="24"/>
              </w:rPr>
              <w:t>Nedostatočnej právnej istote; Extenzívnemu výkladu:</w:t>
              <w:br/>
            </w:r>
            <w:r>
              <w:rPr>
                <w:b w:val="off"/>
                <w:color w:val="000000"/>
                <w:rFonts w:ascii="Times New Roman" w:hAnsi="Times New Roman" w:cs="Times New Roman" w:eastAsia="Times New Roman"/>
                <w:sz w:val="24"/>
              </w:rPr>
              <w:t>Táto širšia definícia otvára priestor na extenzívny výklad, čím môže dochádzať k postihovaniu činností, ktoré Smernica nepovažuje za trestné činy, čím by dochádzalo k neprimeranému postihu subjektov, čo je v rozpore so zásadou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decembra.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Pôvodný návrh ustanovenia § 417a bol precizovaný.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SCC</w:t>
              <w:br/>
            </w:r>
            <w:r>
              <w:rPr>
                <w:b w:val="off"/>
                <w:color w:val="000000"/>
                <w:rFonts w:ascii="Times New Roman" w:hAnsi="Times New Roman" w:cs="Times New Roman" w:eastAsia="Times New Roman"/>
                <w:sz w:val="24"/>
              </w:rPr>
              <w:t>Slovak Compliance Circle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Navrhujeme zosúladiť pojem majetok uvedený v § 2 písm. h)  zákona 289/2016 Z. z. o vykonávaní medzinárodných sankcií a doplnení niektorých zákonov (zákon o cenných papieroch) v znení neskorších predpisov s pojmom hospodárske zdroje v zmysle transponovanej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Nepresná transpozícia pojmu hospodárske zdroje v zmysle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„hospodárske zdroje“ je do návrhu zákona (§ 137b ods. 4) transponovaný doslovne tak, ako uvádza smernica.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Navrhujeme zmeniť definíciu reštriktívneho opatrenia v súlade s čl. 2 ods. 1 Smernice.</w:t>
              <w:br/>
            </w:r>
            <w:r>
              <w:rPr>
                <w:b w:val="off"/>
                <w:color w:val="000000"/>
                <w:rFonts w:ascii="Times New Roman" w:hAnsi="Times New Roman" w:cs="Times New Roman" w:eastAsia="Times New Roman"/>
                <w:sz w:val="24"/>
              </w:rPr>
              <w:t>Podľa Smernice sa reštriktívnym opatrením rozumie opatrenie, ktoré Únia prijala na základe článku 29 Zmluvy o EÚ alebo článku 215 ZFEÚ. V predkladanom návrhu sa však odkazuje na medzinárodné sankcie podľa zákona č. 289/2016 Z. z., medzi ktoré patria aj iné opatrenia, napr. rozhodnutia Bezpečnostnej rady Organizácie Spojených národov podľa čl. 41 Charty Organizácie Spojených národov, právne záväzný akt Európskej únie, nariadenie vlády Slovenskej republiky, iný právny akt súvisiaci s vykonávaním medzinárodnej sankcie. Týmto sa rozširuje pôsobnosť Smernice, čo vzhľadom na neexistujúci jednotný verejný register všetkých medzinárodných sankcií a zavádzané prísne sankcie, predstavuje oveľa väčšiu zodpovednosť, ako predpokladá Smernica.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Predkladané znenie § 417b navrhujeme upraviť podľa Smernice.</w:t>
              <w:br/>
            </w:r>
            <w:r>
              <w:rPr>
                <w:b w:val="off"/>
                <w:color w:val="000000"/>
                <w:rFonts w:ascii="Times New Roman" w:hAnsi="Times New Roman" w:cs="Times New Roman" w:eastAsia="Times New Roman"/>
                <w:sz w:val="24"/>
              </w:rPr>
              <w:t>V predkladanom návrhu sa navrhuje nad rámec Smernice (čl. 5 ods. 1 písm. e) sankcionovať samostatne aj „položky“ z reštriktívneho opatrenia, pričom však Smernica ustanovuje túto sankciu pre prípady, ak daná položka kumulatívne spĺňa podmienku (i) reštriktívneho opatrenia a súčasne (ii) je v Spoločnom zozname vojenského materiálu Európskej únie alebo položiek s dvojakým použitím uvedených v prílohách I a IV k nariadeniu (EÚ) 2021/821.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Predkladané znenie § 417e navrhujeme upraviť o doplnenie výluky z dôvodu zachovávania profesijnej mlčanlivosti:</w:t>
              <w:br/>
            </w:r>
            <w:r>
              <w:rPr>
                <w:b w:val="off"/>
                <w:color w:val="000000"/>
                <w:rFonts w:ascii="Times New Roman" w:hAnsi="Times New Roman" w:cs="Times New Roman" w:eastAsia="Times New Roman"/>
                <w:sz w:val="24"/>
              </w:rPr>
              <w:t>„Kto spácha čin uvedený v § 471a až 417d nie je trestný, ak preukázateľne konal v súlade s medzinárodným humanitárnym právom alebo ak plnil  zákonom uznanú povinnosť mlčanlivosti.“.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preambuly, bod 18 Smernice, platí, že by mali existovať výnimky z akejkoľvek povinnosti oznamovať informácie, napr. pri profesiách, kde sa dostávajú informácie od niektorého svojho klienta alebo sa o ňom získajú pri zisťovaní jeho právneho postavenia alebo pri jeho obhajobe alebo jeho zastupovaní v súdnom konaní alebo v súvislosti s takým konaním vrátane poskytovania poradenstva na účely začatia alebo zamedzenia súdneho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Zachovávanie profesijnej mlčanlivosti vyplýva z osobitných právnych predpisov, preto nie je potrebné doplnenie týchto slov, tzn. ak je raz daná výnimka zákonom, tak nie je potrebné na ňu odkazovať.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417b</w:t>
              <w:br/>
            </w:r>
            <w:r>
              <w:rPr>
                <w:b w:val="off"/>
                <w:color w:val="000000"/>
                <w:rFonts w:ascii="Times New Roman" w:hAnsi="Times New Roman" w:cs="Times New Roman" w:eastAsia="Times New Roman"/>
                <w:sz w:val="24"/>
              </w:rPr>
              <w:t xml:space="preserve">Navrhujeme vypustiť slovo „hrubej“.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Obsahom návrhu je zavedenie novej formy subjektívnej stránky trestného činu, t. j. konceptu hrubej nedbanlivosti vo vzťahu k zavineniu páchateľa („kvalifikovaná vedomá nedbanlivosť“). Predpokladáme, že v aplikačnej praxi takáto zmena môže spôsobiť problémy pri dokazovaní a považujeme ju za nadbytočnú.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súčasťou ustanovenia bola ako podmienka vedomá nedbanlivosť, bolo možné ju dokázať, ale pre dokazovanie hrubej nedbanlivosti nie sú kritériá a preto sa javí takáto subjektívna stránka ako predpoklad trestnej zodpovednosti len formálna a ťažko preukázateľná.  Trestný zákon pojem hrubá nedbanlivosť nepozná.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decembra 2024.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nevyhnutné, aby transpozíciou smernice bol zavedený koncept hrubej nedbanlivosti. Doplnenie hrubej nedbanlivosti do Trestného zákona je nevyhnutnosťou aj s ohľadom na požiadavky smernice Európskeho parlamentu a Rady (EÚ) 2024/1203  z 11. apríla 2024 o ochrane životného prostredia prostredníctvom trestného práva, ktorou sa nahrádzajú smernice 2008/99/ES a 2009/123/ES (Ú. v. EÚ L 2024/1203, 30.4.2024).</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6 (2o,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8 (3o,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32 (32o,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8 (2o,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SCC</w:t>
            </w:r>
            <w:r>
              <w:rPr>
                <w:b w:val="off"/>
                <w:color w:val="000000"/>
                <w:rFonts w:ascii="Times New Roman" w:hAnsi="Times New Roman" w:cs="Times New Roman" w:eastAsia="Times New Roman"/>
                <w:sz w:val="24"/>
              </w:rPr>
              <w:t xml:space="preserve"> – Slovak Compliance Circle</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104 (82o, 22z)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6F39" w14:textId="77777777" w:rsidR="00D40591" w:rsidRPr="00785E8D" w:rsidRDefault="00D40591" w:rsidP="00E66622">
      <w:pPr>
        <w:spacing w:after="0" w:line="240" w:lineRule="auto"/>
      </w:pPr>
      <w:r w:rsidRPr="00785E8D">
        <w:separator/>
      </w:r>
    </w:p>
  </w:endnote>
  <w:endnote w:type="continuationSeparator" w:id="0">
    <w:p w14:paraId="2BF78AE5" w14:textId="77777777" w:rsidR="00D40591" w:rsidRPr="00785E8D" w:rsidRDefault="00D40591"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DF75B" w14:textId="77777777" w:rsidR="00D40591" w:rsidRPr="00785E8D" w:rsidRDefault="00D40591" w:rsidP="00E66622">
      <w:pPr>
        <w:spacing w:after="0" w:line="240" w:lineRule="auto"/>
      </w:pPr>
      <w:r w:rsidRPr="00785E8D">
        <w:separator/>
      </w:r>
    </w:p>
  </w:footnote>
  <w:footnote w:type="continuationSeparator" w:id="0">
    <w:p w14:paraId="7BF7D23F" w14:textId="77777777" w:rsidR="00D40591" w:rsidRPr="00785E8D" w:rsidRDefault="00D40591"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D2B4E"/>
    <w:rsid w:val="001E50FA"/>
    <w:rsid w:val="001E6254"/>
    <w:rsid w:val="001F2C94"/>
    <w:rsid w:val="001F5D28"/>
    <w:rsid w:val="001F777F"/>
    <w:rsid w:val="00231554"/>
    <w:rsid w:val="00237490"/>
    <w:rsid w:val="00245F36"/>
    <w:rsid w:val="0026614F"/>
    <w:rsid w:val="002715E0"/>
    <w:rsid w:val="00273DAE"/>
    <w:rsid w:val="0029170C"/>
    <w:rsid w:val="00295E6A"/>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8545F"/>
    <w:rsid w:val="004A12EE"/>
    <w:rsid w:val="004A48F0"/>
    <w:rsid w:val="004A62B8"/>
    <w:rsid w:val="004B4188"/>
    <w:rsid w:val="004C6C3C"/>
    <w:rsid w:val="004E0BF7"/>
    <w:rsid w:val="004F10FF"/>
    <w:rsid w:val="004F4092"/>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34468"/>
    <w:rsid w:val="006371D1"/>
    <w:rsid w:val="00641DD8"/>
    <w:rsid w:val="006434AC"/>
    <w:rsid w:val="00664F3B"/>
    <w:rsid w:val="00677591"/>
    <w:rsid w:val="00695857"/>
    <w:rsid w:val="006C2D6E"/>
    <w:rsid w:val="0070694E"/>
    <w:rsid w:val="00707B3A"/>
    <w:rsid w:val="0072062B"/>
    <w:rsid w:val="00724A0E"/>
    <w:rsid w:val="00726A34"/>
    <w:rsid w:val="00727704"/>
    <w:rsid w:val="00754CB0"/>
    <w:rsid w:val="0077472A"/>
    <w:rsid w:val="00774ED8"/>
    <w:rsid w:val="00776E62"/>
    <w:rsid w:val="00784062"/>
    <w:rsid w:val="00785E8D"/>
    <w:rsid w:val="00796E02"/>
    <w:rsid w:val="00796EBE"/>
    <w:rsid w:val="007C1A93"/>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B0C1F"/>
    <w:rsid w:val="009B1491"/>
    <w:rsid w:val="009D152C"/>
    <w:rsid w:val="009D32B4"/>
    <w:rsid w:val="009D3FBE"/>
    <w:rsid w:val="009F35D2"/>
    <w:rsid w:val="00A070EB"/>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2024-12-23T12:26:00Z</dcterms:modified>
  <cp:revision>77</cp:revision>
</cp:coreProperties>
</file>