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2536" w14:textId="7BF0DF39" w:rsidR="00C81E94" w:rsidRPr="00C81E94" w:rsidRDefault="00C81E94" w:rsidP="00C81E94">
      <w:pPr>
        <w:jc w:val="both"/>
        <w:rPr>
          <w:rFonts w:ascii="Times New Roman" w:hAnsi="Times New Roman" w:cs="Times New Roman"/>
          <w:b/>
          <w:sz w:val="24"/>
          <w:szCs w:val="24"/>
        </w:rPr>
      </w:pPr>
      <w:r w:rsidRPr="00C81E94">
        <w:rPr>
          <w:rFonts w:ascii="Times New Roman" w:hAnsi="Times New Roman" w:cs="Times New Roman"/>
          <w:b/>
          <w:sz w:val="24"/>
          <w:szCs w:val="24"/>
        </w:rPr>
        <w:t>B. Osobitná časť</w:t>
      </w:r>
    </w:p>
    <w:p w14:paraId="265B67C8" w14:textId="77777777" w:rsidR="00C81E94" w:rsidRPr="00C81E94" w:rsidRDefault="00C81E94" w:rsidP="00C81E94">
      <w:pPr>
        <w:jc w:val="both"/>
        <w:rPr>
          <w:rFonts w:ascii="Times New Roman" w:hAnsi="Times New Roman" w:cs="Times New Roman"/>
          <w:b/>
          <w:bCs/>
          <w:sz w:val="24"/>
          <w:szCs w:val="24"/>
        </w:rPr>
      </w:pPr>
      <w:r w:rsidRPr="00C81E94">
        <w:rPr>
          <w:rFonts w:ascii="Times New Roman" w:hAnsi="Times New Roman" w:cs="Times New Roman"/>
          <w:b/>
          <w:bCs/>
          <w:sz w:val="24"/>
          <w:szCs w:val="24"/>
        </w:rPr>
        <w:t>K Čl. I</w:t>
      </w:r>
    </w:p>
    <w:p w14:paraId="1BA92213" w14:textId="080F0052" w:rsidR="00C81E94" w:rsidRPr="00C81E94" w:rsidRDefault="00C81E94" w:rsidP="00C81E94">
      <w:pPr>
        <w:jc w:val="both"/>
        <w:rPr>
          <w:rFonts w:ascii="Times New Roman" w:hAnsi="Times New Roman" w:cs="Times New Roman"/>
          <w:sz w:val="24"/>
          <w:szCs w:val="24"/>
        </w:rPr>
      </w:pPr>
      <w:r w:rsidRPr="00C81E94">
        <w:rPr>
          <w:rFonts w:ascii="Times New Roman" w:hAnsi="Times New Roman" w:cs="Times New Roman"/>
          <w:sz w:val="24"/>
          <w:szCs w:val="24"/>
        </w:rPr>
        <w:t>K bodom 1 a </w:t>
      </w:r>
      <w:r w:rsidR="000D0EA3">
        <w:rPr>
          <w:rFonts w:ascii="Times New Roman" w:hAnsi="Times New Roman" w:cs="Times New Roman"/>
          <w:sz w:val="24"/>
          <w:szCs w:val="24"/>
        </w:rPr>
        <w:t>2</w:t>
      </w:r>
      <w:r w:rsidRPr="00C81E94">
        <w:rPr>
          <w:rFonts w:ascii="Times New Roman" w:hAnsi="Times New Roman" w:cs="Times New Roman"/>
          <w:sz w:val="24"/>
          <w:szCs w:val="24"/>
        </w:rPr>
        <w:t xml:space="preserve"> (§ 12 ods. 3, § 104t a § 104u)</w:t>
      </w:r>
    </w:p>
    <w:p w14:paraId="3432349B" w14:textId="7ECBF2FF" w:rsidR="00C81E94" w:rsidRPr="00C81E94" w:rsidRDefault="00C81E94" w:rsidP="00C81E94">
      <w:pPr>
        <w:jc w:val="both"/>
        <w:rPr>
          <w:rFonts w:ascii="Times New Roman" w:hAnsi="Times New Roman" w:cs="Times New Roman"/>
          <w:sz w:val="24"/>
          <w:szCs w:val="24"/>
        </w:rPr>
      </w:pPr>
      <w:r w:rsidRPr="00C81E94">
        <w:rPr>
          <w:rFonts w:ascii="Times New Roman" w:hAnsi="Times New Roman" w:cs="Times New Roman"/>
          <w:sz w:val="24"/>
          <w:szCs w:val="24"/>
        </w:rPr>
        <w:t>Výšku príplatku za podlažie si na základe doplnených pravidiel určí obec sama vo všeobecne záväznom nariadení (VZN). Podľa návrhu si obce môžu určiť príplatok za podlažie rôzne podľa územného kritéria (čo je čiastočne možné aj podľa doterajšieho právneho predpisu pre jednotlivú časť obce, v rozšírenom znení aj podľa katastrálneho územia) a taktiež aj podľa kritéria druhu stavby pri dodržaní členenia stavieb uvedeného v § 10 ods. 1. Navrhuje sa vypustiť horná hranica príplatku za podlažie pre stavby uvedené v § 10 ods. 1 písm. b) až i), ktorý ale bude po zmene môcť byť maximálne do sadzby dane na stavby na bývanie podľa § 10 ods. 1 písm. a) (rodinné domy, byty v nebytových budovách)</w:t>
      </w:r>
      <w:r w:rsidR="00C06A6D">
        <w:rPr>
          <w:rFonts w:ascii="Times New Roman" w:hAnsi="Times New Roman" w:cs="Times New Roman"/>
          <w:sz w:val="24"/>
          <w:szCs w:val="24"/>
        </w:rPr>
        <w:t>, pričom hranica príplatku za podlažie sa určuje podľa tej sadzby dane na stavby na bývanie, ktorá je na území obce (vo všetkých jej katastrálnych územiach alebo jednotlivých častiach obce – ak sú) najnižšia</w:t>
      </w:r>
      <w:r w:rsidRPr="00C81E94">
        <w:rPr>
          <w:rFonts w:ascii="Times New Roman" w:hAnsi="Times New Roman" w:cs="Times New Roman"/>
          <w:sz w:val="24"/>
          <w:szCs w:val="24"/>
        </w:rPr>
        <w:t>. Pre stavby na bývanie podľa § 10 ods. 1 písm. a) zostane maximálna hranica príplatku za podlažie v sume 0,33 eur/m</w:t>
      </w:r>
      <w:r w:rsidRPr="00C81E94">
        <w:rPr>
          <w:rFonts w:ascii="Times New Roman" w:hAnsi="Times New Roman" w:cs="Times New Roman"/>
          <w:sz w:val="24"/>
          <w:szCs w:val="24"/>
          <w:vertAlign w:val="superscript"/>
        </w:rPr>
        <w:t>2</w:t>
      </w:r>
      <w:r w:rsidRPr="00C81E94">
        <w:rPr>
          <w:rFonts w:ascii="Times New Roman" w:hAnsi="Times New Roman" w:cs="Times New Roman"/>
          <w:sz w:val="24"/>
          <w:szCs w:val="24"/>
        </w:rPr>
        <w:t xml:space="preserve"> (bez zmeny voči súčasnému stavu v platnom a účinnom znení zákona), resp. do sadzby dane na stavby na bývanie podľa § 10 ods. 1 písm. a), podľa toho, ktorá hodnota je nižšie. </w:t>
      </w:r>
    </w:p>
    <w:p w14:paraId="2AA9B355" w14:textId="543F2236" w:rsidR="00C81E94" w:rsidRPr="00C81E94" w:rsidRDefault="00C81E94" w:rsidP="00C81E94">
      <w:pPr>
        <w:jc w:val="both"/>
        <w:rPr>
          <w:rFonts w:ascii="Times New Roman" w:hAnsi="Times New Roman" w:cs="Times New Roman"/>
          <w:sz w:val="24"/>
          <w:szCs w:val="24"/>
        </w:rPr>
      </w:pPr>
      <w:r w:rsidRPr="00C81E94">
        <w:rPr>
          <w:rFonts w:ascii="Times New Roman" w:hAnsi="Times New Roman" w:cs="Times New Roman"/>
          <w:sz w:val="24"/>
          <w:szCs w:val="24"/>
        </w:rPr>
        <w:t>Obec bude môcť nastaviť príplatok za podlažie rôzne aj kombinovaným spôsobom, napr. jednotne v rovnakej výške pre jedno katastrálne územie pre všetky druhy stavieb a odlišne pre rôzne druhy stavieb s inými sumami príplatku za podlažie v druhom katastrálnom území obce.</w:t>
      </w:r>
    </w:p>
    <w:p w14:paraId="10A1811F" w14:textId="15105460" w:rsidR="00C81E94" w:rsidRPr="00C81E94" w:rsidRDefault="00C81E94" w:rsidP="00C81E94">
      <w:pPr>
        <w:jc w:val="both"/>
        <w:rPr>
          <w:rFonts w:ascii="Times New Roman" w:hAnsi="Times New Roman" w:cs="Times New Roman"/>
          <w:sz w:val="24"/>
          <w:szCs w:val="24"/>
        </w:rPr>
      </w:pPr>
      <w:r w:rsidRPr="00C81E94">
        <w:rPr>
          <w:rFonts w:ascii="Times New Roman" w:hAnsi="Times New Roman" w:cs="Times New Roman"/>
          <w:sz w:val="24"/>
          <w:szCs w:val="24"/>
        </w:rPr>
        <w:t xml:space="preserve">Tieto zmeny je možné podľa prechodných ustanovení a ustanovenia § 98 uplatniť najskôr na zdaňovacie obdobie roka 2027. Zároveň je nový mechanizmus príplatku nastavený tak, že obce nie sú nútené vo veci viacpodlažných stavieb robiť žiadne zmeny a môžu použiť príplatok za podlažie, ktorý bol ustanovený VZN pred účinnosťou tohto predpisu, aj ak nie je v súlade s novým ustanovením § 12 ods. 3. Pre zamedzenie prípadného nárastu sadzieb dane na stavby na bývanie (rodinné domy a byty v nebytových budovách) môžu obce na zdaňovacie obdobie roka 2027 ustanoviť sadzbu dane a príplatok za podlažie pre stavby na bývanie najviac do výšky sadzby dane pre tieto stavby a ich príplatku za podlažie ustanoveného vo VZN pre zdaňovacie obdobie roka 2026. </w:t>
      </w:r>
    </w:p>
    <w:p w14:paraId="1EE32FF8" w14:textId="77777777" w:rsidR="00C81E94" w:rsidRPr="00C81E94" w:rsidRDefault="00C81E94" w:rsidP="00C81E94">
      <w:pPr>
        <w:jc w:val="both"/>
        <w:rPr>
          <w:rFonts w:ascii="Times New Roman" w:hAnsi="Times New Roman" w:cs="Times New Roman"/>
          <w:b/>
          <w:bCs/>
          <w:sz w:val="24"/>
          <w:szCs w:val="24"/>
        </w:rPr>
      </w:pPr>
      <w:r w:rsidRPr="00C81E94">
        <w:rPr>
          <w:rFonts w:ascii="Times New Roman" w:hAnsi="Times New Roman" w:cs="Times New Roman"/>
          <w:b/>
          <w:bCs/>
          <w:sz w:val="24"/>
          <w:szCs w:val="24"/>
        </w:rPr>
        <w:t>K Čl. II</w:t>
      </w:r>
    </w:p>
    <w:p w14:paraId="2DE36520" w14:textId="3F5B65BA" w:rsidR="005172F5" w:rsidRPr="00F64651" w:rsidRDefault="00C81E94" w:rsidP="00F64651">
      <w:pPr>
        <w:jc w:val="both"/>
        <w:rPr>
          <w:rFonts w:ascii="Times New Roman" w:hAnsi="Times New Roman" w:cs="Times New Roman"/>
          <w:sz w:val="24"/>
          <w:szCs w:val="24"/>
        </w:rPr>
      </w:pPr>
      <w:r w:rsidRPr="00C81E94">
        <w:rPr>
          <w:rFonts w:ascii="Times New Roman" w:hAnsi="Times New Roman" w:cs="Times New Roman"/>
          <w:sz w:val="24"/>
          <w:szCs w:val="24"/>
        </w:rPr>
        <w:t>Navrhuje sa účinnosť právneho predpisu tak, aby mali mestá a obce dostatočný časový priestor na zapracovanie legislatívnych úprav pri určovaní príplatku za podlažie do všeobecne záväzných nariadení.</w:t>
      </w:r>
    </w:p>
    <w:sectPr w:rsidR="005172F5" w:rsidRPr="00F64651">
      <w:footerReference w:type="even" r:id="rId6"/>
      <w:footerReference w:type="firs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F3F4" w14:textId="77777777" w:rsidR="00C81E94" w:rsidRDefault="00C81E94" w:rsidP="00C81E94">
      <w:pPr>
        <w:spacing w:after="0" w:line="240" w:lineRule="auto"/>
      </w:pPr>
      <w:r>
        <w:separator/>
      </w:r>
    </w:p>
  </w:endnote>
  <w:endnote w:type="continuationSeparator" w:id="0">
    <w:p w14:paraId="1A9E526F" w14:textId="77777777" w:rsidR="00C81E94" w:rsidRDefault="00C81E94" w:rsidP="00C81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48D35" w14:textId="314F33CE" w:rsidR="00C81E94" w:rsidRDefault="00C81E94">
    <w:pPr>
      <w:pStyle w:val="Pta"/>
    </w:pPr>
    <w:r>
      <w:rPr>
        <w:noProof/>
      </w:rPr>
      <mc:AlternateContent>
        <mc:Choice Requires="wps">
          <w:drawing>
            <wp:anchor distT="0" distB="0" distL="0" distR="0" simplePos="0" relativeHeight="251659264" behindDoc="0" locked="0" layoutInCell="1" allowOverlap="1" wp14:anchorId="46833EA0" wp14:editId="28FC4205">
              <wp:simplePos x="635" y="635"/>
              <wp:positionH relativeFrom="page">
                <wp:align>left</wp:align>
              </wp:positionH>
              <wp:positionV relativeFrom="page">
                <wp:align>bottom</wp:align>
              </wp:positionV>
              <wp:extent cx="643890" cy="357505"/>
              <wp:effectExtent l="0" t="0" r="3810" b="0"/>
              <wp:wrapNone/>
              <wp:docPr id="495114988"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890" cy="357505"/>
                      </a:xfrm>
                      <a:prstGeom prst="rect">
                        <a:avLst/>
                      </a:prstGeom>
                      <a:noFill/>
                      <a:ln>
                        <a:noFill/>
                      </a:ln>
                    </wps:spPr>
                    <wps:txbx>
                      <w:txbxContent>
                        <w:p w14:paraId="29E73F24" w14:textId="276E1EEC" w:rsidR="00C81E94" w:rsidRPr="00C81E94" w:rsidRDefault="00C81E94" w:rsidP="00C81E94">
                          <w:pPr>
                            <w:spacing w:after="0"/>
                            <w:rPr>
                              <w:rFonts w:ascii="Aptos" w:eastAsia="Aptos" w:hAnsi="Aptos" w:cs="Aptos"/>
                              <w:noProof/>
                              <w:color w:val="000000"/>
                              <w:sz w:val="20"/>
                              <w:szCs w:val="20"/>
                            </w:rPr>
                          </w:pPr>
                          <w:r w:rsidRPr="00C81E94">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6833EA0" id="_x0000_t202" coordsize="21600,21600" o:spt="202" path="m,l,21600r21600,l21600,xe">
              <v:stroke joinstyle="miter"/>
              <v:path gradientshapeok="t" o:connecttype="rect"/>
            </v:shapetype>
            <v:shape id="Textové pole 2" o:spid="_x0000_s1026" type="#_x0000_t202" alt="Interné" style="position:absolute;margin-left:0;margin-top:0;width:50.7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" filled="f" stroked="f">
              <v:fill o:detectmouseclick="t"/>
              <v:textbox style="mso-fit-shape-to-text:t" inset="20pt,0,0,15pt">
                <w:txbxContent>
                  <w:p w14:paraId="29E73F24" w14:textId="276E1EEC" w:rsidR="00C81E94" w:rsidRPr="00C81E94" w:rsidRDefault="00C81E94" w:rsidP="00C81E94">
                    <w:pPr>
                      <w:spacing w:after="0"/>
                      <w:rPr>
                        <w:rFonts w:ascii="Aptos" w:eastAsia="Aptos" w:hAnsi="Aptos" w:cs="Aptos"/>
                        <w:noProof/>
                        <w:color w:val="000000"/>
                        <w:sz w:val="20"/>
                        <w:szCs w:val="20"/>
                      </w:rPr>
                    </w:pPr>
                    <w:r w:rsidRPr="00C81E94">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887C5" w14:textId="6A0AE7A9" w:rsidR="00C81E94" w:rsidRDefault="00C81E94">
    <w:pPr>
      <w:pStyle w:val="Pta"/>
    </w:pPr>
    <w:r>
      <w:rPr>
        <w:noProof/>
      </w:rPr>
      <mc:AlternateContent>
        <mc:Choice Requires="wps">
          <w:drawing>
            <wp:anchor distT="0" distB="0" distL="0" distR="0" simplePos="0" relativeHeight="251658240" behindDoc="0" locked="0" layoutInCell="1" allowOverlap="1" wp14:anchorId="3F663D19" wp14:editId="33DD389D">
              <wp:simplePos x="635" y="635"/>
              <wp:positionH relativeFrom="page">
                <wp:align>left</wp:align>
              </wp:positionH>
              <wp:positionV relativeFrom="page">
                <wp:align>bottom</wp:align>
              </wp:positionV>
              <wp:extent cx="643890" cy="357505"/>
              <wp:effectExtent l="0" t="0" r="3810" b="0"/>
              <wp:wrapNone/>
              <wp:docPr id="303085560"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890" cy="357505"/>
                      </a:xfrm>
                      <a:prstGeom prst="rect">
                        <a:avLst/>
                      </a:prstGeom>
                      <a:noFill/>
                      <a:ln>
                        <a:noFill/>
                      </a:ln>
                    </wps:spPr>
                    <wps:txbx>
                      <w:txbxContent>
                        <w:p w14:paraId="7638B888" w14:textId="790C253A" w:rsidR="00C81E94" w:rsidRPr="00C81E94" w:rsidRDefault="00C81E94" w:rsidP="00C81E94">
                          <w:pPr>
                            <w:spacing w:after="0"/>
                            <w:rPr>
                              <w:rFonts w:ascii="Aptos" w:eastAsia="Aptos" w:hAnsi="Aptos" w:cs="Aptos"/>
                              <w:noProof/>
                              <w:color w:val="000000"/>
                              <w:sz w:val="20"/>
                              <w:szCs w:val="20"/>
                            </w:rPr>
                          </w:pPr>
                          <w:r w:rsidRPr="00C81E94">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663D19" id="_x0000_t202" coordsize="21600,21600" o:spt="202" path="m,l,21600r21600,l21600,xe">
              <v:stroke joinstyle="miter"/>
              <v:path gradientshapeok="t" o:connecttype="rect"/>
            </v:shapetype>
            <v:shape id="Textové pole 1" o:spid="_x0000_s1028" type="#_x0000_t202" alt="Interné" style="position:absolute;margin-left:0;margin-top:0;width:50.7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" filled="f" stroked="f">
              <v:fill o:detectmouseclick="t"/>
              <v:textbox style="mso-fit-shape-to-text:t" inset="20pt,0,0,15pt">
                <w:txbxContent>
                  <w:p w14:paraId="7638B888" w14:textId="790C253A" w:rsidR="00C81E94" w:rsidRPr="00C81E94" w:rsidRDefault="00C81E94" w:rsidP="00C81E94">
                    <w:pPr>
                      <w:spacing w:after="0"/>
                      <w:rPr>
                        <w:rFonts w:ascii="Aptos" w:eastAsia="Aptos" w:hAnsi="Aptos" w:cs="Aptos"/>
                        <w:noProof/>
                        <w:color w:val="000000"/>
                        <w:sz w:val="20"/>
                        <w:szCs w:val="20"/>
                      </w:rPr>
                    </w:pPr>
                    <w:r w:rsidRPr="00C81E94">
                      <w:rPr>
                        <w:rFonts w:ascii="Aptos" w:eastAsia="Aptos" w:hAnsi="Aptos" w:cs="Aptos"/>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8F69F" w14:textId="77777777" w:rsidR="00C81E94" w:rsidRDefault="00C81E94" w:rsidP="00C81E94">
      <w:pPr>
        <w:spacing w:after="0" w:line="240" w:lineRule="auto"/>
      </w:pPr>
      <w:r>
        <w:separator/>
      </w:r>
    </w:p>
  </w:footnote>
  <w:footnote w:type="continuationSeparator" w:id="0">
    <w:p w14:paraId="5CC9362D" w14:textId="77777777" w:rsidR="00C81E94" w:rsidRDefault="00C81E94" w:rsidP="00C81E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004"/>
    <w:rsid w:val="000D0EA3"/>
    <w:rsid w:val="0035507E"/>
    <w:rsid w:val="00394BCF"/>
    <w:rsid w:val="005172F5"/>
    <w:rsid w:val="006141BD"/>
    <w:rsid w:val="008B04DD"/>
    <w:rsid w:val="00AB5004"/>
    <w:rsid w:val="00C06A6D"/>
    <w:rsid w:val="00C81E94"/>
    <w:rsid w:val="00D06F5C"/>
    <w:rsid w:val="00E25148"/>
    <w:rsid w:val="00F646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F658"/>
  <w15:chartTrackingRefBased/>
  <w15:docId w15:val="{57411A17-6935-4E6C-A6C4-C3D8F9D4F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AB50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AB50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AB500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AB500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AB5004"/>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AB500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AB5004"/>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AB5004"/>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AB5004"/>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B500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AB500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AB500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AB500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AB500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AB500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AB500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AB500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AB5004"/>
    <w:rPr>
      <w:rFonts w:eastAsiaTheme="majorEastAsia" w:cstheme="majorBidi"/>
      <w:color w:val="272727" w:themeColor="text1" w:themeTint="D8"/>
    </w:rPr>
  </w:style>
  <w:style w:type="paragraph" w:styleId="Nzov">
    <w:name w:val="Title"/>
    <w:basedOn w:val="Normlny"/>
    <w:next w:val="Normlny"/>
    <w:link w:val="NzovChar"/>
    <w:uiPriority w:val="10"/>
    <w:qFormat/>
    <w:rsid w:val="00AB50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B500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B5004"/>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B500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B5004"/>
    <w:pPr>
      <w:spacing w:before="160"/>
      <w:jc w:val="center"/>
    </w:pPr>
    <w:rPr>
      <w:i/>
      <w:iCs/>
      <w:color w:val="404040" w:themeColor="text1" w:themeTint="BF"/>
    </w:rPr>
  </w:style>
  <w:style w:type="character" w:customStyle="1" w:styleId="CitciaChar">
    <w:name w:val="Citácia Char"/>
    <w:basedOn w:val="Predvolenpsmoodseku"/>
    <w:link w:val="Citcia"/>
    <w:uiPriority w:val="29"/>
    <w:rsid w:val="00AB5004"/>
    <w:rPr>
      <w:i/>
      <w:iCs/>
      <w:color w:val="404040" w:themeColor="text1" w:themeTint="BF"/>
    </w:rPr>
  </w:style>
  <w:style w:type="paragraph" w:styleId="Odsekzoznamu">
    <w:name w:val="List Paragraph"/>
    <w:basedOn w:val="Normlny"/>
    <w:uiPriority w:val="34"/>
    <w:qFormat/>
    <w:rsid w:val="00AB5004"/>
    <w:pPr>
      <w:ind w:left="720"/>
      <w:contextualSpacing/>
    </w:pPr>
  </w:style>
  <w:style w:type="character" w:styleId="Intenzvnezvraznenie">
    <w:name w:val="Intense Emphasis"/>
    <w:basedOn w:val="Predvolenpsmoodseku"/>
    <w:uiPriority w:val="21"/>
    <w:qFormat/>
    <w:rsid w:val="00AB5004"/>
    <w:rPr>
      <w:i/>
      <w:iCs/>
      <w:color w:val="0F4761" w:themeColor="accent1" w:themeShade="BF"/>
    </w:rPr>
  </w:style>
  <w:style w:type="paragraph" w:styleId="Zvraznencitcia">
    <w:name w:val="Intense Quote"/>
    <w:basedOn w:val="Normlny"/>
    <w:next w:val="Normlny"/>
    <w:link w:val="ZvraznencitciaChar"/>
    <w:uiPriority w:val="30"/>
    <w:qFormat/>
    <w:rsid w:val="00AB50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AB5004"/>
    <w:rPr>
      <w:i/>
      <w:iCs/>
      <w:color w:val="0F4761" w:themeColor="accent1" w:themeShade="BF"/>
    </w:rPr>
  </w:style>
  <w:style w:type="character" w:styleId="Zvraznenodkaz">
    <w:name w:val="Intense Reference"/>
    <w:basedOn w:val="Predvolenpsmoodseku"/>
    <w:uiPriority w:val="32"/>
    <w:qFormat/>
    <w:rsid w:val="00AB5004"/>
    <w:rPr>
      <w:b/>
      <w:bCs/>
      <w:smallCaps/>
      <w:color w:val="0F4761" w:themeColor="accent1" w:themeShade="BF"/>
      <w:spacing w:val="5"/>
    </w:rPr>
  </w:style>
  <w:style w:type="paragraph" w:styleId="Pta">
    <w:name w:val="footer"/>
    <w:basedOn w:val="Normlny"/>
    <w:link w:val="PtaChar"/>
    <w:uiPriority w:val="99"/>
    <w:unhideWhenUsed/>
    <w:rsid w:val="00C81E94"/>
    <w:pPr>
      <w:tabs>
        <w:tab w:val="center" w:pos="4536"/>
        <w:tab w:val="right" w:pos="9072"/>
      </w:tabs>
      <w:spacing w:after="0" w:line="240" w:lineRule="auto"/>
    </w:pPr>
  </w:style>
  <w:style w:type="character" w:customStyle="1" w:styleId="PtaChar">
    <w:name w:val="Päta Char"/>
    <w:basedOn w:val="Predvolenpsmoodseku"/>
    <w:link w:val="Pta"/>
    <w:uiPriority w:val="99"/>
    <w:rsid w:val="00C81E94"/>
  </w:style>
  <w:style w:type="paragraph" w:styleId="Hlavika">
    <w:name w:val="header"/>
    <w:basedOn w:val="Normlny"/>
    <w:link w:val="HlavikaChar"/>
    <w:uiPriority w:val="99"/>
    <w:unhideWhenUsed/>
    <w:rsid w:val="000D0EA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D0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370</Words>
  <Characters>2111</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Istokova Iveta</dc:creator>
  <cp:keywords/>
  <dc:description/>
  <cp:lastModifiedBy>Ištoková Iveta</cp:lastModifiedBy>
  <cp:revision>6</cp:revision>
  <dcterms:created xsi:type="dcterms:W3CDTF">2026-05-18T11:09:00Z</dcterms:created>
  <dcterms:modified xsi:type="dcterms:W3CDTF">2026-06-10T10:42:00Z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1210b7f8,1d82daec,6f8c0341</vt:lpwstr>
  </property>
  <property fmtid="{D5CDD505-2E9C-101B-9397-08002B2CF9AE}" pid="3" name="ClassificationContentMarkingFooterFontProps">
    <vt:lpwstr>#000000,10,Aptos</vt:lpwstr>
  </property>
  <property fmtid="{D5CDD505-2E9C-101B-9397-08002B2CF9AE}" pid="4" name="ClassificationContentMarkingFooterText">
    <vt:lpwstr>Interné</vt:lpwstr>
  </property>
  <property fmtid="{D5CDD505-2E9C-101B-9397-08002B2CF9AE}" pid="5" name="MSIP_Label_4c805978-f532-4a1a-b9e1-4e19c2c6466f_Enabled">
    <vt:lpwstr>true</vt:lpwstr>
  </property>
  <property fmtid="{D5CDD505-2E9C-101B-9397-08002B2CF9AE}" pid="6" name="MSIP_Label_4c805978-f532-4a1a-b9e1-4e19c2c6466f_SetDate">
    <vt:lpwstr>2026-05-18T11:11:29Z</vt:lpwstr>
  </property>
  <property fmtid="{D5CDD505-2E9C-101B-9397-08002B2CF9AE}" pid="7" name="MSIP_Label_4c805978-f532-4a1a-b9e1-4e19c2c6466f_Method">
    <vt:lpwstr>Standard</vt:lpwstr>
  </property>
  <property fmtid="{D5CDD505-2E9C-101B-9397-08002B2CF9AE}" pid="8" name="MSIP_Label_4c805978-f532-4a1a-b9e1-4e19c2c6466f_Name">
    <vt:lpwstr>Internal</vt:lpwstr>
  </property>
  <property fmtid="{D5CDD505-2E9C-101B-9397-08002B2CF9AE}" pid="9" name="MSIP_Label_4c805978-f532-4a1a-b9e1-4e19c2c6466f_SiteId">
    <vt:lpwstr>579df390-dbff-49fd-8f10-624670566482</vt:lpwstr>
  </property>
  <property fmtid="{D5CDD505-2E9C-101B-9397-08002B2CF9AE}" pid="10" name="MSIP_Label_4c805978-f532-4a1a-b9e1-4e19c2c6466f_ActionId">
    <vt:lpwstr>a45612a3-5aa1-4035-83c9-99a44bf8f798</vt:lpwstr>
  </property>
  <property fmtid="{D5CDD505-2E9C-101B-9397-08002B2CF9AE}" pid="11" name="MSIP_Label_4c805978-f532-4a1a-b9e1-4e19c2c6466f_ContentBits">
    <vt:lpwstr>2</vt:lpwstr>
  </property>
  <property fmtid="{D5CDD505-2E9C-101B-9397-08002B2CF9AE}" pid="12" name="MSIP_Label_4c805978-f532-4a1a-b9e1-4e19c2c6466f_Tag">
    <vt:lpwstr>10, 3, 0, 1</vt:lpwstr>
  </property>
</Properties>
</file>