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Vyhláška Úradu pre reguláciu elektronických komunikácií a poštových služieb z  .... 2026, ktorou sa mení a dopĺňa vyhláška Úradu pre reguláciu elektronických komunikácií a poštových služieb č. 286/2022 Z. z.  o národnom číslovacom pláne v znení vyhlášky č. 98/2023 Z. z.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LP/2026/394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13/1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/1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5/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2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návrhu ako celku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K návrhu odporúčame pripojiť aj informatívne konsolidované znenie.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obalu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2.	K obalu: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navrhujeme pod rezortné číslo uviesť: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Materiál na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pripomienkové konanie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názov navrhujeme upraviť takto: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Návrh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VYHLÁŠKA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Úradu pre reguláciu elektronických komunikácií a poštových služieb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z ... 2026,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ktorou sa mení a dopĺňa vyhláška Úradu pre reguláciu elektronických komunikácií a poštových služieb č. 286/2022 Z. z.  o národnom číslovacom pláne v znení vyhlášky č. 98/2023 Z. z.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obsahu materiálu odporúčame body 3. a 4. spojiť do jedného bodu s označením „Dôvodová správa“, slová „Doložka vplyvov“ odporúčame nahradiť slovami „Doložka vybraných vplyvov“.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Štádium materiálu predkladateľ na obale uvedie podľa jeho momentálneho štádia. Z dôvodu prehľadnosti predkladateľ nespojí Dôvodové správy do jedného materiálu.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K predkladacej správe: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prvom odseku odporúčame vypustiť v názve materiálu slová „z ... 2026“, pričom uvedené sa vzťahuje aj na všetky sprievodné materiály, okrem obalu, kde tieto slová majú byť;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prvom odseku odporúčame vypustiť legislatívne skratky „(ďalej len „návrh vyhlášky“)“ a „(ďalej len „zákon o elektronických komunikáciách“)“ z dôvodu nadbytočnosti;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druhom odseku na konci odporúčame vypustiť nadbytočnú bodku na konci vety;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treťom odseku odporúčame text gramaticky upraviť tak, že za slová „boli odobraté,“ sa vloží slovo „alebo“ a vypustí sa slovo „ak“;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odporúčame vypustiť informáciu o vnútrokomunitárnom pripomienkovom konaní, ktorá v súlade s čl. 20 Legislatívnych pravidiel vlády SR patrí do všeobecnej časti dôvodovej správy;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súlade s čl. 19 Legislatívnych pravidiel vlády SR odporúčame doplniť tieto slová: „Návrh vyhlášky sa netýka pôsobnosti miestnej územnej samosprávy.“.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nevypustí legislatívne skratky nakoľko ich následne v prekladacej správe používa.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4.	K vlastnému materiálu: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úvodnej vete odporúčame vypustiť slová „(ďalej len „zákon“)“, keďže skratka je už zavedená v platnom znení vyhlášky č. 286/2022 Z. z.;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body 1 a 2 odporúčame spojiť do jedného bodu (bude znieť „1. V § 17 ods. 6 a  7...“.) a bod 3 označiť ako bod 2 (takto je označená aj osobitná časť dôvodovej správy, aj keď s chybou);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bod 3 (ktorý odporúčame označiť ako bod 2) odporúčame upraviť takto: „3. V § 17 ods. 9 sa na konci bodka nahrádza bodkočiarkou a pripájajú sa tieto slová: „to neplatí pri prideľovaní...“.;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bode 3 navrhujeme slová „§ 55 ods. 14 písm. b) až f)“ nahradiť slovami „§ 55 ods. 14 písm. b), c), d), e) alebo písm. f)“, keďže § 55 ods. 14 obsahuje rôzne samostatné dôvody straty platnosti.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Predkladateľ ponecháva body 2 a 3 novely (pôvodne body 1 a 2) z dôvodu prehľadnosti návrhu novely.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K všeobecnej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druhom odseku odporúčame vypustiť skratku „(ďalej len „zákon o elektronických komunikáciách“)“ z dôvodu nadbytočnosti, keďže sa ďalej v texte nevyskytuje;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slová „všeobecne záväznými právnymi predpismi“ odporúčame nahradiť slovami „so zákonmi a ostatnými všeobecne záväznými právnymi predpismi“;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za slová „služby verejnej správy“ odporúčame vložiť slová „pre občana“;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slová „a rozvoj informačnej spoločnosti“ odporúčame nahradiť slovami „ani vplyv na informatizáciu spoločnosti“.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K osobitnej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navrhujeme zdôvodniť navrhovanú účinnosť v súlade s Legislatívnymi pravidlami vlády SR.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Doložku zlučiteľnosti odporúčame zosúladiť s prílohou č. 2 k Legislatívnym pravidlám vlády SR (bod 1 uviesť ako „Navrhovateľ vyhlášky“, bod 2 „Názov návrhu vyhlášky“, bod 3 ako „Predmet návrhu vyhlášky“).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(v úvodnej vete návrhu vyhlášky vypustiť slová „(ďalej len „zákon“)“, pretože táto legislatívna skratka je už zavedená v platnom znení vyhlášky, v čl. I bodoch 1 a 2 vypustiť slovo „v“ ako nadbytočné).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návrh vyhlášky upraviť legislatívno-technicky, a to napríklad 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úvodnej vete vyhlášky vypustiť slová „(ďalej len „zákon“)“, vzhľadom na to, že legislatívna skratka už v rámci vyhlášky bola zavedená,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bodoch 1 a 2 vypustiť slovo „v“ z dôvodu nadbytočnosti; tieto dva novelizačné body však odporúčame spojiť do jedného, nakoľko ide o rovnakú legislatívnu úpravu a následne prečíslovať novelizačný bod 3.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ponecháva body 2 a 3 novely (pôvodne body 1 a 2) z dôvodu prehľadnosti návrhu novely.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čl. I body 1 a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bodoch 1 a 2 odporúčame pred slovom „prvej“ vypustiť predložku „v“. Vzhľadom na skutočnosť, že v oboch novelizačných bodoch sa navrhuje identická úprava, odporúčame novelizačné body 1 a 2 spojiť do jedného novelizačného bodu takto: „V § 17 ods. 6 a 7 prvej vete ...“.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ponecháva body 2 a 3 novely (pôvodne body 1 a 2) z dôvodu prehľadnosti návrhu novely.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čl. I bod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3 odporúčame uviesť celé znenie odseku 9 z dôvodu, že na konci prvej vety platného znenia vyhlášky je potrebné pripojiť slovo „čísel“. Ďalej odporúčame preformulovať znenie navrhovanej druhej vety, keďže nie je jasné, o aké „nepoužitie“ prvej vety ide. (Nepoužije sa vo vzťahu k možnosti či nemožnosti požiadať o pridelenie ďalších blokov čísel, alebo vo vzťahu k prevýšeniu či neprevýšeniu 70 % kapacity pridelených blokov čísel.)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 akceptoval návrh MD SR a podľa toho upravil textáciu predmetného ustanovenia.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1 § 17 ods. 9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zásadnú pripomienku k § 17 ods. 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primerané doplnenie nasledovne: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17 ods. 9 sa na konci pripája táto veta: „Prvá veta sa nepoužije pri prideľovaní blokov čísel podľa odsekov 6 až 8, na ktoré úrad zrušil individuálne povolenie na používanie čísel alebo rozhodol o ich odobratí podľa § 55 ods. 13 písm. a) zákona, alebo ak individuálne povolenie na ich používanie stratilo platnosť podľa § 55 ods. 14 písm. b) až f) zákona za účelom zabezpečenia kontinuity služieb pre koncových užívateľov, pričom podnik ako žiadateľ o pridelenie týchto blokov čísel je povinný preukázať, že poskytuje služby pre bloky čísel podľa odseku 6 až 8.“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Nakoľko dôvodom zavedenia osobitného režimu pre prideľovanie čísel je zabezpečenie kontinuity služieb pre koncových užívateľov, navrhujeme primerané doplnenie ustanovenia o stanovený účel, ako aj  povinnosť podniku ako žiadateľa preukázať schopnosť zabezpečiť kontinuitu služieb.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Predkladateľ neakceptuje predmetnú pripomienku nakoľko požadované úpravy zaoberajúce sa účelom a efektívnym využívaním číslovacích zdrojov sú predmetom § 55 ods. 4 písm. c), 7 písm. f) a 13 písm. a) bod 5 zákona č. 452/2021 Z. z. o elektronických komunikáciách v znení neskorších predpisov. Tieto úpravy priamo upravujú práva a povinnosti súvisiace s efektívnym využívaním číslovacích zdrojov v súlade so stanoveným účelom ako aj následkov v prípade nesplnenia týchto povinností. 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vlastného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vyhláške Úradu pre reguláciu elektronických komunikácií a poštových služieb č. 286/2022 Z. z. o národnom číslovacom pláne (ďalej len "vyhláška") v znení vyhlášky č. 98/2023 Z. z. žiadame v § 14 ods. 1 preformulovať text odkazujúci sa na medzinárodnú normu tak, aby použitie medzinárodnej normy na splnenie základných požiadaviek vyhlášky nebolo jediným možným riešením, teda aby nedochádzalo k zozáväzneniu medzinárodnej normy. Informujeme predkladateľa, že príkladom doplnenia alternatívy k použitiu technickej normy je napríklad text uvedený v § 8 ods. 10 vyhlášky. Odôvodnenie: Dosiahnutie súladu s priamoúčinným nariadením Európskeho parlamentu a Rady (EÚ) č. 1025/2012 o európskej normalizácii v platnom znení, v ktorom sa norma definuje ako technická špecifikácia prijatá uznaným normalizačným orgánom na opakované alebo nepretržité používanie, s ktorou súlad nie je povinný.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 (7o,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Verejnosť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(0o,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13 (12o, 1z)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20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31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