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poslancov Národnej rady Slovenskej republiky Romana MICHELKA, Dagmar KRAMPLOVEJ, Jozef CECHA, Pauly PUŠKÁROVEJ a Zdenky MAČICOVEJ na vydanie zákona, ktorým sa mení a dopĺňa zákon č. 461/2003 Z. z. o sociálnom poistení v znení neskorších predpisov (tlač 1249)</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LP/2026/235</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20/3</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0</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0</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Asociácia zamestnávateľských zväzov a združení SR uvedomujúc si, že poslanecký návrh má dopad na verejné financie má za to, že príjmová hranica podľa ktorého povinné poistenie a povinnosť platiť poistné vznikne len tej SZČO, ktorej príjem z podnikania a z inej samostatnej zárobkovej činnosti za relevantný kalendárny rok presiahne 10,5-násobku sumy životného minima platného 1. januára toho zdaňovacieho obdobia (kalendárneho roka), za ktorý sa príjem posudzuje (pre zdaňovacie obdobie 2025 je to suma 2 876,90 eura), je nízky, preto dáva na zváženie z dôvodu vyššej atraktivity a efektivity podnikania túto hranicu z 10,5 násobku sumy životného minima zvýšiť na 15 násobok sumy životného minima (pre zdaňovacie obdobie 2025 je to suma 4 109,88 eura).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Poslanecký návrh zákona rieši stav keď zákonom č. 261/2025 Z. z., ktorým sa menia a dopĺňajú niektoré zákony v súvislosti s konsolidáciou verejných financií, bol novelizovaný aj zákon č. 461/2003 Z. z. o sociálnom poistení (ďalej len „zákon o sociálnom poistení“) v znení neskorších predpisov a táto novela od 1. januára 2026 zaviedla nový mechanizmus vzniku a zániku povinného nemocenského poistenia a povinného dôchodkového poistenia SZČO. Povinné nemocenské poistenie a povinné dôchodkové poistenie (ďalej len „povinné poistenie“) SZČO vzniká od prvého dňa šiesteho kalendárneho mesiaca nasledujúceho po mesiaci, od ktorého je fyzická osoba oprávnená na výkon alebo prevádzkovanie podnikania a inej samostatnej zárobkovej činnosti; okrem situácie, ak nové oprávnenie na podnikanie vznikne do 60 mesiacov od zániku posledného oprávnenia. </w:t>
              <w:br/>
            </w:r>
            <w:r>
              <w:rPr>
                <w:b w:val="off"/>
                <w:color w:val="000000"/>
                <w:rFonts w:ascii="Times New Roman" w:hAnsi="Times New Roman" w:cs="Times New Roman" w:eastAsia="Times New Roman"/>
                <w:sz w:val="24"/>
              </w:rPr>
              <w:t xml:space="preserve">Vznik poistenia už nie je podmienený dosiahnutím hranice príjmu z podnikania a z inej samostatnej zárobkovej činnosti. Uvedené znamená, že ak povinné poistenie SZČO už raz vznikne, bude trvať pokým jej nezanikne oprávnenie na výkon alebo na prevádzkovanie podnikania a inej samostatnej zárobkovej činnosti. </w:t>
              <w:br/>
            </w:r>
            <w:r>
              <w:rPr>
                <w:b w:val="off"/>
                <w:color w:val="000000"/>
                <w:rFonts w:ascii="Times New Roman" w:hAnsi="Times New Roman" w:cs="Times New Roman" w:eastAsia="Times New Roman"/>
                <w:sz w:val="24"/>
              </w:rPr>
              <w:t>Takto koncipovaná právna úprava má za dôsledok vznik povinného poistenia aj u tých SZČO, ktoré síce sú oprávnené na podnikanie a vykonávanie inej samostatnej zárobkovej činnosti, ale nedosahujú z nej žiadny alebo dosahujú tak nízky príjem, že po zaplatení poistného na sociálne poistenie je výkon tejto činnosti neefektívny.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celému materiálu - O:</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a k doložke vybraných vplyvov</w:t>
              <w:br/>
            </w:r>
            <w:r>
              <w:rPr>
                <w:b w:val="off"/>
                <w:color w:val="000000"/>
                <w:rFonts w:ascii="Times New Roman" w:hAnsi="Times New Roman" w:cs="Times New Roman" w:eastAsia="Times New Roman"/>
                <w:sz w:val="24"/>
              </w:rPr>
              <w:t xml:space="preserve">Výpadok príjmov z odvodov v Sociálnej poisťovni má negatívny vplyv na rozpočtové hospodárenie, po zohľadnení úspory v základnom fonde nemocenského poistenia predstavuje zhoršenie hospodárenia Sociálnej poisťovne v roku 2026 sumu 21 554 475 eur, v roku 2027 sumu 43 468 269 eur, v roku 2028 sumu 44 552 789 eur, v roku 2029 sumu 45 510 330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aby Ministerstvo práce, sociálnych vecí a rodiny SR predložilo pred rokovaním vlády  Slovenskej republiky o poslaneckom návrhu zákona Ministerstvu financií SR na posúdenie upravenú doložku vybraných vplyvov a upravenú Analýzu vplyvov na rozpočet verejnej správy, na zamestnanosť vo verejnej správe a financovanie návrhu (ďalej len „analýza vplyvov“), a to podľa pripomienok Ministerstva financií SR uvedených v bodoch 2 až 8.</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Do analýzy vplyvov žiadame v súlade s § 33 ods. 1 zákona č. 523/2004 Z. z. o rozpočtových pravidlách verejnej správy a o zmene a doplnení niektorých zákonov doplniť návrh na úhradu úbytku príjmov.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 analýze vplyvov časti 2.1.1. sa uvádza, že financovanie zvýšených výdavkov bude riešené v rámci prípravy návrhu rozpočtu verejnej správy na roky 2027 až 2029. Uvedené konštatovanie nie je vecne správne, pretože predložený návrh nepredpokladá v rokoch 2027 - 2029 zvýšenie výdavkov verejnej správy. Je potrebné zosúladiť uvedené konštatovanie s údajmi v analýze vplyvov a podľa zásadnej pripomienky uvedenej v bode 2.</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doložke vybraných vplyvov bode 9. Vybrané vplyvy materiálu je pri rozpočtovom zabezpečení negatívneho vplyvu označená možnosť „nie“ a zároveň aj možnosť „čiastočne“. Je potrebné ponechať označenú len možnosť „čiastočne“. Zároveň je potrebné označiť aj pozitívny vplyv na rozpočet verejnej správy.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 analýze vplyvov tabuľku č. 1/A žiadame upraviť takto:</w:t>
              <w:br/>
            </w:r>
            <w:r>
              <w:rPr>
                <w:b w:val="off"/>
                <w:color w:val="000000"/>
                <w:rFonts w:ascii="Times New Roman" w:hAnsi="Times New Roman" w:cs="Times New Roman" w:eastAsia="Times New Roman"/>
                <w:sz w:val="24"/>
              </w:rPr>
              <w:t>a) vo výdavkovej časti tabuľky pod riadok „vplyv na Sociálnu poisťovňu“ žiadame doplniť dva riadky, pričom jeden riadok je potrebné označiť slovami „úspora výdavkov základného fondu nemocenského poistenia“ a uviesť v ňom sumy -730 466 eur v roku 2026, -3 811 865 eur v roku 2027,             -4 371 842 eur v roku 2028 a -4 550 730 eur v roku 2029. Druhý riadok je potrebné označiť slovami „zvýšené výdavky Správneho fondu“ a uviesť v ňom sumu 715 000 eur v roku 2026 a „nulové“ sumy v ďalších rokoch,</w:t>
              <w:br/>
            </w:r>
            <w:r>
              <w:rPr>
                <w:b w:val="off"/>
                <w:color w:val="000000"/>
                <w:rFonts w:ascii="Times New Roman" w:hAnsi="Times New Roman" w:cs="Times New Roman" w:eastAsia="Times New Roman"/>
                <w:sz w:val="24"/>
              </w:rPr>
              <w:t>b) v riadku „rozpočtovo nekrytý vplyv/úspora“ má byť uvedený iba vplyv na výdavky rozpočtu verejnej správy, t. j. v tomto prípade iba sumy úspory výdavkov Sociálnej poisťovne,</w:t>
              <w:br/>
            </w:r>
            <w:r>
              <w:rPr>
                <w:b w:val="off"/>
                <w:color w:val="000000"/>
                <w:rFonts w:ascii="Times New Roman" w:hAnsi="Times New Roman" w:cs="Times New Roman" w:eastAsia="Times New Roman"/>
                <w:sz w:val="24"/>
              </w:rPr>
              <w:t>c) v prípade doplnenia financovania Sociálnej poisťovne cez transfer z kapitoly Všeobecná pokladničná správa je potrebné finančný tok zapracovať do príjmovej aj výdavkovej časti tabuľky č. 1/A.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 analýze vplyvov tabuľku č. 1/B žiadame upraviť takto:</w:t>
              <w:br/>
            </w:r>
            <w:r>
              <w:rPr>
                <w:b w:val="off"/>
                <w:color w:val="000000"/>
                <w:rFonts w:ascii="Times New Roman" w:hAnsi="Times New Roman" w:cs="Times New Roman" w:eastAsia="Times New Roman"/>
                <w:sz w:val="24"/>
              </w:rPr>
              <w:t>a) riadok „vplyv na limit verejných výdavkov ŠR“ žiadame preformulovať na „vplyv na limit verejných výdavkov ŠR – úbytok príjmov“, a uviesť  v ňom sumy -22 284 941 eur v roku 2026, -47 280 134 eur v roku 2027, -48 924 631 eur na rok 2028 a -50 061 060 eur na rok 2029. Ide o sumy uvedené v príjmovej časti tabuľky č. 1/A v riadku „vplyv na Sociálnu poisťovňu“, pričom ide o diskrečné opatrenie, ktoré má vplyv na limit verejných výdavkov verejnej správy,</w:t>
              <w:br/>
            </w:r>
            <w:r>
              <w:rPr>
                <w:b w:val="off"/>
                <w:color w:val="000000"/>
                <w:rFonts w:ascii="Times New Roman" w:hAnsi="Times New Roman" w:cs="Times New Roman" w:eastAsia="Times New Roman"/>
                <w:sz w:val="24"/>
              </w:rPr>
              <w:t>b) riadok „vplyv na limit verejných výdavkov Sociálnej poisťovne“ žiadame preformulovať na „vplyv na limit verejných výdavkov Sociálnej poisťovne - úspora výdavkov“, pričom sumy sa nemenia,</w:t>
              <w:br/>
            </w:r>
            <w:r>
              <w:rPr>
                <w:b w:val="off"/>
                <w:color w:val="000000"/>
                <w:rFonts w:ascii="Times New Roman" w:hAnsi="Times New Roman" w:cs="Times New Roman" w:eastAsia="Times New Roman"/>
                <w:sz w:val="24"/>
              </w:rPr>
              <w:t>c) v riadku „vplyvy na limit verejných výdavkov verejnej správy celkom (v metodike ESA 2010)“ v nadväznosti na vyššie uvedené je potrebné prepočítať sumy v jednotlivých rokoch.</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 analýze vplyvov tabuľku č. 4/A, v ktorej je uvedený súhrnný vplyv na príjmy štátneho rozpočtu a rozpočtov obcí a VÚC, je potrebné nahradiť samostatnými tabuľkami zvlášť za príjmy štátneho rozpočtu, zvlášť za príjmy obcí a zvlášť za príjmy VÚC tak, ako sú jednotlivé príjmy uvedené v tabuľke č. 1/A.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w:t>
              <w:br/>
            </w:r>
            <w:r>
              <w:rPr>
                <w:b w:val="off"/>
                <w:color w:val="000000"/>
                <w:rFonts w:ascii="Times New Roman" w:hAnsi="Times New Roman" w:cs="Times New Roman" w:eastAsia="Times New Roman"/>
                <w:sz w:val="24"/>
              </w:rPr>
              <w:t>V analýze vplyvov tabuľkách č. 4/A a 4/B sa nesprávne uvádza úspora výdavkov na nemocenské dávky ako zníženie výdavkov na poistné na nemocenské poistenie (625001), čo žiadame upraviť a uviesť pod EKRK 642015.</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 xml:space="preserve">Žiadame predkladateľa, aby v bode 9 „Vybrané vplyvy materiálu" v Doložke vybraných vplyvov v časti "Vplyv na podnikateľské prostredie" označil aj negatívny vplyv na podnikateľské prostredie a označil "ÁNO" pre Mechanizmus znižovania byrokracie a nákladov.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Navrhovaná právna úprava sa negatívne dotýka povinností podnikateľských subjektov a ovplyvňuje ich administratívne zaťaženie, preto materiál zakladá negatívne vplyvy na podnikateľské prostredie. </w:t>
              <w:br/>
            </w:r>
            <w:r>
              <w:rPr>
                <w:b w:val="off"/>
                <w:color w:val="000000"/>
                <w:rFonts w:ascii="Times New Roman" w:hAnsi="Times New Roman" w:cs="Times New Roman" w:eastAsia="Times New Roman"/>
                <w:sz w:val="24"/>
              </w:rPr>
              <w:t>Materiál má kvantifikované vplyvy na podnikateľské prostredie a v súlade s Jednotnou metodikou posudzovania vplyvov sa uplatňuje Mechanizmus znižovania byrokracie a nákladov.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materiálu</w:t>
              <w:br/>
            </w:r>
            <w:r>
              <w:rPr>
                <w:b w:val="off"/>
                <w:color w:val="000000"/>
                <w:rFonts w:ascii="Times New Roman" w:hAnsi="Times New Roman" w:cs="Times New Roman" w:eastAsia="Times New Roman"/>
                <w:sz w:val="24"/>
              </w:rPr>
              <w:t>Návrh zaviesť príjmovú hranicu, podľa ktorej povinné poistenie a povinnosť platiť poistné vznikne len tým SZČO, ktorých príjem z podnikania a z inej samostatnej zárobkovej činnosti za relevantný kalendárny rok presiahne 10,5-násobku sumy životného minima (teda 2 876,90 eura), považujeme za pozitívny krok, avšak z hľadiska ochrany tradičných remeselníkov a ďalších kultúrnych profesií je táto hranica nedostatočná. Zvýšenie tejto hranice by bolo možné vnímať ako jedno z možných zmierňujúcich opatrení. Zároveň však upozorňujeme, že bez podrobnej sektorovej analýzy príjmových a nákladových pomerov dotknutých skupín nie je možné kvalifikovane určiť, aký násobok životného minima by predstavoval primerané a spravodlivé riešenie.</w:t>
              <w:br/>
            </w:r>
            <w:r>
              <w:rPr>
                <w:b w:val="off"/>
                <w:color w:val="000000"/>
                <w:rFonts w:ascii="Times New Roman" w:hAnsi="Times New Roman" w:cs="Times New Roman" w:eastAsia="Times New Roman"/>
                <w:sz w:val="24"/>
              </w:rPr>
              <w:t>Práve táto skutočnosť poukazuje na systémový problém navrhovaného modelu. Ak má byť právna úprava založená na pevne stanovenej príjmovej hranici, je nevyhnutné, aby výška tejto hranice vychádzala z preukázateľných údajov o reálnom hospodárení dotknutých SZČO, najmä drobných remeselníkov, tradičných výrobcov a výkonných umelcov. V opačnom prípade hrozí, že aj zvýšená hranica bude mať na časť kultúrnych profesií neprimerane negatívny dopad, zatiaľ čo jej prípadné príliš vysoké nastavenie by mohlo oslabiť účel sledovaný novelou zákona.</w:t>
              <w:br/>
            </w:r>
            <w:r>
              <w:rPr>
                <w:b w:val="off"/>
                <w:color w:val="000000"/>
                <w:rFonts w:ascii="Times New Roman" w:hAnsi="Times New Roman" w:cs="Times New Roman" w:eastAsia="Times New Roman"/>
                <w:sz w:val="24"/>
              </w:rPr>
              <w:t>Z uvedeného dôvodu navrhujeme, aby bola otázka príjmovej hranice ešte predmetom odbornej diskusie so zástupcami dotknutých sektorov. Za vhodnejšie riešenie považujeme buď určenie hranice na základe dátovej analýzy reálnych príjmov a výdavkov dotknutých skupín, alebo zváženie návratu k modelu, ktorý by odvodovú povinnosť viazal viac na skutočné hospodárske výsledky SZČO než na formálne prekročenie jednotne stanovenej príjmovej hranice. Alternatívne možno zvážiť aj osobitný režim pre vybrané kultúrne profesie, inšpirovaný sociálnymi modelmi uplatňovanými v iných členských štátoch Európskej únie.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úvodnej vete odporúčame do výpočtu noviel doplniť  odkaz na zákon č. 44/2026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 ods. 4</w:t>
              <w:br/>
            </w:r>
            <w:r>
              <w:rPr>
                <w:b w:val="off"/>
                <w:color w:val="000000"/>
                <w:rFonts w:ascii="Times New Roman" w:hAnsi="Times New Roman" w:cs="Times New Roman" w:eastAsia="Times New Roman"/>
                <w:sz w:val="24"/>
              </w:rPr>
              <w:t>V § 21 ods. 4 odporúčame vypustiť čiarku za slovom „priznanie“ a vložiť čiarku pred slovo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štylistickú pripomienku.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8 (6o,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20 (17o, 3z)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10</w:t>
            </w:r>
          </w:p>
        </w:tc>
        <w:tc>
          <w:tcPr>
            <w:vAlign w:val="center"/>
          </w:tcPr>
          <w:p>
            <w:pPr>
              <w:spacing w:after="0"/>
              <w:jc w:val="center"/>
            </w:pPr>
            <w:r>
              <w:rPr>
                <w:b w:val="on"/>
                <w:color w:val="000000"/>
                <w:rFonts w:ascii="Times New Roman" w:hAnsi="Times New Roman" w:cs="Times New Roman" w:eastAsia="Times New Roman"/>
                <w:sz w:val="24"/>
              </w:rPr>
              <w:t>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