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E7074A" w14:textId="77777777" w:rsidR="00172342" w:rsidRPr="00D765DE" w:rsidRDefault="00172342" w:rsidP="00172342">
      <w:pPr>
        <w:pStyle w:val="Nzov"/>
      </w:pPr>
      <w:r w:rsidRPr="00D765DE">
        <w:t>Dôvodová správa</w:t>
      </w:r>
    </w:p>
    <w:p w14:paraId="3C0F9DE4" w14:textId="77777777" w:rsidR="00172342" w:rsidRPr="00D765DE" w:rsidRDefault="00172342" w:rsidP="00172342">
      <w:pPr>
        <w:jc w:val="center"/>
        <w:rPr>
          <w:b/>
          <w:bCs/>
        </w:rPr>
      </w:pPr>
    </w:p>
    <w:p w14:paraId="3E28FEFB" w14:textId="77777777" w:rsidR="00172342" w:rsidRPr="00D765DE" w:rsidRDefault="00172342" w:rsidP="00172342">
      <w:pPr>
        <w:jc w:val="center"/>
        <w:rPr>
          <w:b/>
          <w:bCs/>
        </w:rPr>
      </w:pPr>
    </w:p>
    <w:p w14:paraId="45CAC424" w14:textId="77777777" w:rsidR="00172342" w:rsidRPr="00D765DE" w:rsidRDefault="00172342" w:rsidP="00172342">
      <w:pPr>
        <w:pStyle w:val="Podtitul"/>
        <w:numPr>
          <w:ilvl w:val="0"/>
          <w:numId w:val="14"/>
        </w:numPr>
        <w:ind w:left="851" w:hanging="425"/>
      </w:pPr>
      <w:r w:rsidRPr="00D765DE">
        <w:t>Všeobecná časť</w:t>
      </w:r>
    </w:p>
    <w:p w14:paraId="0ED37492" w14:textId="77777777" w:rsidR="00172342" w:rsidRPr="00D765DE" w:rsidRDefault="00172342" w:rsidP="00172342">
      <w:pPr>
        <w:ind w:left="360"/>
        <w:jc w:val="both"/>
      </w:pPr>
    </w:p>
    <w:p w14:paraId="612BB032" w14:textId="77777777" w:rsidR="00172342" w:rsidRPr="00D765DE" w:rsidRDefault="00172342" w:rsidP="00172342">
      <w:pPr>
        <w:ind w:left="360"/>
        <w:jc w:val="both"/>
      </w:pPr>
      <w:r w:rsidRPr="00D765DE">
        <w:t xml:space="preserve">Podľa § 10 ods. </w:t>
      </w:r>
      <w:r w:rsidR="008E4DF9">
        <w:t>3</w:t>
      </w:r>
      <w:r w:rsidRPr="00D765DE">
        <w:t xml:space="preserve"> zákona </w:t>
      </w:r>
      <w:r w:rsidR="00232678">
        <w:t>Slovenskej národnej rady</w:t>
      </w:r>
      <w:r w:rsidRPr="00D765DE">
        <w:t xml:space="preserve"> č. 310/1992 Zb. o stavebnom sporení v znení neskorších predpisov (ďalej len „zákon“) sa štátna prémia určuje percentuálnym podielom z ročného vkladu na základe výpočtu podľa vzorca uvedeného v prílohe zákona so zaokrúhlením na 0,5 %, a to minimálne </w:t>
      </w:r>
      <w:r w:rsidR="00EF6D6E" w:rsidRPr="00D765DE">
        <w:t>2,</w:t>
      </w:r>
      <w:r w:rsidRPr="00D765DE">
        <w:t xml:space="preserve">5 % z ročného vkladu a maximálne 15 % z ročného vkladu, najviac v sume </w:t>
      </w:r>
      <w:r w:rsidR="00EF6D6E" w:rsidRPr="00D765DE">
        <w:t>70</w:t>
      </w:r>
      <w:r w:rsidRPr="00D765DE">
        <w:t xml:space="preserve"> eur na príslušný kalendárny rok.</w:t>
      </w:r>
    </w:p>
    <w:p w14:paraId="64135FFA" w14:textId="77777777" w:rsidR="00172342" w:rsidRPr="00D765DE" w:rsidRDefault="00172342" w:rsidP="00172342">
      <w:pPr>
        <w:ind w:left="360"/>
        <w:jc w:val="both"/>
      </w:pPr>
    </w:p>
    <w:p w14:paraId="7352BA7C" w14:textId="5FE5BD75" w:rsidR="00AA6CF4" w:rsidRPr="00D765DE" w:rsidRDefault="00172342" w:rsidP="00AA6CF4">
      <w:pPr>
        <w:ind w:left="360"/>
        <w:jc w:val="both"/>
      </w:pPr>
      <w:r w:rsidRPr="00D765DE">
        <w:t xml:space="preserve">Výpočet percentuálneho podielu štátnej prémie podľa vzorca uvedeného v prílohe zákona vychádza z referenčnej sadzby, </w:t>
      </w:r>
      <w:r w:rsidR="00EC4A42" w:rsidRPr="00D765DE">
        <w:t>kde referenčná sadzba sa rovná jednoduchému aritmetickému priemeru za rozhodujúce obdobie priemerných výnosov do splatnosti štátnych dlhopisov, ktoré tvoria bázu dlhopisového indexu pre štátne dlhopisy počítaného a zverejneného v obchodných dňoch Burzou cenných papierov v</w:t>
      </w:r>
      <w:r w:rsidR="00C1002A" w:rsidRPr="00D765DE">
        <w:t> </w:t>
      </w:r>
      <w:r w:rsidR="00EC4A42" w:rsidRPr="00D765DE">
        <w:t>Bratislave</w:t>
      </w:r>
      <w:r w:rsidR="00C1002A" w:rsidRPr="00D765DE">
        <w:t xml:space="preserve">, </w:t>
      </w:r>
      <w:proofErr w:type="spellStart"/>
      <w:r w:rsidR="00C1002A" w:rsidRPr="00D765DE">
        <w:t>a.s</w:t>
      </w:r>
      <w:proofErr w:type="spellEnd"/>
      <w:r w:rsidR="00C1002A" w:rsidRPr="00D765DE">
        <w:t>.</w:t>
      </w:r>
      <w:r w:rsidR="00EC4A42" w:rsidRPr="00D765DE">
        <w:t xml:space="preserve">; ak údaje neboli zverejnené touto burzou počas viac ako 30 po sebe nasledujúcich dní, referenčná sadzba za rozhodujúce obdobie sa určí obdobným spôsobom z údajov o </w:t>
      </w:r>
      <w:proofErr w:type="spellStart"/>
      <w:r w:rsidR="00EC4A42" w:rsidRPr="00D765DE">
        <w:t>fixingu</w:t>
      </w:r>
      <w:proofErr w:type="spellEnd"/>
      <w:r w:rsidR="00EC4A42" w:rsidRPr="00D765DE">
        <w:t xml:space="preserve"> úrokových sadzieb na medzibankovom trhu depozít (12-mesačný BRIBOR) zverejňovaných Národnou bankou Slovenska; rozhodujúcim obdobím sa rozumie obdobie od 1. júla predchádzajúceho kalendárneho roka do 30. júna aktuálneho kalendárneho roka.</w:t>
      </w:r>
    </w:p>
    <w:p w14:paraId="3AE42FAC" w14:textId="15A15F43" w:rsidR="00172342" w:rsidRPr="00D765DE" w:rsidRDefault="00C1002A" w:rsidP="00EC4A42">
      <w:pPr>
        <w:ind w:left="360"/>
        <w:jc w:val="both"/>
      </w:pPr>
      <w:r w:rsidRPr="00D765DE">
        <w:t xml:space="preserve">Podľa </w:t>
      </w:r>
      <w:r w:rsidR="00EC4A42" w:rsidRPr="00D765DE">
        <w:t xml:space="preserve">oznámenia Burzy cenných papierov </w:t>
      </w:r>
      <w:r w:rsidRPr="00D765DE">
        <w:t xml:space="preserve">v </w:t>
      </w:r>
      <w:r w:rsidR="00EC4A42" w:rsidRPr="00D765DE">
        <w:t>Bratislav</w:t>
      </w:r>
      <w:r w:rsidRPr="00D765DE">
        <w:t>e</w:t>
      </w:r>
      <w:r w:rsidR="00EC4A42" w:rsidRPr="00D765DE">
        <w:t xml:space="preserve">, </w:t>
      </w:r>
      <w:proofErr w:type="spellStart"/>
      <w:r w:rsidR="00EC4A42" w:rsidRPr="00D765DE">
        <w:t>a.s</w:t>
      </w:r>
      <w:proofErr w:type="spellEnd"/>
      <w:r w:rsidR="00EC4A42" w:rsidRPr="00D765DE">
        <w:t xml:space="preserve">., že s účinnosťou od 1.6.2018 bol pozastavený výpočet indexu </w:t>
      </w:r>
      <w:proofErr w:type="spellStart"/>
      <w:r w:rsidR="00EC4A42" w:rsidRPr="00D765DE">
        <w:t>SDXGroup</w:t>
      </w:r>
      <w:proofErr w:type="spellEnd"/>
      <w:r w:rsidR="00EC4A42" w:rsidRPr="00D765DE">
        <w:t>, boli pre výpočet referenčnej sadzby použité overené údaje o </w:t>
      </w:r>
      <w:proofErr w:type="spellStart"/>
      <w:r w:rsidR="00EC4A42" w:rsidRPr="00D765DE">
        <w:t>fixingu</w:t>
      </w:r>
      <w:proofErr w:type="spellEnd"/>
      <w:r w:rsidR="00EC4A42" w:rsidRPr="00D765DE">
        <w:t xml:space="preserve"> úrokových sadzieb na medzibankovom trhu depozít (12-mesačný EURIBOR). </w:t>
      </w:r>
      <w:r w:rsidR="00172342" w:rsidRPr="00D765DE">
        <w:t xml:space="preserve">Na základe výsledku tohto výpočtu sa s prihliadnutím na ustanovenie § 10 ods. </w:t>
      </w:r>
      <w:r w:rsidR="008E4DF9">
        <w:t>3</w:t>
      </w:r>
      <w:r w:rsidR="00172342" w:rsidRPr="00D765DE">
        <w:t xml:space="preserve"> zákona určuje výška štátnej prémie na rok 20</w:t>
      </w:r>
      <w:r w:rsidR="00D70A09" w:rsidRPr="00D765DE">
        <w:t>2</w:t>
      </w:r>
      <w:r w:rsidR="00E81551">
        <w:t>7</w:t>
      </w:r>
      <w:r w:rsidR="00172342" w:rsidRPr="00D765DE">
        <w:t>, ktorá sa uverejní opatrením.</w:t>
      </w:r>
    </w:p>
    <w:p w14:paraId="5F05AC81" w14:textId="77777777" w:rsidR="00172342" w:rsidRPr="00D765DE" w:rsidRDefault="00172342" w:rsidP="00172342">
      <w:pPr>
        <w:ind w:left="360"/>
        <w:jc w:val="both"/>
      </w:pPr>
      <w:r w:rsidRPr="00D765DE">
        <w:t xml:space="preserve">  </w:t>
      </w:r>
    </w:p>
    <w:p w14:paraId="77B7B497" w14:textId="09B57FCB" w:rsidR="004957A7" w:rsidRDefault="00172342" w:rsidP="00C1002A">
      <w:pPr>
        <w:pStyle w:val="Zarkazkladnhotextu"/>
        <w:ind w:left="426"/>
        <w:jc w:val="both"/>
      </w:pPr>
      <w:r w:rsidRPr="00D765DE">
        <w:t xml:space="preserve">Návrh opatrenia nemá vplyv na verejné financie, pretože jeho účelom je len oznámenie percentuálnej výšky štátnej prémie na nasledujúci kalendárny rok. </w:t>
      </w:r>
      <w:r w:rsidR="00486B9F" w:rsidRPr="00486B9F">
        <w:t>Vplyv na rozpočet verejnej správy má zákon</w:t>
      </w:r>
      <w:r w:rsidR="008E4DF9" w:rsidRPr="008E4DF9">
        <w:t>, tento vplyv je však pre rok 202</w:t>
      </w:r>
      <w:r w:rsidR="00E81551">
        <w:t>8</w:t>
      </w:r>
      <w:r w:rsidR="008E4DF9" w:rsidRPr="008E4DF9">
        <w:t xml:space="preserve"> (štátna prémia za rok 202</w:t>
      </w:r>
      <w:r w:rsidR="00E81551">
        <w:t>7</w:t>
      </w:r>
      <w:r w:rsidR="008E4DF9" w:rsidRPr="008E4DF9">
        <w:t xml:space="preserve"> bude vyplatená v roku 202</w:t>
      </w:r>
      <w:r w:rsidR="00E81551">
        <w:t>8</w:t>
      </w:r>
      <w:r w:rsidR="008E4DF9" w:rsidRPr="008E4DF9">
        <w:t>) zabezpečený v kapitole</w:t>
      </w:r>
      <w:r w:rsidR="00486B9F" w:rsidRPr="00486B9F">
        <w:t xml:space="preserve"> Ministerstva dopravy SR. </w:t>
      </w:r>
      <w:r w:rsidR="00021C4E">
        <w:t>Návrh opatrenia nemá</w:t>
      </w:r>
      <w:r w:rsidR="00021C4E" w:rsidRPr="00033A67">
        <w:t xml:space="preserve"> </w:t>
      </w:r>
      <w:r w:rsidR="00021C4E">
        <w:t xml:space="preserve">žiadne </w:t>
      </w:r>
      <w:r w:rsidR="00021C4E" w:rsidRPr="00033A67">
        <w:t>sociáln</w:t>
      </w:r>
      <w:r w:rsidR="00021C4E">
        <w:t>e</w:t>
      </w:r>
      <w:r w:rsidR="00021C4E" w:rsidRPr="00033A67">
        <w:t xml:space="preserve"> vplyv</w:t>
      </w:r>
      <w:r w:rsidR="00021C4E">
        <w:t>y,</w:t>
      </w:r>
      <w:r w:rsidR="00021C4E" w:rsidRPr="00033A67">
        <w:t xml:space="preserve"> </w:t>
      </w:r>
      <w:r w:rsidR="00021C4E">
        <w:t xml:space="preserve">ani </w:t>
      </w:r>
      <w:r w:rsidR="00021C4E" w:rsidRPr="00033A67">
        <w:t>vplyv</w:t>
      </w:r>
      <w:r w:rsidR="00021C4E">
        <w:t>y</w:t>
      </w:r>
      <w:r w:rsidR="00021C4E" w:rsidRPr="00033A67">
        <w:t xml:space="preserve"> na podnikateľské prostredie.</w:t>
      </w:r>
      <w:r w:rsidR="00021C4E">
        <w:t xml:space="preserve"> </w:t>
      </w:r>
      <w:r w:rsidR="004957A7" w:rsidRPr="004957A7">
        <w:t xml:space="preserve">Návrh opatrenia nemá žiadny vplyv na životné prostredie, informatizáciu spoločnosti, na služby verejnej správy </w:t>
      </w:r>
      <w:r w:rsidR="00CB4529">
        <w:t>na</w:t>
      </w:r>
      <w:r w:rsidR="004957A7" w:rsidRPr="004957A7">
        <w:t xml:space="preserve"> občana a na manželstvo rodičovstvo a rodinu. </w:t>
      </w:r>
      <w:r w:rsidR="00C1002A" w:rsidRPr="00D765DE">
        <w:t xml:space="preserve"> </w:t>
      </w:r>
    </w:p>
    <w:p w14:paraId="5D97FBFD" w14:textId="77777777" w:rsidR="004957A7" w:rsidRDefault="004957A7" w:rsidP="00C1002A">
      <w:pPr>
        <w:pStyle w:val="Zarkazkladnhotextu"/>
        <w:ind w:left="426"/>
        <w:jc w:val="both"/>
      </w:pPr>
    </w:p>
    <w:p w14:paraId="76DB8700" w14:textId="77777777" w:rsidR="00DA7BE3" w:rsidRPr="00B2721D" w:rsidRDefault="00DA7BE3" w:rsidP="004E3B84">
      <w:pPr>
        <w:pStyle w:val="Zarkazkladnhotextu"/>
        <w:ind w:left="426"/>
        <w:jc w:val="both"/>
      </w:pPr>
      <w:r w:rsidRPr="00B2721D">
        <w:t xml:space="preserve">Návrh opatrenia nie je vzhľadom na svoju povahu predmetom </w:t>
      </w:r>
      <w:proofErr w:type="spellStart"/>
      <w:r w:rsidRPr="00B2721D">
        <w:t>vnútrokomunitárneho</w:t>
      </w:r>
      <w:proofErr w:type="spellEnd"/>
      <w:r w:rsidRPr="00B2721D">
        <w:t xml:space="preserve"> pripomienkového konania.</w:t>
      </w:r>
    </w:p>
    <w:p w14:paraId="1C72B020" w14:textId="77777777" w:rsidR="00DA7BE3" w:rsidRDefault="00DA7BE3" w:rsidP="00C1002A">
      <w:pPr>
        <w:pStyle w:val="Zarkazkladnhotextu"/>
        <w:ind w:left="426"/>
        <w:jc w:val="both"/>
      </w:pPr>
    </w:p>
    <w:p w14:paraId="2AAB11EC" w14:textId="77777777" w:rsidR="00FF5537" w:rsidRPr="00D765DE" w:rsidRDefault="00172342" w:rsidP="00A62062">
      <w:pPr>
        <w:pStyle w:val="Zarkazkladnhotextu"/>
        <w:ind w:left="426"/>
        <w:jc w:val="both"/>
      </w:pPr>
      <w:r w:rsidRPr="00D765DE">
        <w:t xml:space="preserve">Predložený návrh opatrenia </w:t>
      </w:r>
      <w:r w:rsidR="00A62062" w:rsidRPr="003851DE">
        <w:t>je v súlade s Ústavou Slovenskej republiky, s ústavnými zákonmi, nálezmi ústavného súdu, inými zákonmi a ostatnými všeobecne záväznými právnymi predpismi Slovenskej republiky, s právom Európskej únie a s medzinárodnými zmluvami a inými medzinárodnými dokumentmi, ktorými je Slovenská republika viazaná.</w:t>
      </w:r>
    </w:p>
    <w:p w14:paraId="7FDB4B9E" w14:textId="77777777" w:rsidR="00FF5537" w:rsidRPr="00D765DE" w:rsidRDefault="00FF5537" w:rsidP="00FF5537">
      <w:pPr>
        <w:pStyle w:val="Zkladntext2"/>
        <w:ind w:left="360" w:firstLine="348"/>
        <w:rPr>
          <w:szCs w:val="24"/>
        </w:rPr>
      </w:pPr>
    </w:p>
    <w:p w14:paraId="1AF0F824" w14:textId="77777777" w:rsidR="00FF5537" w:rsidRPr="00172342" w:rsidRDefault="00FF5537" w:rsidP="00FF5537">
      <w:pPr>
        <w:pStyle w:val="Zkladntext2"/>
        <w:ind w:left="360" w:firstLine="348"/>
        <w:rPr>
          <w:rFonts w:ascii="Arial Narrow" w:hAnsi="Arial Narrow"/>
          <w:sz w:val="22"/>
          <w:szCs w:val="22"/>
        </w:rPr>
      </w:pPr>
    </w:p>
    <w:p w14:paraId="296C4DC7" w14:textId="77777777" w:rsidR="00FF5537" w:rsidRPr="00172342" w:rsidRDefault="00FF5537" w:rsidP="00FF5537">
      <w:pPr>
        <w:pStyle w:val="Zkladntext2"/>
        <w:ind w:left="360" w:firstLine="348"/>
        <w:rPr>
          <w:rFonts w:ascii="Arial Narrow" w:hAnsi="Arial Narrow"/>
          <w:sz w:val="22"/>
          <w:szCs w:val="22"/>
        </w:rPr>
      </w:pPr>
    </w:p>
    <w:p w14:paraId="3AF096D2" w14:textId="77777777" w:rsidR="00FF5537" w:rsidRDefault="00FF5537" w:rsidP="00FF5537">
      <w:pPr>
        <w:pStyle w:val="Zkladntext2"/>
        <w:ind w:left="360" w:firstLine="348"/>
        <w:rPr>
          <w:rFonts w:ascii="Arial Narrow" w:hAnsi="Arial Narrow"/>
          <w:sz w:val="22"/>
          <w:szCs w:val="22"/>
        </w:rPr>
      </w:pPr>
    </w:p>
    <w:p w14:paraId="204C9892" w14:textId="77777777" w:rsidR="00D553E7" w:rsidRDefault="00D553E7" w:rsidP="00FF5537">
      <w:pPr>
        <w:pStyle w:val="Zkladntext2"/>
        <w:ind w:left="360" w:firstLine="348"/>
        <w:rPr>
          <w:rFonts w:ascii="Arial Narrow" w:hAnsi="Arial Narrow"/>
          <w:sz w:val="22"/>
          <w:szCs w:val="22"/>
        </w:rPr>
      </w:pPr>
    </w:p>
    <w:p w14:paraId="6CA14BFB" w14:textId="77777777" w:rsidR="00D553E7" w:rsidRDefault="00D553E7" w:rsidP="00FF5537">
      <w:pPr>
        <w:pStyle w:val="Zkladntext2"/>
        <w:ind w:left="360" w:firstLine="348"/>
        <w:rPr>
          <w:rFonts w:ascii="Arial Narrow" w:hAnsi="Arial Narrow"/>
          <w:sz w:val="22"/>
          <w:szCs w:val="22"/>
        </w:rPr>
      </w:pPr>
    </w:p>
    <w:p w14:paraId="505A3B8B" w14:textId="77777777" w:rsidR="00D553E7" w:rsidRDefault="00D553E7" w:rsidP="00FF5537">
      <w:pPr>
        <w:pStyle w:val="Zkladntext2"/>
        <w:ind w:left="360" w:firstLine="348"/>
        <w:rPr>
          <w:rFonts w:ascii="Arial Narrow" w:hAnsi="Arial Narrow"/>
          <w:sz w:val="22"/>
          <w:szCs w:val="22"/>
        </w:rPr>
      </w:pPr>
    </w:p>
    <w:p w14:paraId="3109E3FA" w14:textId="77777777" w:rsidR="00D553E7" w:rsidRDefault="00D553E7" w:rsidP="00FF5537">
      <w:pPr>
        <w:pStyle w:val="Zkladntext2"/>
        <w:ind w:left="360" w:firstLine="348"/>
        <w:rPr>
          <w:rFonts w:ascii="Arial Narrow" w:hAnsi="Arial Narrow"/>
          <w:sz w:val="22"/>
          <w:szCs w:val="22"/>
        </w:rPr>
      </w:pPr>
    </w:p>
    <w:p w14:paraId="1CD00547" w14:textId="77777777" w:rsidR="00D553E7" w:rsidRDefault="00D553E7" w:rsidP="00FF5537">
      <w:pPr>
        <w:pStyle w:val="Zkladntext2"/>
        <w:ind w:left="360" w:firstLine="348"/>
        <w:rPr>
          <w:rFonts w:ascii="Arial Narrow" w:hAnsi="Arial Narrow"/>
          <w:sz w:val="22"/>
          <w:szCs w:val="22"/>
        </w:rPr>
      </w:pPr>
    </w:p>
    <w:p w14:paraId="5AFBC8A5" w14:textId="77777777" w:rsidR="00D553E7" w:rsidRDefault="00D553E7" w:rsidP="00FF5537">
      <w:pPr>
        <w:pStyle w:val="Zkladntext2"/>
        <w:ind w:left="360" w:firstLine="348"/>
        <w:rPr>
          <w:rFonts w:ascii="Arial Narrow" w:hAnsi="Arial Narrow"/>
          <w:sz w:val="22"/>
          <w:szCs w:val="22"/>
        </w:rPr>
      </w:pPr>
    </w:p>
    <w:p w14:paraId="161D972C" w14:textId="77777777" w:rsidR="00D553E7" w:rsidRDefault="00D553E7" w:rsidP="00FF5537">
      <w:pPr>
        <w:pStyle w:val="Zkladntext2"/>
        <w:ind w:left="360" w:firstLine="348"/>
        <w:rPr>
          <w:rFonts w:ascii="Arial Narrow" w:hAnsi="Arial Narrow"/>
          <w:sz w:val="22"/>
          <w:szCs w:val="22"/>
        </w:rPr>
      </w:pPr>
    </w:p>
    <w:p w14:paraId="5C65B9AC" w14:textId="77777777" w:rsidR="00D553E7" w:rsidRDefault="00D553E7" w:rsidP="00FF5537">
      <w:pPr>
        <w:pStyle w:val="Zkladntext2"/>
        <w:ind w:left="360" w:firstLine="348"/>
        <w:rPr>
          <w:rFonts w:ascii="Arial Narrow" w:hAnsi="Arial Narrow"/>
          <w:sz w:val="22"/>
          <w:szCs w:val="22"/>
        </w:rPr>
      </w:pPr>
    </w:p>
    <w:p w14:paraId="6EB7CAD0" w14:textId="77777777" w:rsidR="00D553E7" w:rsidRPr="00B501DA" w:rsidRDefault="00D553E7" w:rsidP="00D553E7">
      <w:pPr>
        <w:pStyle w:val="Zarkazkladnhotextu"/>
        <w:numPr>
          <w:ilvl w:val="0"/>
          <w:numId w:val="14"/>
        </w:numPr>
        <w:ind w:left="284" w:hanging="284"/>
        <w:jc w:val="both"/>
        <w:rPr>
          <w:b/>
          <w:bCs/>
          <w:u w:val="single"/>
        </w:rPr>
      </w:pPr>
      <w:r w:rsidRPr="00B501DA">
        <w:rPr>
          <w:b/>
          <w:bCs/>
          <w:u w:val="single"/>
        </w:rPr>
        <w:t xml:space="preserve">Osobitná časť </w:t>
      </w:r>
    </w:p>
    <w:p w14:paraId="1BEC7963" w14:textId="77777777" w:rsidR="00D553E7" w:rsidRPr="00B501DA" w:rsidRDefault="00D553E7" w:rsidP="00D553E7">
      <w:pPr>
        <w:pStyle w:val="Zarkazkladnhotextu"/>
        <w:jc w:val="both"/>
      </w:pPr>
    </w:p>
    <w:p w14:paraId="59F98D20" w14:textId="77777777" w:rsidR="00D553E7" w:rsidRPr="00B501DA" w:rsidRDefault="00D553E7" w:rsidP="00D553E7">
      <w:pPr>
        <w:pStyle w:val="Zarkazkladnhotextu"/>
        <w:ind w:left="0"/>
        <w:jc w:val="both"/>
        <w:rPr>
          <w:b/>
          <w:bCs/>
        </w:rPr>
      </w:pPr>
      <w:r w:rsidRPr="00B501DA">
        <w:rPr>
          <w:b/>
          <w:bCs/>
        </w:rPr>
        <w:t xml:space="preserve">K § 1 </w:t>
      </w:r>
    </w:p>
    <w:p w14:paraId="55A7ED60" w14:textId="77777777" w:rsidR="00D553E7" w:rsidRPr="00B501DA" w:rsidRDefault="00D553E7" w:rsidP="00D553E7">
      <w:pPr>
        <w:pStyle w:val="Zarkazkladnhotextu"/>
        <w:jc w:val="both"/>
      </w:pPr>
    </w:p>
    <w:p w14:paraId="264A532B" w14:textId="79E11322" w:rsidR="00D553E7" w:rsidRPr="00B501DA" w:rsidRDefault="00D553E7" w:rsidP="00D553E7">
      <w:pPr>
        <w:pStyle w:val="Zarkazkladnhotextu"/>
        <w:ind w:left="0"/>
        <w:jc w:val="both"/>
      </w:pPr>
      <w:r w:rsidRPr="00B501DA">
        <w:t>Predmetom tohto ustanovenia je určenie percentuálnej výšky štátnej prémie na stavebné sporenie na rok 202</w:t>
      </w:r>
      <w:r w:rsidR="00E81551">
        <w:t>7</w:t>
      </w:r>
      <w:r w:rsidRPr="00B501DA">
        <w:t xml:space="preserve">. Po dosadení referenčnej sadzby do vzorca je percentuálna výška štátnej prémie vypočítaná na </w:t>
      </w:r>
      <w:r>
        <w:t>5</w:t>
      </w:r>
      <w:r w:rsidRPr="00F14A41">
        <w:t>,</w:t>
      </w:r>
      <w:r w:rsidR="00E81551">
        <w:t>2130</w:t>
      </w:r>
      <w:r w:rsidRPr="00B501DA">
        <w:t xml:space="preserve"> %. Po zaokrúhlení na 0,5 % podľa ustanovenia § 10 ods. </w:t>
      </w:r>
      <w:r>
        <w:t>3</w:t>
      </w:r>
      <w:r w:rsidRPr="00B501DA">
        <w:t xml:space="preserve"> zákona sa upravila na výsledn</w:t>
      </w:r>
      <w:r>
        <w:t>ých</w:t>
      </w:r>
      <w:r w:rsidRPr="00B501DA">
        <w:t xml:space="preserve"> </w:t>
      </w:r>
      <w:r w:rsidR="00E81551">
        <w:t>5</w:t>
      </w:r>
      <w:r>
        <w:t xml:space="preserve"> </w:t>
      </w:r>
      <w:r w:rsidRPr="00B501DA">
        <w:t xml:space="preserve">%. </w:t>
      </w:r>
      <w:r>
        <w:t>Vypočítaná p</w:t>
      </w:r>
      <w:r w:rsidRPr="00B501DA">
        <w:t xml:space="preserve">ercentuálna výška štátnej prémie z ročného vkladu </w:t>
      </w:r>
      <w:r>
        <w:t>sa nachádza</w:t>
      </w:r>
      <w:r w:rsidRPr="00B501DA">
        <w:t xml:space="preserve"> </w:t>
      </w:r>
      <w:r>
        <w:t xml:space="preserve">v intervale </w:t>
      </w:r>
      <w:r w:rsidRPr="00B501DA">
        <w:t>ustanoven</w:t>
      </w:r>
      <w:r>
        <w:t>om</w:t>
      </w:r>
      <w:r w:rsidRPr="00B501DA">
        <w:t xml:space="preserve"> zákonom, </w:t>
      </w:r>
      <w:r>
        <w:t xml:space="preserve">a to od 2,5% do 15% </w:t>
      </w:r>
      <w:r w:rsidRPr="00B501DA">
        <w:t>z ročného vkladu</w:t>
      </w:r>
      <w:r>
        <w:t>. Š</w:t>
      </w:r>
      <w:r w:rsidRPr="00B501DA">
        <w:t>tátna prémia na rok 202</w:t>
      </w:r>
      <w:r w:rsidR="00E81551">
        <w:t>7</w:t>
      </w:r>
      <w:r w:rsidRPr="00B501DA">
        <w:t xml:space="preserve"> sa podľa § 10 ods. </w:t>
      </w:r>
      <w:r>
        <w:t>3</w:t>
      </w:r>
      <w:r w:rsidRPr="00B501DA">
        <w:t xml:space="preserve"> zákona určuje vo výške </w:t>
      </w:r>
      <w:r w:rsidR="00E81551">
        <w:t>5</w:t>
      </w:r>
      <w:r w:rsidRPr="00B501DA">
        <w:t xml:space="preserve"> % z ročného vkladu, najviac v sume 70 eur.</w:t>
      </w:r>
    </w:p>
    <w:p w14:paraId="0C65638E" w14:textId="77777777" w:rsidR="00D553E7" w:rsidRPr="00B501DA" w:rsidRDefault="00D553E7" w:rsidP="00D553E7">
      <w:pPr>
        <w:pStyle w:val="Zarkazkladnhotextu"/>
        <w:jc w:val="both"/>
        <w:rPr>
          <w:b/>
          <w:bCs/>
        </w:rPr>
      </w:pPr>
    </w:p>
    <w:p w14:paraId="28A8E447" w14:textId="77777777" w:rsidR="00D553E7" w:rsidRPr="00B501DA" w:rsidRDefault="00D553E7" w:rsidP="00D553E7">
      <w:pPr>
        <w:pStyle w:val="Zarkazkladnhotextu"/>
        <w:jc w:val="both"/>
        <w:rPr>
          <w:b/>
          <w:bCs/>
        </w:rPr>
      </w:pPr>
    </w:p>
    <w:p w14:paraId="724A3947" w14:textId="77777777" w:rsidR="00D553E7" w:rsidRPr="00B501DA" w:rsidRDefault="00D553E7" w:rsidP="00D553E7">
      <w:pPr>
        <w:pStyle w:val="Zarkazkladnhotextu"/>
        <w:ind w:left="0"/>
        <w:jc w:val="both"/>
      </w:pPr>
      <w:r w:rsidRPr="00B501DA">
        <w:rPr>
          <w:b/>
          <w:bCs/>
        </w:rPr>
        <w:t>K § 2</w:t>
      </w:r>
    </w:p>
    <w:p w14:paraId="24844F8E" w14:textId="77777777" w:rsidR="00D553E7" w:rsidRPr="00B501DA" w:rsidRDefault="00D553E7" w:rsidP="00D553E7">
      <w:pPr>
        <w:pStyle w:val="Zarkazkladnhotextu"/>
        <w:ind w:left="0"/>
        <w:jc w:val="both"/>
      </w:pPr>
    </w:p>
    <w:p w14:paraId="02ECD0AF" w14:textId="06A34724" w:rsidR="00D553E7" w:rsidRPr="00B501DA" w:rsidRDefault="00D553E7" w:rsidP="00D553E7">
      <w:pPr>
        <w:pStyle w:val="Zarkazkladnhotextu"/>
        <w:ind w:left="0"/>
        <w:jc w:val="both"/>
      </w:pPr>
      <w:r w:rsidRPr="00B501DA">
        <w:t>Účinnosť opatrenia o výške štátnej prémie na kalendárny rok 202</w:t>
      </w:r>
      <w:r w:rsidR="00E81551">
        <w:t>7</w:t>
      </w:r>
      <w:r w:rsidRPr="00B501DA">
        <w:t xml:space="preserve"> sa navrhuje dňom 1. januára 202</w:t>
      </w:r>
      <w:r w:rsidR="00E81551">
        <w:t>7</w:t>
      </w:r>
      <w:r w:rsidRPr="00B501DA">
        <w:t>.</w:t>
      </w:r>
    </w:p>
    <w:p w14:paraId="520E71BC" w14:textId="77777777" w:rsidR="00D553E7" w:rsidRPr="00B501DA" w:rsidRDefault="00D553E7" w:rsidP="00D553E7">
      <w:pPr>
        <w:pStyle w:val="Zarkazkladnhotextu"/>
        <w:jc w:val="both"/>
      </w:pPr>
    </w:p>
    <w:p w14:paraId="0F2E20EE" w14:textId="77777777" w:rsidR="00D553E7" w:rsidRPr="00B501DA" w:rsidRDefault="00D553E7" w:rsidP="00D553E7">
      <w:pPr>
        <w:pStyle w:val="Zarkazkladnhotextu"/>
        <w:jc w:val="both"/>
      </w:pPr>
    </w:p>
    <w:p w14:paraId="77B1F697" w14:textId="77777777" w:rsidR="00D553E7" w:rsidRPr="00FF5537" w:rsidRDefault="00D553E7" w:rsidP="00D553E7">
      <w:pPr>
        <w:pStyle w:val="Zarkazkladnhotextu"/>
        <w:jc w:val="both"/>
        <w:rPr>
          <w:rFonts w:ascii="Arial Narrow" w:hAnsi="Arial Narrow"/>
          <w:sz w:val="22"/>
          <w:szCs w:val="22"/>
        </w:rPr>
      </w:pPr>
    </w:p>
    <w:p w14:paraId="19EF0BCF" w14:textId="77777777" w:rsidR="00D553E7" w:rsidRPr="00172342" w:rsidRDefault="00D553E7" w:rsidP="00FF5537">
      <w:pPr>
        <w:pStyle w:val="Zkladntext2"/>
        <w:ind w:left="360" w:firstLine="348"/>
        <w:rPr>
          <w:rFonts w:ascii="Arial Narrow" w:hAnsi="Arial Narrow"/>
          <w:sz w:val="22"/>
          <w:szCs w:val="22"/>
        </w:rPr>
      </w:pPr>
    </w:p>
    <w:p w14:paraId="3AD6D3BA" w14:textId="77777777" w:rsidR="00FF5537" w:rsidRPr="00172342" w:rsidRDefault="00FF5537" w:rsidP="00FF5537">
      <w:pPr>
        <w:pStyle w:val="Zkladntext2"/>
        <w:ind w:left="360" w:firstLine="348"/>
        <w:rPr>
          <w:rFonts w:ascii="Arial Narrow" w:hAnsi="Arial Narrow"/>
          <w:sz w:val="22"/>
          <w:szCs w:val="22"/>
        </w:rPr>
      </w:pPr>
    </w:p>
    <w:p w14:paraId="5E854D73" w14:textId="77777777" w:rsidR="00FF5537" w:rsidRPr="00172342" w:rsidRDefault="00FF5537" w:rsidP="00FF5537">
      <w:pPr>
        <w:pStyle w:val="Zkladntext2"/>
        <w:ind w:left="360" w:firstLine="348"/>
        <w:rPr>
          <w:rFonts w:ascii="Arial Narrow" w:hAnsi="Arial Narrow"/>
          <w:sz w:val="22"/>
          <w:szCs w:val="22"/>
        </w:rPr>
      </w:pPr>
    </w:p>
    <w:p w14:paraId="3AF92E89" w14:textId="77777777" w:rsidR="00EF09C3" w:rsidRPr="00FF5537" w:rsidRDefault="00EF09C3" w:rsidP="00FF5537">
      <w:pPr>
        <w:rPr>
          <w:rFonts w:ascii="Arial Narrow" w:hAnsi="Arial Narrow"/>
          <w:sz w:val="22"/>
          <w:szCs w:val="22"/>
        </w:rPr>
      </w:pPr>
    </w:p>
    <w:sectPr w:rsidR="00EF09C3" w:rsidRPr="00FF5537">
      <w:footerReference w:type="even" r:id="rId7"/>
      <w:footerReference w:type="default" r:id="rId8"/>
      <w:footerReference w:type="firs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70B126" w14:textId="77777777" w:rsidR="007A02B7" w:rsidRDefault="007A02B7" w:rsidP="00E81551">
      <w:r>
        <w:separator/>
      </w:r>
    </w:p>
  </w:endnote>
  <w:endnote w:type="continuationSeparator" w:id="0">
    <w:p w14:paraId="2DE47C0B" w14:textId="77777777" w:rsidR="007A02B7" w:rsidRDefault="007A02B7" w:rsidP="00E815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07A2F0" w14:textId="014779E0" w:rsidR="00E81551" w:rsidRDefault="00E81551">
    <w:pPr>
      <w:pStyle w:val="Pta"/>
    </w:pPr>
    <w:r>
      <w:rPr>
        <w:noProof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2E1B43AB" wp14:editId="08C3F2DF">
              <wp:simplePos x="635" y="635"/>
              <wp:positionH relativeFrom="page">
                <wp:align>left</wp:align>
              </wp:positionH>
              <wp:positionV relativeFrom="page">
                <wp:align>bottom</wp:align>
              </wp:positionV>
              <wp:extent cx="633095" cy="345440"/>
              <wp:effectExtent l="0" t="0" r="14605" b="0"/>
              <wp:wrapNone/>
              <wp:docPr id="2147288443" name="Textové pole 2" descr="Interné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633095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1A5BF389" w14:textId="549A8371" w:rsidR="00E81551" w:rsidRPr="00E81551" w:rsidRDefault="00E81551" w:rsidP="00E81551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E81551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Interné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E1B43AB" id="_x0000_t202" coordsize="21600,21600" o:spt="202" path="m,l,21600r21600,l21600,xe">
              <v:stroke joinstyle="miter"/>
              <v:path gradientshapeok="t" o:connecttype="rect"/>
            </v:shapetype>
            <v:shape id="Textové pole 2" o:spid="_x0000_s1026" type="#_x0000_t202" alt="Interné" style="position:absolute;margin-left:0;margin-top:0;width:49.85pt;height:27.2pt;z-index:251659264;visibility:visible;mso-wrap-style:none;mso-wrap-distance-left:0;mso-wrap-distance-top:0;mso-wrap-distance-right:0;mso-wrap-distance-bottom:0;mso-position-horizontal:lef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S/rFDwIAABoEAAAOAAAAZHJzL2Uyb0RvYy54bWysU8tu2zAQvBfoPxC815JfQSNYDtwELgoY&#10;SQCnyJmmSEsAySVI2pL79V1Sst2mOQW9UMPd1T5mh4u7TityFM43YEo6HuWUCMOhasy+pD9f1l++&#10;UuIDMxVTYERJT8LTu+XnT4vWFmICNahKOIJJjC9aW9I6BFtkmee10MyPwAqDTglOs4BXt88qx1rM&#10;rlU2yfObrAVXWQdceI/Wh95Jlym/lIKHJym9CESVFHsL6XTp3MUzWy5YsXfM1g0f2mAf6EKzxmDR&#10;S6oHFhg5uOafVLrhDjzIMOKgM5Cy4SLNgNOM8zfTbGtmRZoFyfH2QpP/f2n543Frnx0J3TfocIGR&#10;kNb6wqMxztNJp+MXOyXoRwpPF9pEFwhH4810mt/OKeHoms7ms1miNbv+bJ0P3wVoEkFJHW4lkcWO&#10;Gx+wIIaeQ2ItA+tGqbQZZf4yYGC0ZNcOIwrdrhva3kF1wmkc9Iv2lq8brLlhPjwzh5vFAVCt4QkP&#10;qaAtKQyIkhrcr/fsMR4JRy8lLSqlpAalTIn6YXARk/ksz6Oy0g2BO4NdAuPbfB795qDvAUU4xvdg&#10;eYIxOKgzlA70K4p5FauhixmONUu6O8P70OsWHwMXq1UKQhFZFjZma3lMHcmKTL50r8zZge6Ae3qE&#10;s5ZY8Yb1Pjb+6e3qEJD7tJJIbM/mwDcKMG1qeCxR4X/eU9T1SS9/AwAA//8DAFBLAwQUAAYACAAA&#10;ACEA+z45JtoAAAADAQAADwAAAGRycy9kb3ducmV2LnhtbEyPzU7DMBCE70h9B2srcaMOVQk0xKmq&#10;8iOuBKT26MTbOGq8TrNuG94ewwUuK41mNPNtvhpdJ844cOtJwe0sAYFUe9NSo+Dz4+XmAQQHTUZ3&#10;nlDBFzKsislVrjPjL/SO5zI0IpYQZ1qBDaHPpOTaotM88z1S9PZ+cDpEOTTSDPoSy10n50mSSqdb&#10;igtW97ixWB/Kk1OQPr2ubb9Nd8f9nN+48odQ+melrqfj+hFEwDH8heEHP6JDEZkqfyLDolMQHwm/&#10;N3rL5T2ISsHdYgGyyOV/9uIbAAD//wMAUEsBAi0AFAAGAAgAAAAhALaDOJL+AAAA4QEAABMAAAAA&#10;AAAAAAAAAAAAAAAAAFtDb250ZW50X1R5cGVzXS54bWxQSwECLQAUAAYACAAAACEAOP0h/9YAAACU&#10;AQAACwAAAAAAAAAAAAAAAAAvAQAAX3JlbHMvLnJlbHNQSwECLQAUAAYACAAAACEAekv6xQ8CAAAa&#10;BAAADgAAAAAAAAAAAAAAAAAuAgAAZHJzL2Uyb0RvYy54bWxQSwECLQAUAAYACAAAACEA+z45JtoA&#10;AAADAQAADwAAAAAAAAAAAAAAAABpBAAAZHJzL2Rvd25yZXYueG1sUEsFBgAAAAAEAAQA8wAAAHAF&#10;AAAAAA==&#10;" filled="f" stroked="f">
              <v:fill o:detectmouseclick="t"/>
              <v:textbox style="mso-fit-shape-to-text:t" inset="20pt,0,0,15pt">
                <w:txbxContent>
                  <w:p w14:paraId="1A5BF389" w14:textId="549A8371" w:rsidR="00E81551" w:rsidRPr="00E81551" w:rsidRDefault="00E81551" w:rsidP="00E81551">
                    <w:pPr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E81551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Interné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DD80E4" w14:textId="6FD132CF" w:rsidR="00E81551" w:rsidRDefault="00E81551">
    <w:pPr>
      <w:pStyle w:val="Pta"/>
    </w:pPr>
    <w:r>
      <w:rPr>
        <w:noProof/>
      </w:rPr>
      <mc:AlternateContent>
        <mc:Choice Requires="wps">
          <w:drawing>
            <wp:anchor distT="0" distB="0" distL="0" distR="0" simplePos="0" relativeHeight="251660288" behindDoc="0" locked="0" layoutInCell="1" allowOverlap="1" wp14:anchorId="47971D0B" wp14:editId="412A9503">
              <wp:simplePos x="904875" y="10067925"/>
              <wp:positionH relativeFrom="page">
                <wp:align>left</wp:align>
              </wp:positionH>
              <wp:positionV relativeFrom="page">
                <wp:align>bottom</wp:align>
              </wp:positionV>
              <wp:extent cx="633095" cy="345440"/>
              <wp:effectExtent l="0" t="0" r="14605" b="0"/>
              <wp:wrapNone/>
              <wp:docPr id="1302515247" name="Textové pole 3" descr="Interné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633095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7392B2B6" w14:textId="298202EA" w:rsidR="00E81551" w:rsidRPr="00E81551" w:rsidRDefault="00E81551" w:rsidP="00E81551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7971D0B" id="_x0000_t202" coordsize="21600,21600" o:spt="202" path="m,l,21600r21600,l21600,xe">
              <v:stroke joinstyle="miter"/>
              <v:path gradientshapeok="t" o:connecttype="rect"/>
            </v:shapetype>
            <v:shape id="Textové pole 3" o:spid="_x0000_s1027" type="#_x0000_t202" alt="Interné" style="position:absolute;margin-left:0;margin-top:0;width:49.85pt;height:27.2pt;z-index:251660288;visibility:visible;mso-wrap-style:none;mso-wrap-distance-left:0;mso-wrap-distance-top:0;mso-wrap-distance-right:0;mso-wrap-distance-bottom:0;mso-position-horizontal:lef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wnpzEgIAACEEAAAOAAAAZHJzL2Uyb0RvYy54bWysU8tu2zAQvBfoPxC815JfQSNYDtwELgoY&#10;SQCnyJmmSEsAySVI2pL79V1Ssp2kPRW9UMvd1T5mhou7TityFM43YEo6HuWUCMOhasy+pD9f1l++&#10;UuIDMxVTYERJT8LTu+XnT4vWFmICNahKOIJFjC9aW9I6BFtkmee10MyPwAqDQQlOs4BXt88qx1qs&#10;rlU2yfObrAVXWQdceI/ehz5Il6m+lIKHJym9CESVFGcL6XTp3MUzWy5YsXfM1g0fxmD/MIVmjcGm&#10;l1IPLDBycM0fpXTDHXiQYcRBZyBlw0XaAbcZ5x+22dbMirQLguPtBSb//8ryx+PWPjsSum/QIYER&#10;kNb6wqMz7tNJp+MXJyUYRwhPF9hEFwhH5810mt/OKeEYms7ms1mCNbv+bJ0P3wVoEo2SOmQlgcWO&#10;Gx+wIaaeU2IvA+tGqcSMMu8cmBg92XXCaIVu15GmejP9DqoTLuWg59tbvm6w9Yb58MwcEox7oGjD&#10;Ex5SQVtSGCxKanC//uaP+Yg7RilpUTAlNahoStQPg3xM5rM8jwJLNzTc2dglY3ybz2PcHPQ9oBbH&#10;+CwsT2ZMDupsSgf6FTW9it0wxAzHniXdnc370MsX3wQXq1VKQi1ZFjZma3ksHTGLgL50r8zZAfWA&#10;dD3CWVKs+AB+nxv/9HZ1CEhBYibi26M5wI46TIQNbyYK/e09ZV1f9vI3AAAA//8DAFBLAwQUAAYA&#10;CAAAACEA+z45JtoAAAADAQAADwAAAGRycy9kb3ducmV2LnhtbEyPzU7DMBCE70h9B2srcaMOVQk0&#10;xKmq8iOuBKT26MTbOGq8TrNuG94ewwUuK41mNPNtvhpdJ844cOtJwe0sAYFUe9NSo+Dz4+XmAQQH&#10;TUZ3nlDBFzKsislVrjPjL/SO5zI0IpYQZ1qBDaHPpOTaotM88z1S9PZ+cDpEOTTSDPoSy10n50mS&#10;SqdbigtW97ixWB/Kk1OQPr2ubb9Nd8f9nN+48odQ+melrqfj+hFEwDH8heEHP6JDEZkqfyLDolMQ&#10;Hwm/N3rL5T2ISsHdYgGyyOV/9uIbAAD//wMAUEsBAi0AFAAGAAgAAAAhALaDOJL+AAAA4QEAABMA&#10;AAAAAAAAAAAAAAAAAAAAAFtDb250ZW50X1R5cGVzXS54bWxQSwECLQAUAAYACAAAACEAOP0h/9YA&#10;AACUAQAACwAAAAAAAAAAAAAAAAAvAQAAX3JlbHMvLnJlbHNQSwECLQAUAAYACAAAACEAtMJ6cxIC&#10;AAAhBAAADgAAAAAAAAAAAAAAAAAuAgAAZHJzL2Uyb0RvYy54bWxQSwECLQAUAAYACAAAACEA+z45&#10;JtoAAAADAQAADwAAAAAAAAAAAAAAAABsBAAAZHJzL2Rvd25yZXYueG1sUEsFBgAAAAAEAAQA8wAA&#10;AHMFAAAAAA==&#10;" filled="f" stroked="f">
              <v:textbox style="mso-fit-shape-to-text:t" inset="20pt,0,0,15pt">
                <w:txbxContent>
                  <w:p w14:paraId="7392B2B6" w14:textId="298202EA" w:rsidR="00E81551" w:rsidRPr="00E81551" w:rsidRDefault="00E81551" w:rsidP="00E81551">
                    <w:pPr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8CD84D" w14:textId="3449FE4C" w:rsidR="00E81551" w:rsidRDefault="00E81551">
    <w:pPr>
      <w:pStyle w:val="Pta"/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15AD8AF2" wp14:editId="05EB229F">
              <wp:simplePos x="635" y="635"/>
              <wp:positionH relativeFrom="page">
                <wp:align>left</wp:align>
              </wp:positionH>
              <wp:positionV relativeFrom="page">
                <wp:align>bottom</wp:align>
              </wp:positionV>
              <wp:extent cx="633095" cy="345440"/>
              <wp:effectExtent l="0" t="0" r="14605" b="0"/>
              <wp:wrapNone/>
              <wp:docPr id="390515684" name="Textové pole 1" descr="Interné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633095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56DAF91F" w14:textId="2994057C" w:rsidR="00E81551" w:rsidRPr="00E81551" w:rsidRDefault="00E81551" w:rsidP="00E81551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E81551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Interné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5AD8AF2" id="_x0000_t202" coordsize="21600,21600" o:spt="202" path="m,l,21600r21600,l21600,xe">
              <v:stroke joinstyle="miter"/>
              <v:path gradientshapeok="t" o:connecttype="rect"/>
            </v:shapetype>
            <v:shape id="Textové pole 1" o:spid="_x0000_s1028" type="#_x0000_t202" alt="Interné" style="position:absolute;margin-left:0;margin-top:0;width:49.85pt;height:27.2pt;z-index:251658240;visibility:visible;mso-wrap-style:none;mso-wrap-distance-left:0;mso-wrap-distance-top:0;mso-wrap-distance-right:0;mso-wrap-distance-bottom:0;mso-position-horizontal:lef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VIkxEwIAACEEAAAOAAAAZHJzL2Uyb0RvYy54bWysU8tu2zAQvBfoPxC815JfQSNYDtwELgoY&#10;SQCnyJmmSEsAySVI2pL79V1Slt2mOQW9UMvd1T5mhou7TityFM43YEo6HuWUCMOhasy+pD9f1l++&#10;UuIDMxVTYERJT8LTu+XnT4vWFmICNahKOIJFjC9aW9I6BFtkmee10MyPwAqDQQlOs4BXt88qx1qs&#10;rlU2yfObrAVXWQdceI/ehz5Il6m+lIKHJym9CESVFGcL6XTp3MUzWy5YsXfM1g0/j8E+MIVmjcGm&#10;l1IPLDBycM0/pXTDHXiQYcRBZyBlw0XaAbcZ52+22dbMirQLguPtBSb//8ryx+PWPjsSum/QIYER&#10;kNb6wqMz7tNJp+MXJyUYRwhPF9hEFwhH5810mt/OKeEYms7ms1mCNbv+bJ0P3wVoEo2SOmQlgcWO&#10;Gx+wIaYOKbGXgXWjVGJGmb8cmBg92XXCaIVu15GmKulkmH4H1QmXctDz7S1fN9h6w3x4Zg4Jxj1Q&#10;tOEJD6mgLSmcLUpqcL/e88d8xB2jlLQomJIaVDQl6odBPibzWZ5HgaUbGm4wdskY3+bzGDcHfQ+o&#10;xTE+C8uTGZODGkzpQL+iplexG4aY4dizpLvBvA+9fPFNcLFapSTUkmVhY7aWx9IRswjoS/fKnD2j&#10;HpCuRxgkxYo34Pe58U9vV4eAFCRmIr49mmfYUYeJsPObiUL/856yri97+RsAAP//AwBQSwMEFAAG&#10;AAgAAAAhAPs+OSbaAAAAAwEAAA8AAABkcnMvZG93bnJldi54bWxMj81OwzAQhO9IfQdrK3GjDlUJ&#10;NMSpqvIjrgSk9ujE2zhqvE6zbhveHsMFLiuNZjTzbb4aXSfOOHDrScHtLAGBVHvTUqPg8+Pl5gEE&#10;B01Gd55QwRcyrIrJVa4z4y/0jucyNCKWEGdagQ2hz6Tk2qLTPPM9UvT2fnA6RDk00gz6EstdJ+dJ&#10;kkqnW4oLVve4sVgfypNTkD69rm2/TXfH/ZzfuPKHUPpnpa6n4/oRRMAx/IXhBz+iQxGZKn8iw6JT&#10;EB8Jvzd6y+U9iErB3WIBssjlf/biGwAA//8DAFBLAQItABQABgAIAAAAIQC2gziS/gAAAOEBAAAT&#10;AAAAAAAAAAAAAAAAAAAAAABbQ29udGVudF9UeXBlc10ueG1sUEsBAi0AFAAGAAgAAAAhADj9If/W&#10;AAAAlAEAAAsAAAAAAAAAAAAAAAAALwEAAF9yZWxzLy5yZWxzUEsBAi0AFAAGAAgAAAAhAOVUiTET&#10;AgAAIQQAAA4AAAAAAAAAAAAAAAAALgIAAGRycy9lMm9Eb2MueG1sUEsBAi0AFAAGAAgAAAAhAPs+&#10;OSbaAAAAAwEAAA8AAAAAAAAAAAAAAAAAbQQAAGRycy9kb3ducmV2LnhtbFBLBQYAAAAABAAEAPMA&#10;AAB0BQAAAAA=&#10;" filled="f" stroked="f">
              <v:fill o:detectmouseclick="t"/>
              <v:textbox style="mso-fit-shape-to-text:t" inset="20pt,0,0,15pt">
                <w:txbxContent>
                  <w:p w14:paraId="56DAF91F" w14:textId="2994057C" w:rsidR="00E81551" w:rsidRPr="00E81551" w:rsidRDefault="00E81551" w:rsidP="00E81551">
                    <w:pPr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E81551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Interné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298961D" w14:textId="77777777" w:rsidR="007A02B7" w:rsidRDefault="007A02B7" w:rsidP="00E81551">
      <w:r>
        <w:separator/>
      </w:r>
    </w:p>
  </w:footnote>
  <w:footnote w:type="continuationSeparator" w:id="0">
    <w:p w14:paraId="5610758B" w14:textId="77777777" w:rsidR="007A02B7" w:rsidRDefault="007A02B7" w:rsidP="00E8155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C7D78"/>
    <w:multiLevelType w:val="hybridMultilevel"/>
    <w:tmpl w:val="9120191A"/>
    <w:lvl w:ilvl="0" w:tplc="041B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1" w:tplc="041B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  <w:rPr>
        <w:rFonts w:cs="Times New Roman"/>
      </w:rPr>
    </w:lvl>
  </w:abstractNum>
  <w:abstractNum w:abstractNumId="1" w15:restartNumberingAfterBreak="0">
    <w:nsid w:val="1C6F07B4"/>
    <w:multiLevelType w:val="hybridMultilevel"/>
    <w:tmpl w:val="8C96F516"/>
    <w:lvl w:ilvl="0" w:tplc="041B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1" w:tplc="041B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  <w:rPr>
        <w:rFonts w:cs="Times New Roman"/>
      </w:rPr>
    </w:lvl>
  </w:abstractNum>
  <w:abstractNum w:abstractNumId="2" w15:restartNumberingAfterBreak="0">
    <w:nsid w:val="1CDC596E"/>
    <w:multiLevelType w:val="hybridMultilevel"/>
    <w:tmpl w:val="3FA61572"/>
    <w:lvl w:ilvl="0" w:tplc="041B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1" w:tplc="041B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  <w:rPr>
        <w:rFonts w:cs="Times New Roman"/>
      </w:rPr>
    </w:lvl>
  </w:abstractNum>
  <w:abstractNum w:abstractNumId="3" w15:restartNumberingAfterBreak="0">
    <w:nsid w:val="2B3A159E"/>
    <w:multiLevelType w:val="hybridMultilevel"/>
    <w:tmpl w:val="E9A61B26"/>
    <w:lvl w:ilvl="0" w:tplc="041B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B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4" w15:restartNumberingAfterBreak="0">
    <w:nsid w:val="3A232298"/>
    <w:multiLevelType w:val="multilevel"/>
    <w:tmpl w:val="519AEFC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5" w15:restartNumberingAfterBreak="0">
    <w:nsid w:val="40856CAE"/>
    <w:multiLevelType w:val="hybridMultilevel"/>
    <w:tmpl w:val="6EE01A80"/>
    <w:lvl w:ilvl="0" w:tplc="CFC2F1F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B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4137123A"/>
    <w:multiLevelType w:val="hybridMultilevel"/>
    <w:tmpl w:val="BEEAAFE8"/>
    <w:lvl w:ilvl="0" w:tplc="1CAAF80E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4E28225D"/>
    <w:multiLevelType w:val="hybridMultilevel"/>
    <w:tmpl w:val="789A3370"/>
    <w:lvl w:ilvl="0" w:tplc="FFFFFFFF">
      <w:start w:val="1"/>
      <w:numFmt w:val="lowerLetter"/>
      <w:lvlText w:val="%1)"/>
      <w:lvlJc w:val="left"/>
      <w:pPr>
        <w:tabs>
          <w:tab w:val="num" w:pos="1605"/>
        </w:tabs>
        <w:ind w:left="1605" w:hanging="360"/>
      </w:pPr>
      <w:rPr>
        <w:rFonts w:cs="Times New Roman" w:hint="default"/>
        <w:b w:val="0"/>
      </w:rPr>
    </w:lvl>
    <w:lvl w:ilvl="1" w:tplc="FFFFFFFF">
      <w:start w:val="1"/>
      <w:numFmt w:val="bullet"/>
      <w:lvlText w:val="-"/>
      <w:lvlJc w:val="left"/>
      <w:pPr>
        <w:tabs>
          <w:tab w:val="num" w:pos="1920"/>
        </w:tabs>
        <w:ind w:left="1920" w:hanging="360"/>
      </w:pPr>
      <w:rPr>
        <w:rFonts w:ascii="Arial" w:eastAsia="Times New Roman" w:hAnsi="Arial" w:hint="default"/>
        <w:b w:val="0"/>
      </w:rPr>
    </w:lvl>
    <w:lvl w:ilvl="2" w:tplc="FFFFFFFF">
      <w:start w:val="1"/>
      <w:numFmt w:val="decimal"/>
      <w:lvlText w:val="%3."/>
      <w:lvlJc w:val="left"/>
      <w:pPr>
        <w:tabs>
          <w:tab w:val="num" w:pos="3225"/>
        </w:tabs>
        <w:ind w:left="3225" w:hanging="360"/>
      </w:pPr>
      <w:rPr>
        <w:rFonts w:cs="Times New Roman" w:hint="default"/>
        <w:b w:val="0"/>
      </w:rPr>
    </w:lvl>
    <w:lvl w:ilvl="3" w:tplc="FFFFFFFF" w:tentative="1">
      <w:start w:val="1"/>
      <w:numFmt w:val="decimal"/>
      <w:lvlText w:val="%4."/>
      <w:lvlJc w:val="left"/>
      <w:pPr>
        <w:tabs>
          <w:tab w:val="num" w:pos="3765"/>
        </w:tabs>
        <w:ind w:left="3765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485"/>
        </w:tabs>
        <w:ind w:left="4485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5205"/>
        </w:tabs>
        <w:ind w:left="5205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925"/>
        </w:tabs>
        <w:ind w:left="5925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645"/>
        </w:tabs>
        <w:ind w:left="6645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365"/>
        </w:tabs>
        <w:ind w:left="7365" w:hanging="180"/>
      </w:pPr>
      <w:rPr>
        <w:rFonts w:cs="Times New Roman"/>
      </w:rPr>
    </w:lvl>
  </w:abstractNum>
  <w:abstractNum w:abstractNumId="8" w15:restartNumberingAfterBreak="0">
    <w:nsid w:val="5D7215D8"/>
    <w:multiLevelType w:val="multilevel"/>
    <w:tmpl w:val="911C8044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9" w15:restartNumberingAfterBreak="0">
    <w:nsid w:val="5EEA09B6"/>
    <w:multiLevelType w:val="hybridMultilevel"/>
    <w:tmpl w:val="32B6E36C"/>
    <w:lvl w:ilvl="0" w:tplc="041B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B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 w15:restartNumberingAfterBreak="0">
    <w:nsid w:val="647E7C50"/>
    <w:multiLevelType w:val="hybridMultilevel"/>
    <w:tmpl w:val="A484EAB8"/>
    <w:lvl w:ilvl="0" w:tplc="041B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1" w:tplc="041B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  <w:rPr>
        <w:rFonts w:cs="Times New Roman"/>
      </w:rPr>
    </w:lvl>
  </w:abstractNum>
  <w:abstractNum w:abstractNumId="11" w15:restartNumberingAfterBreak="0">
    <w:nsid w:val="76072A8C"/>
    <w:multiLevelType w:val="hybridMultilevel"/>
    <w:tmpl w:val="8EF828A4"/>
    <w:lvl w:ilvl="0" w:tplc="AED83EC6">
      <w:start w:val="4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B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 w15:restartNumberingAfterBreak="0">
    <w:nsid w:val="784A1042"/>
    <w:multiLevelType w:val="hybridMultilevel"/>
    <w:tmpl w:val="4E6865E6"/>
    <w:lvl w:ilvl="0" w:tplc="2E7A6B06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B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 w15:restartNumberingAfterBreak="0">
    <w:nsid w:val="7BDE54EF"/>
    <w:multiLevelType w:val="hybridMultilevel"/>
    <w:tmpl w:val="77D47516"/>
    <w:lvl w:ilvl="0" w:tplc="041B000F">
      <w:start w:val="1"/>
      <w:numFmt w:val="decimal"/>
      <w:lvlText w:val="%1."/>
      <w:lvlJc w:val="left"/>
      <w:pPr>
        <w:ind w:left="862" w:hanging="360"/>
      </w:pPr>
      <w:rPr>
        <w:rFonts w:cs="Times New Roman"/>
      </w:rPr>
    </w:lvl>
    <w:lvl w:ilvl="1" w:tplc="041B0019" w:tentative="1">
      <w:start w:val="1"/>
      <w:numFmt w:val="lowerLetter"/>
      <w:lvlText w:val="%2."/>
      <w:lvlJc w:val="left"/>
      <w:pPr>
        <w:ind w:left="1582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302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3022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742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462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182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902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622" w:hanging="180"/>
      </w:pPr>
      <w:rPr>
        <w:rFonts w:cs="Times New Roman"/>
      </w:rPr>
    </w:lvl>
  </w:abstractNum>
  <w:num w:numId="1" w16cid:durableId="1501312402">
    <w:abstractNumId w:val="9"/>
  </w:num>
  <w:num w:numId="2" w16cid:durableId="1297907410">
    <w:abstractNumId w:val="2"/>
  </w:num>
  <w:num w:numId="3" w16cid:durableId="690036599">
    <w:abstractNumId w:val="0"/>
  </w:num>
  <w:num w:numId="4" w16cid:durableId="726998691">
    <w:abstractNumId w:val="3"/>
  </w:num>
  <w:num w:numId="5" w16cid:durableId="803307074">
    <w:abstractNumId w:val="10"/>
  </w:num>
  <w:num w:numId="6" w16cid:durableId="1129133417">
    <w:abstractNumId w:val="4"/>
  </w:num>
  <w:num w:numId="7" w16cid:durableId="5913466">
    <w:abstractNumId w:val="8"/>
  </w:num>
  <w:num w:numId="8" w16cid:durableId="2077628373">
    <w:abstractNumId w:val="12"/>
  </w:num>
  <w:num w:numId="9" w16cid:durableId="444613654">
    <w:abstractNumId w:val="1"/>
  </w:num>
  <w:num w:numId="10" w16cid:durableId="618531337">
    <w:abstractNumId w:val="7"/>
  </w:num>
  <w:num w:numId="11" w16cid:durableId="1923686537">
    <w:abstractNumId w:val="11"/>
  </w:num>
  <w:num w:numId="12" w16cid:durableId="1995376102">
    <w:abstractNumId w:val="5"/>
  </w:num>
  <w:num w:numId="13" w16cid:durableId="1606691733">
    <w:abstractNumId w:val="13"/>
  </w:num>
  <w:num w:numId="14" w16cid:durableId="76430867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F03EC"/>
    <w:rsid w:val="00021C4E"/>
    <w:rsid w:val="00037BD9"/>
    <w:rsid w:val="000C5733"/>
    <w:rsid w:val="000E73F1"/>
    <w:rsid w:val="00111A9A"/>
    <w:rsid w:val="00111D2C"/>
    <w:rsid w:val="001166AA"/>
    <w:rsid w:val="001374E6"/>
    <w:rsid w:val="00140AE9"/>
    <w:rsid w:val="00164566"/>
    <w:rsid w:val="00172342"/>
    <w:rsid w:val="001E433C"/>
    <w:rsid w:val="00232678"/>
    <w:rsid w:val="0023668F"/>
    <w:rsid w:val="002A0B6B"/>
    <w:rsid w:val="002A4528"/>
    <w:rsid w:val="00347B80"/>
    <w:rsid w:val="0035675C"/>
    <w:rsid w:val="00384EC6"/>
    <w:rsid w:val="00392AC7"/>
    <w:rsid w:val="00395162"/>
    <w:rsid w:val="003F2C37"/>
    <w:rsid w:val="00410661"/>
    <w:rsid w:val="00414D50"/>
    <w:rsid w:val="00446BF2"/>
    <w:rsid w:val="00447E1B"/>
    <w:rsid w:val="00463C77"/>
    <w:rsid w:val="00486B9F"/>
    <w:rsid w:val="004957A7"/>
    <w:rsid w:val="004B13B4"/>
    <w:rsid w:val="004B6808"/>
    <w:rsid w:val="004C5D7B"/>
    <w:rsid w:val="004E3B84"/>
    <w:rsid w:val="005161C8"/>
    <w:rsid w:val="00520095"/>
    <w:rsid w:val="00526ABE"/>
    <w:rsid w:val="005462C1"/>
    <w:rsid w:val="00551917"/>
    <w:rsid w:val="00555AC6"/>
    <w:rsid w:val="0055627E"/>
    <w:rsid w:val="00581B21"/>
    <w:rsid w:val="00582475"/>
    <w:rsid w:val="00594C98"/>
    <w:rsid w:val="005E2662"/>
    <w:rsid w:val="0060015E"/>
    <w:rsid w:val="00613F5E"/>
    <w:rsid w:val="006320B0"/>
    <w:rsid w:val="00673EF7"/>
    <w:rsid w:val="006F03EC"/>
    <w:rsid w:val="006F7721"/>
    <w:rsid w:val="00706B99"/>
    <w:rsid w:val="0077259F"/>
    <w:rsid w:val="007A02B7"/>
    <w:rsid w:val="007A658C"/>
    <w:rsid w:val="007B5557"/>
    <w:rsid w:val="007D0E65"/>
    <w:rsid w:val="007D4A87"/>
    <w:rsid w:val="007E4EFB"/>
    <w:rsid w:val="0080502D"/>
    <w:rsid w:val="00813C77"/>
    <w:rsid w:val="00814377"/>
    <w:rsid w:val="00825836"/>
    <w:rsid w:val="00841120"/>
    <w:rsid w:val="008B0D83"/>
    <w:rsid w:val="008E4DF9"/>
    <w:rsid w:val="009665E8"/>
    <w:rsid w:val="009774D3"/>
    <w:rsid w:val="009E73EB"/>
    <w:rsid w:val="009F3D7B"/>
    <w:rsid w:val="00A62062"/>
    <w:rsid w:val="00A65AEA"/>
    <w:rsid w:val="00A7720B"/>
    <w:rsid w:val="00A902B3"/>
    <w:rsid w:val="00AA5DA7"/>
    <w:rsid w:val="00AA6CF4"/>
    <w:rsid w:val="00B02192"/>
    <w:rsid w:val="00B11AAC"/>
    <w:rsid w:val="00B4606E"/>
    <w:rsid w:val="00B53D4B"/>
    <w:rsid w:val="00B61D34"/>
    <w:rsid w:val="00BD2AA2"/>
    <w:rsid w:val="00BD2D57"/>
    <w:rsid w:val="00C1002A"/>
    <w:rsid w:val="00C11DE5"/>
    <w:rsid w:val="00C33D03"/>
    <w:rsid w:val="00C61388"/>
    <w:rsid w:val="00C63E7D"/>
    <w:rsid w:val="00C67A0B"/>
    <w:rsid w:val="00C807C3"/>
    <w:rsid w:val="00C860DB"/>
    <w:rsid w:val="00CA69C6"/>
    <w:rsid w:val="00CB4529"/>
    <w:rsid w:val="00CC1101"/>
    <w:rsid w:val="00D40818"/>
    <w:rsid w:val="00D553E7"/>
    <w:rsid w:val="00D707D0"/>
    <w:rsid w:val="00D70A09"/>
    <w:rsid w:val="00D765DE"/>
    <w:rsid w:val="00DA5D02"/>
    <w:rsid w:val="00DA7BE3"/>
    <w:rsid w:val="00E3294C"/>
    <w:rsid w:val="00E3573A"/>
    <w:rsid w:val="00E443DC"/>
    <w:rsid w:val="00E81551"/>
    <w:rsid w:val="00E84401"/>
    <w:rsid w:val="00EC4A42"/>
    <w:rsid w:val="00ED2D1C"/>
    <w:rsid w:val="00EE0716"/>
    <w:rsid w:val="00EF09C3"/>
    <w:rsid w:val="00EF6D6E"/>
    <w:rsid w:val="00F032DC"/>
    <w:rsid w:val="00F038A1"/>
    <w:rsid w:val="00F559DD"/>
    <w:rsid w:val="00F946D7"/>
    <w:rsid w:val="00FC1BB2"/>
    <w:rsid w:val="00FE1429"/>
    <w:rsid w:val="00FF55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01AD6B12"/>
  <w14:defaultImageDpi w14:val="0"/>
  <w15:docId w15:val="{DD57CE70-1BC9-4D94-9256-81C7F799C3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sk-SK" w:eastAsia="sk-SK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 w:uiPriority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Pr>
      <w:sz w:val="24"/>
      <w:szCs w:val="24"/>
    </w:rPr>
  </w:style>
  <w:style w:type="paragraph" w:styleId="Nadpis1">
    <w:name w:val="heading 1"/>
    <w:basedOn w:val="Normlny"/>
    <w:next w:val="Normlny"/>
    <w:link w:val="Nadpis1Char"/>
    <w:uiPriority w:val="9"/>
    <w:qFormat/>
    <w:pPr>
      <w:keepNext/>
      <w:jc w:val="center"/>
      <w:outlineLvl w:val="0"/>
    </w:pPr>
    <w:rPr>
      <w:b/>
      <w:bCs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1Char">
    <w:name w:val="Nadpis 1 Char"/>
    <w:basedOn w:val="Predvolenpsmoodseku"/>
    <w:link w:val="Nadpis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paragraph" w:styleId="Nzov">
    <w:name w:val="Title"/>
    <w:basedOn w:val="Normlny"/>
    <w:link w:val="NzovChar"/>
    <w:uiPriority w:val="10"/>
    <w:qFormat/>
    <w:pPr>
      <w:jc w:val="center"/>
    </w:pPr>
    <w:rPr>
      <w:b/>
      <w:bCs/>
    </w:rPr>
  </w:style>
  <w:style w:type="character" w:customStyle="1" w:styleId="NzovChar">
    <w:name w:val="Názov Char"/>
    <w:basedOn w:val="Predvolenpsmoodseku"/>
    <w:link w:val="Nzov"/>
    <w:uiPriority w:val="10"/>
    <w:locked/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paragraph" w:styleId="Zarkazkladnhotextu">
    <w:name w:val="Body Text Indent"/>
    <w:basedOn w:val="Normlny"/>
    <w:link w:val="ZarkazkladnhotextuChar"/>
    <w:uiPriority w:val="99"/>
    <w:pPr>
      <w:ind w:left="720"/>
    </w:pPr>
  </w:style>
  <w:style w:type="character" w:customStyle="1" w:styleId="ZarkazkladnhotextuChar">
    <w:name w:val="Zarážka základného textu Char"/>
    <w:basedOn w:val="Predvolenpsmoodseku"/>
    <w:link w:val="Zarkazkladnhotextu"/>
    <w:uiPriority w:val="99"/>
    <w:semiHidden/>
    <w:locked/>
    <w:rPr>
      <w:rFonts w:cs="Times New Roman"/>
      <w:sz w:val="24"/>
      <w:szCs w:val="24"/>
    </w:rPr>
  </w:style>
  <w:style w:type="paragraph" w:styleId="Zarkazkladnhotextu2">
    <w:name w:val="Body Text Indent 2"/>
    <w:basedOn w:val="Normlny"/>
    <w:link w:val="Zarkazkladnhotextu2Char"/>
    <w:uiPriority w:val="99"/>
    <w:pPr>
      <w:ind w:left="720"/>
      <w:jc w:val="both"/>
    </w:pPr>
  </w:style>
  <w:style w:type="character" w:customStyle="1" w:styleId="Zarkazkladnhotextu2Char">
    <w:name w:val="Zarážka základného textu 2 Char"/>
    <w:basedOn w:val="Predvolenpsmoodseku"/>
    <w:link w:val="Zarkazkladnhotextu2"/>
    <w:uiPriority w:val="99"/>
    <w:semiHidden/>
    <w:locked/>
    <w:rPr>
      <w:rFonts w:cs="Times New Roman"/>
      <w:sz w:val="24"/>
      <w:szCs w:val="24"/>
    </w:rPr>
  </w:style>
  <w:style w:type="paragraph" w:styleId="Zkladntext">
    <w:name w:val="Body Text"/>
    <w:basedOn w:val="Normlny"/>
    <w:link w:val="ZkladntextChar"/>
    <w:uiPriority w:val="99"/>
    <w:pPr>
      <w:jc w:val="both"/>
    </w:pPr>
  </w:style>
  <w:style w:type="character" w:customStyle="1" w:styleId="ZkladntextChar">
    <w:name w:val="Základný text Char"/>
    <w:basedOn w:val="Predvolenpsmoodseku"/>
    <w:link w:val="Zkladntext"/>
    <w:uiPriority w:val="99"/>
    <w:semiHidden/>
    <w:locked/>
    <w:rPr>
      <w:rFonts w:cs="Times New Roman"/>
      <w:sz w:val="24"/>
      <w:szCs w:val="24"/>
    </w:rPr>
  </w:style>
  <w:style w:type="paragraph" w:styleId="Podtitul">
    <w:name w:val="Subtitle"/>
    <w:basedOn w:val="Normlny"/>
    <w:link w:val="PodtitulChar"/>
    <w:uiPriority w:val="11"/>
    <w:qFormat/>
    <w:rPr>
      <w:b/>
      <w:bCs/>
    </w:rPr>
  </w:style>
  <w:style w:type="character" w:customStyle="1" w:styleId="PodtitulChar">
    <w:name w:val="Podtitul Char"/>
    <w:basedOn w:val="Predvolenpsmoodseku"/>
    <w:link w:val="Podtitul"/>
    <w:uiPriority w:val="11"/>
    <w:locked/>
    <w:rPr>
      <w:rFonts w:asciiTheme="majorHAnsi" w:eastAsiaTheme="majorEastAsia" w:hAnsiTheme="majorHAnsi" w:cs="Times New Roman"/>
      <w:sz w:val="24"/>
      <w:szCs w:val="24"/>
    </w:rPr>
  </w:style>
  <w:style w:type="paragraph" w:styleId="Zkladntext2">
    <w:name w:val="Body Text 2"/>
    <w:basedOn w:val="Normlny"/>
    <w:link w:val="Zkladntext2Char"/>
    <w:uiPriority w:val="99"/>
    <w:pPr>
      <w:jc w:val="both"/>
    </w:pPr>
    <w:rPr>
      <w:szCs w:val="20"/>
    </w:rPr>
  </w:style>
  <w:style w:type="character" w:customStyle="1" w:styleId="Zkladntext2Char">
    <w:name w:val="Základný text 2 Char"/>
    <w:basedOn w:val="Predvolenpsmoodseku"/>
    <w:link w:val="Zkladntext2"/>
    <w:uiPriority w:val="99"/>
    <w:semiHidden/>
    <w:locked/>
    <w:rPr>
      <w:rFonts w:cs="Times New Roman"/>
      <w:sz w:val="24"/>
      <w:szCs w:val="24"/>
    </w:rPr>
  </w:style>
  <w:style w:type="paragraph" w:customStyle="1" w:styleId="Zkladntext0">
    <w:name w:val="Základní text"/>
    <w:rPr>
      <w:color w:val="000000"/>
      <w:sz w:val="24"/>
    </w:rPr>
  </w:style>
  <w:style w:type="paragraph" w:styleId="Zarkazkladnhotextu3">
    <w:name w:val="Body Text Indent 3"/>
    <w:basedOn w:val="Normlny"/>
    <w:link w:val="Zarkazkladnhotextu3Char"/>
    <w:uiPriority w:val="99"/>
    <w:pPr>
      <w:ind w:left="360" w:firstLine="348"/>
      <w:jc w:val="both"/>
    </w:pPr>
  </w:style>
  <w:style w:type="character" w:customStyle="1" w:styleId="Zarkazkladnhotextu3Char">
    <w:name w:val="Zarážka základného textu 3 Char"/>
    <w:basedOn w:val="Predvolenpsmoodseku"/>
    <w:link w:val="Zarkazkladnhotextu3"/>
    <w:uiPriority w:val="99"/>
    <w:semiHidden/>
    <w:locked/>
    <w:rPr>
      <w:rFonts w:cs="Times New Roman"/>
      <w:sz w:val="16"/>
      <w:szCs w:val="16"/>
    </w:rPr>
  </w:style>
  <w:style w:type="paragraph" w:styleId="Zkladntext3">
    <w:name w:val="Body Text 3"/>
    <w:basedOn w:val="Normlny"/>
    <w:link w:val="Zkladntext3Char"/>
    <w:uiPriority w:val="99"/>
    <w:pPr>
      <w:jc w:val="both"/>
    </w:pPr>
    <w:rPr>
      <w:rFonts w:ascii="Arial Narrow" w:hAnsi="Arial Narrow"/>
      <w:b/>
      <w:sz w:val="22"/>
    </w:rPr>
  </w:style>
  <w:style w:type="character" w:customStyle="1" w:styleId="Zkladntext3Char">
    <w:name w:val="Základný text 3 Char"/>
    <w:basedOn w:val="Predvolenpsmoodseku"/>
    <w:link w:val="Zkladntext3"/>
    <w:uiPriority w:val="99"/>
    <w:semiHidden/>
    <w:locked/>
    <w:rPr>
      <w:rFonts w:cs="Times New Roman"/>
      <w:sz w:val="16"/>
      <w:szCs w:val="16"/>
    </w:rPr>
  </w:style>
  <w:style w:type="paragraph" w:styleId="Textbubliny">
    <w:name w:val="Balloon Text"/>
    <w:basedOn w:val="Normlny"/>
    <w:link w:val="TextbublinyChar"/>
    <w:uiPriority w:val="99"/>
    <w:semiHidden/>
    <w:rsid w:val="002A4528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locked/>
    <w:rPr>
      <w:rFonts w:ascii="Tahoma" w:hAnsi="Tahoma" w:cs="Tahoma"/>
      <w:sz w:val="16"/>
      <w:szCs w:val="16"/>
    </w:rPr>
  </w:style>
  <w:style w:type="paragraph" w:styleId="Normlnywebov">
    <w:name w:val="Normal (Web)"/>
    <w:basedOn w:val="Normlny"/>
    <w:uiPriority w:val="99"/>
    <w:rsid w:val="00395162"/>
    <w:pPr>
      <w:spacing w:before="100" w:beforeAutospacing="1" w:after="100" w:afterAutospacing="1"/>
    </w:pPr>
  </w:style>
  <w:style w:type="table" w:styleId="Mriekatabuky">
    <w:name w:val="Table Grid"/>
    <w:basedOn w:val="Normlnatabuka"/>
    <w:uiPriority w:val="59"/>
    <w:rsid w:val="00395162"/>
    <w:rPr>
      <w:rFonts w:ascii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ekzoznamu">
    <w:name w:val="List Paragraph"/>
    <w:basedOn w:val="Normlny"/>
    <w:uiPriority w:val="99"/>
    <w:qFormat/>
    <w:rsid w:val="00395162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table" w:customStyle="1" w:styleId="Mriekatabuky1">
    <w:name w:val="Mriežka tabuľky1"/>
    <w:basedOn w:val="Normlnatabuka"/>
    <w:next w:val="Mriekatabuky"/>
    <w:uiPriority w:val="59"/>
    <w:rsid w:val="00395162"/>
    <w:rPr>
      <w:rFonts w:ascii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prepojenie">
    <w:name w:val="Hyperlink"/>
    <w:basedOn w:val="Predvolenpsmoodseku"/>
    <w:uiPriority w:val="99"/>
    <w:rsid w:val="00395162"/>
    <w:rPr>
      <w:rFonts w:cs="Times New Roman"/>
      <w:color w:val="0000FF" w:themeColor="hyperlink"/>
      <w:u w:val="single"/>
    </w:rPr>
  </w:style>
  <w:style w:type="paragraph" w:styleId="Pta">
    <w:name w:val="footer"/>
    <w:basedOn w:val="Normlny"/>
    <w:link w:val="PtaChar"/>
    <w:uiPriority w:val="99"/>
    <w:rsid w:val="00E81551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rsid w:val="00E81551"/>
    <w:rPr>
      <w:sz w:val="24"/>
      <w:szCs w:val="24"/>
    </w:rPr>
  </w:style>
  <w:style w:type="paragraph" w:styleId="Hlavika">
    <w:name w:val="header"/>
    <w:basedOn w:val="Normlny"/>
    <w:link w:val="HlavikaChar"/>
    <w:uiPriority w:val="99"/>
    <w:rsid w:val="004B13B4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uiPriority w:val="99"/>
    <w:rsid w:val="004B13B4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509</Words>
  <Characters>2902</Characters>
  <Application>Microsoft Office Word</Application>
  <DocSecurity>0</DocSecurity>
  <Lines>24</Lines>
  <Paragraphs>6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>Novela zákona č</vt:lpstr>
    </vt:vector>
  </TitlesOfParts>
  <Company/>
  <LinksUpToDate>false</LinksUpToDate>
  <CharactersWithSpaces>3405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Novela zákona č</dc:title>
  <dc:subject/>
  <dc:creator>Marta Gulárová</dc:creator>
  <cp:keywords/>
  <dc:description/>
  <cp:lastModifiedBy>Droba Gabriel</cp:lastModifiedBy>
  <cp:revision>4</cp:revision>
  <cp:lastPrinted>2026-07-08T07:43:00Z</cp:lastPrinted>
  <dcterms:created xsi:type="dcterms:W3CDTF">2025-08-07T12:01:00Z</dcterms:created>
  <dcterms:modified xsi:type="dcterms:W3CDTF">2026-07-08T07:59:00Z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ContentMarkingFooterShapeIds">
    <vt:lpwstr>1746cbe4,7ffd057b,4da2ce2f</vt:lpwstr>
  </property>
  <property fmtid="{D5CDD505-2E9C-101B-9397-08002B2CF9AE}" pid="3" name="ClassificationContentMarkingFooterFontProps">
    <vt:lpwstr>#000000,10,Calibri</vt:lpwstr>
  </property>
  <property fmtid="{D5CDD505-2E9C-101B-9397-08002B2CF9AE}" pid="4" name="ClassificationContentMarkingFooterText">
    <vt:lpwstr>Interné</vt:lpwstr>
  </property>
  <property fmtid="{D5CDD505-2E9C-101B-9397-08002B2CF9AE}" pid="5" name="MSIP_Label_4c805978-f532-4a1a-b9e1-4e19c2c6466f_Enabled">
    <vt:lpwstr>true</vt:lpwstr>
  </property>
  <property fmtid="{D5CDD505-2E9C-101B-9397-08002B2CF9AE}" pid="6" name="MSIP_Label_4c805978-f532-4a1a-b9e1-4e19c2c6466f_SetDate">
    <vt:lpwstr>2026-07-07T13:55:50Z</vt:lpwstr>
  </property>
  <property fmtid="{D5CDD505-2E9C-101B-9397-08002B2CF9AE}" pid="7" name="MSIP_Label_4c805978-f532-4a1a-b9e1-4e19c2c6466f_Method">
    <vt:lpwstr>Standard</vt:lpwstr>
  </property>
  <property fmtid="{D5CDD505-2E9C-101B-9397-08002B2CF9AE}" pid="8" name="MSIP_Label_4c805978-f532-4a1a-b9e1-4e19c2c6466f_Name">
    <vt:lpwstr>Internal</vt:lpwstr>
  </property>
  <property fmtid="{D5CDD505-2E9C-101B-9397-08002B2CF9AE}" pid="9" name="MSIP_Label_4c805978-f532-4a1a-b9e1-4e19c2c6466f_SiteId">
    <vt:lpwstr>579df390-dbff-49fd-8f10-624670566482</vt:lpwstr>
  </property>
  <property fmtid="{D5CDD505-2E9C-101B-9397-08002B2CF9AE}" pid="10" name="MSIP_Label_4c805978-f532-4a1a-b9e1-4e19c2c6466f_ActionId">
    <vt:lpwstr>4614e818-a128-4f9f-8139-3c09f1c7bd6b</vt:lpwstr>
  </property>
  <property fmtid="{D5CDD505-2E9C-101B-9397-08002B2CF9AE}" pid="11" name="MSIP_Label_4c805978-f532-4a1a-b9e1-4e19c2c6466f_ContentBits">
    <vt:lpwstr>2</vt:lpwstr>
  </property>
  <property fmtid="{D5CDD505-2E9C-101B-9397-08002B2CF9AE}" pid="12" name="MSIP_Label_4c805978-f532-4a1a-b9e1-4e19c2c6466f_Tag">
    <vt:lpwstr>10, 3, 0, 1</vt:lpwstr>
  </property>
</Properties>
</file>