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D22E0" w14:textId="1D2D3056" w:rsidR="00262056" w:rsidRPr="00262056" w:rsidRDefault="00262056" w:rsidP="00262056">
      <w:pPr>
        <w:jc w:val="center"/>
        <w:rPr>
          <w:b/>
          <w:bCs/>
        </w:rPr>
      </w:pPr>
      <w:r w:rsidRPr="00262056">
        <w:rPr>
          <w:b/>
          <w:bCs/>
        </w:rPr>
        <w:t>DOLOŽKA ZLUČITEĽNOSTI</w:t>
      </w:r>
    </w:p>
    <w:p w14:paraId="2DEFD3E7" w14:textId="597AAC9B" w:rsidR="00262056" w:rsidRDefault="00262056" w:rsidP="00262056">
      <w:pPr>
        <w:jc w:val="center"/>
        <w:rPr>
          <w:b/>
          <w:bCs/>
        </w:rPr>
      </w:pPr>
      <w:r w:rsidRPr="00262056">
        <w:rPr>
          <w:b/>
          <w:bCs/>
        </w:rPr>
        <w:t xml:space="preserve">návrhu </w:t>
      </w:r>
      <w:r w:rsidR="003D430E">
        <w:rPr>
          <w:b/>
          <w:bCs/>
        </w:rPr>
        <w:t>opatrenia</w:t>
      </w:r>
      <w:r w:rsidRPr="00262056">
        <w:rPr>
          <w:b/>
          <w:bCs/>
        </w:rPr>
        <w:t xml:space="preserve"> s právom Európskej únie</w:t>
      </w:r>
    </w:p>
    <w:p w14:paraId="77CFA8FF" w14:textId="77777777" w:rsidR="00262056" w:rsidRDefault="00262056" w:rsidP="00262056">
      <w:pPr>
        <w:jc w:val="center"/>
        <w:rPr>
          <w:b/>
          <w:bCs/>
        </w:rPr>
      </w:pPr>
    </w:p>
    <w:p w14:paraId="51F8A2C7" w14:textId="30825DA5" w:rsidR="003C1061" w:rsidRPr="003C1061" w:rsidRDefault="00262056" w:rsidP="003C1061">
      <w:pPr>
        <w:pStyle w:val="Odsekzoznamu"/>
        <w:numPr>
          <w:ilvl w:val="0"/>
          <w:numId w:val="2"/>
        </w:numPr>
        <w:jc w:val="both"/>
        <w:rPr>
          <w:b/>
          <w:bCs/>
        </w:rPr>
      </w:pPr>
      <w:r w:rsidRPr="003C1061">
        <w:rPr>
          <w:b/>
          <w:bCs/>
        </w:rPr>
        <w:t xml:space="preserve">Navrhovateľ </w:t>
      </w:r>
      <w:r w:rsidR="003D430E">
        <w:rPr>
          <w:b/>
          <w:bCs/>
        </w:rPr>
        <w:t>opatrenia</w:t>
      </w:r>
      <w:r w:rsidRPr="003C1061">
        <w:rPr>
          <w:b/>
          <w:bCs/>
        </w:rPr>
        <w:t>:</w:t>
      </w:r>
    </w:p>
    <w:p w14:paraId="55FEEA0A" w14:textId="77777777" w:rsidR="003C1061" w:rsidRDefault="003C1061" w:rsidP="003C1061">
      <w:pPr>
        <w:jc w:val="both"/>
      </w:pPr>
    </w:p>
    <w:p w14:paraId="7CD9827A" w14:textId="2F656F41" w:rsidR="00262056" w:rsidRDefault="00262056" w:rsidP="003C1061">
      <w:pPr>
        <w:jc w:val="both"/>
      </w:pPr>
      <w:r>
        <w:t>Národná banka Slovenska</w:t>
      </w:r>
    </w:p>
    <w:p w14:paraId="64A10761" w14:textId="345A075E" w:rsidR="00262056" w:rsidRDefault="00262056" w:rsidP="003C1061">
      <w:pPr>
        <w:pStyle w:val="Odsekzoznamu"/>
        <w:jc w:val="both"/>
      </w:pPr>
      <w:r>
        <w:t xml:space="preserve"> </w:t>
      </w:r>
    </w:p>
    <w:p w14:paraId="10A4F280" w14:textId="61D4A76B" w:rsidR="00262056" w:rsidRPr="003C1061" w:rsidRDefault="00262056" w:rsidP="003C1061">
      <w:pPr>
        <w:pStyle w:val="Odsekzoznamu"/>
        <w:numPr>
          <w:ilvl w:val="0"/>
          <w:numId w:val="2"/>
        </w:numPr>
        <w:jc w:val="both"/>
        <w:rPr>
          <w:b/>
          <w:bCs/>
        </w:rPr>
      </w:pPr>
      <w:r w:rsidRPr="003C1061">
        <w:rPr>
          <w:b/>
          <w:bCs/>
        </w:rPr>
        <w:t xml:space="preserve">Názov návrhu </w:t>
      </w:r>
      <w:r w:rsidR="003D430E">
        <w:rPr>
          <w:b/>
          <w:bCs/>
        </w:rPr>
        <w:t>opatrenia</w:t>
      </w:r>
      <w:r w:rsidRPr="003C1061">
        <w:rPr>
          <w:b/>
          <w:bCs/>
        </w:rPr>
        <w:t xml:space="preserve">: </w:t>
      </w:r>
    </w:p>
    <w:p w14:paraId="0DC29778" w14:textId="77777777" w:rsidR="00262056" w:rsidRDefault="00262056" w:rsidP="003C1061">
      <w:pPr>
        <w:pStyle w:val="Odsekzoznamu"/>
        <w:jc w:val="both"/>
      </w:pPr>
    </w:p>
    <w:p w14:paraId="28631F0C" w14:textId="4DD72FB8" w:rsidR="00262056" w:rsidRDefault="003C1061" w:rsidP="003C1061">
      <w:pPr>
        <w:jc w:val="both"/>
      </w:pPr>
      <w:r w:rsidRPr="003C1061">
        <w:t>Návrh opatrenia Národnej banky Slovenska z ... 2026 o miere nákladov na držbu použiteľných vlastných zdrojov a o absolútnej spodnej hranici minimálnej kapitálovej požiadavky na solventnosť pre poisťovne, na ktoré sa neuplatňuje osobitný režim a pre zaisťovne, pobočky zahraničných poisťovní a pobočky zahraničných zaisťovní</w:t>
      </w:r>
    </w:p>
    <w:p w14:paraId="04CA56A8" w14:textId="77777777" w:rsidR="003C1061" w:rsidRDefault="003C1061" w:rsidP="003C1061">
      <w:pPr>
        <w:jc w:val="both"/>
      </w:pPr>
    </w:p>
    <w:p w14:paraId="22F7DF4F" w14:textId="672813DD" w:rsidR="00262056" w:rsidRPr="003C1061" w:rsidRDefault="00262056" w:rsidP="003C1061">
      <w:pPr>
        <w:pStyle w:val="Odsekzoznamu"/>
        <w:numPr>
          <w:ilvl w:val="0"/>
          <w:numId w:val="2"/>
        </w:numPr>
        <w:jc w:val="both"/>
        <w:rPr>
          <w:b/>
          <w:bCs/>
        </w:rPr>
      </w:pPr>
      <w:r w:rsidRPr="003C1061">
        <w:rPr>
          <w:b/>
          <w:bCs/>
        </w:rPr>
        <w:t xml:space="preserve">Predmet návrhu </w:t>
      </w:r>
      <w:r w:rsidR="003D430E">
        <w:rPr>
          <w:b/>
          <w:bCs/>
        </w:rPr>
        <w:t>opatrenia</w:t>
      </w:r>
      <w:r w:rsidRPr="003C1061">
        <w:rPr>
          <w:b/>
          <w:bCs/>
        </w:rPr>
        <w:t xml:space="preserve"> je upravený v práve Európskej únie:  </w:t>
      </w:r>
    </w:p>
    <w:p w14:paraId="1E9EF3C6" w14:textId="77777777" w:rsidR="00262056" w:rsidRDefault="00262056" w:rsidP="003C1061">
      <w:pPr>
        <w:jc w:val="both"/>
      </w:pPr>
    </w:p>
    <w:p w14:paraId="681BE7A6" w14:textId="77777777" w:rsidR="00262056" w:rsidRDefault="00262056" w:rsidP="003C1061">
      <w:pPr>
        <w:pStyle w:val="Odsekzoznamu"/>
        <w:numPr>
          <w:ilvl w:val="0"/>
          <w:numId w:val="3"/>
        </w:numPr>
        <w:jc w:val="both"/>
      </w:pPr>
      <w:r>
        <w:t>v primárnom práve</w:t>
      </w:r>
    </w:p>
    <w:p w14:paraId="017CE2B3" w14:textId="77777777" w:rsidR="00AA0C3C" w:rsidRDefault="00AA0C3C" w:rsidP="003C1061">
      <w:pPr>
        <w:pStyle w:val="Odsekzoznamu"/>
        <w:ind w:left="360"/>
        <w:jc w:val="both"/>
      </w:pPr>
    </w:p>
    <w:p w14:paraId="1FA8E75E" w14:textId="3CDBB3E7" w:rsidR="00262056" w:rsidRDefault="00262056" w:rsidP="003C1061">
      <w:pPr>
        <w:jc w:val="both"/>
      </w:pPr>
      <w:r>
        <w:t>Č</w:t>
      </w:r>
      <w:r w:rsidRPr="00262056">
        <w:t>l. 4, čl. 26 ods. 2, čl. 49, 56 až 62 Zmluvy o fungovaní Európskej únie (konsolidované znenie) (Ú. v. EÚ C 202, 7. 6. 2016) v platnom znení</w:t>
      </w:r>
      <w:r w:rsidR="00501097">
        <w:t>,</w:t>
      </w:r>
    </w:p>
    <w:p w14:paraId="1A3EA621" w14:textId="29388892" w:rsidR="00262056" w:rsidRDefault="00262056" w:rsidP="00016D00">
      <w:pPr>
        <w:jc w:val="both"/>
      </w:pPr>
    </w:p>
    <w:p w14:paraId="250EAB85" w14:textId="3ED6C870" w:rsidR="00262056" w:rsidRDefault="00262056" w:rsidP="003C1061">
      <w:pPr>
        <w:pStyle w:val="Odsekzoznamu"/>
        <w:numPr>
          <w:ilvl w:val="0"/>
          <w:numId w:val="3"/>
        </w:numPr>
        <w:jc w:val="both"/>
      </w:pPr>
      <w:r>
        <w:t xml:space="preserve">v sekundárnom práve </w:t>
      </w:r>
    </w:p>
    <w:p w14:paraId="24D92E79" w14:textId="77777777" w:rsidR="00AA0C3C" w:rsidRDefault="00AA0C3C" w:rsidP="003C1061">
      <w:pPr>
        <w:jc w:val="both"/>
      </w:pPr>
    </w:p>
    <w:p w14:paraId="32A503E8" w14:textId="12799CB6" w:rsidR="007C4A98" w:rsidRDefault="00255F51" w:rsidP="003C1061">
      <w:pPr>
        <w:jc w:val="both"/>
      </w:pPr>
      <w:r>
        <w:t>s</w:t>
      </w:r>
      <w:r w:rsidRPr="00B5563D">
        <w:t>mernic</w:t>
      </w:r>
      <w:r>
        <w:t>a</w:t>
      </w:r>
      <w:r w:rsidRPr="00B5563D">
        <w:t xml:space="preserve"> </w:t>
      </w:r>
      <w:r w:rsidR="00B5563D" w:rsidRPr="00B5563D">
        <w:t xml:space="preserve">Európskeho parlamentu a Rady 2009/138/ES </w:t>
      </w:r>
      <w:r w:rsidRPr="00255F51">
        <w:t>z 25. novembra 2009</w:t>
      </w:r>
      <w:r>
        <w:t xml:space="preserve"> </w:t>
      </w:r>
      <w:r w:rsidR="00B5563D" w:rsidRPr="00B5563D">
        <w:t xml:space="preserve">o začatí a vykonávaní poistenia a zaistenia (Solventnosť II) </w:t>
      </w:r>
      <w:r>
        <w:t xml:space="preserve">(prepracované znenie) </w:t>
      </w:r>
      <w:r w:rsidR="00B5563D">
        <w:t>(</w:t>
      </w:r>
      <w:r w:rsidR="00B5563D" w:rsidRPr="00B5563D">
        <w:t>Ú. v. EÚ L 335, 17.12.2009</w:t>
      </w:r>
      <w:r w:rsidR="00B5563D">
        <w:t>)</w:t>
      </w:r>
      <w:r>
        <w:t xml:space="preserve"> </w:t>
      </w:r>
      <w:r w:rsidRPr="001869EC">
        <w:rPr>
          <w:bCs/>
          <w:shd w:val="clear" w:color="auto" w:fill="FFFFFF"/>
        </w:rPr>
        <w:t xml:space="preserve">v platnom znení, gestor: MF SR, </w:t>
      </w:r>
      <w:proofErr w:type="spellStart"/>
      <w:r w:rsidRPr="001869EC">
        <w:rPr>
          <w:bCs/>
          <w:shd w:val="clear" w:color="auto" w:fill="FFFFFF"/>
        </w:rPr>
        <w:t>spolugestor</w:t>
      </w:r>
      <w:proofErr w:type="spellEnd"/>
      <w:r w:rsidRPr="001869EC">
        <w:rPr>
          <w:bCs/>
          <w:shd w:val="clear" w:color="auto" w:fill="FFFFFF"/>
        </w:rPr>
        <w:t>: NB</w:t>
      </w:r>
      <w:r w:rsidR="00281A77">
        <w:t>S,</w:t>
      </w:r>
    </w:p>
    <w:p w14:paraId="3CA4614D" w14:textId="77777777" w:rsidR="007C4A98" w:rsidRDefault="007C4A98" w:rsidP="003C1061">
      <w:pPr>
        <w:jc w:val="both"/>
      </w:pPr>
    </w:p>
    <w:p w14:paraId="275C2914" w14:textId="1B54ED5D" w:rsidR="00262056" w:rsidRDefault="00255F51" w:rsidP="003C1061">
      <w:pPr>
        <w:jc w:val="both"/>
      </w:pPr>
      <w:r>
        <w:t>s</w:t>
      </w:r>
      <w:r w:rsidRPr="003C1061">
        <w:t xml:space="preserve">mernica </w:t>
      </w:r>
      <w:r w:rsidR="003C1061" w:rsidRPr="003C1061">
        <w:t xml:space="preserve">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="003C1061" w:rsidRPr="003C1061">
        <w:t>makroprudenciálne</w:t>
      </w:r>
      <w:proofErr w:type="spellEnd"/>
      <w:r w:rsidR="003C1061" w:rsidRPr="003C1061">
        <w:t xml:space="preserve"> nástroje, riziká ohrozujúce udržateľnosť a dohľad nad skupinou a cezhraničný dohľad, a ktorou sa menia smernice 2002/87/ES a 2013/34/EÚ</w:t>
      </w:r>
      <w:r w:rsidR="00262056" w:rsidRPr="00262056">
        <w:t xml:space="preserve"> </w:t>
      </w:r>
      <w:r w:rsidR="00487070" w:rsidRPr="00487070">
        <w:t>(Ú. v. EÚ L, 2025/2, 8.1.2025)</w:t>
      </w:r>
      <w:r>
        <w:t xml:space="preserve"> </w:t>
      </w:r>
      <w:r w:rsidRPr="00E56D08">
        <w:rPr>
          <w:bCs/>
          <w:shd w:val="clear" w:color="auto" w:fill="FFFFFF"/>
        </w:rPr>
        <w:t xml:space="preserve">gestor: MF SR, </w:t>
      </w:r>
      <w:proofErr w:type="spellStart"/>
      <w:r w:rsidRPr="00E56D08">
        <w:rPr>
          <w:bCs/>
          <w:shd w:val="clear" w:color="auto" w:fill="FFFFFF"/>
        </w:rPr>
        <w:t>spolugestor</w:t>
      </w:r>
      <w:proofErr w:type="spellEnd"/>
      <w:r w:rsidRPr="00E56D08">
        <w:rPr>
          <w:bCs/>
          <w:shd w:val="clear" w:color="auto" w:fill="FFFFFF"/>
        </w:rPr>
        <w:t>: NBS</w:t>
      </w:r>
      <w:r w:rsidR="00281A77">
        <w:rPr>
          <w:bCs/>
          <w:shd w:val="clear" w:color="auto" w:fill="FFFFFF"/>
        </w:rPr>
        <w:t>,</w:t>
      </w:r>
    </w:p>
    <w:p w14:paraId="59121165" w14:textId="77777777" w:rsidR="00C27B8C" w:rsidRDefault="00C27B8C" w:rsidP="003C1061">
      <w:pPr>
        <w:jc w:val="both"/>
      </w:pPr>
    </w:p>
    <w:p w14:paraId="13B6026C" w14:textId="1DEE6148" w:rsidR="00C27B8C" w:rsidRDefault="00C27B8C" w:rsidP="00C27B8C">
      <w:pPr>
        <w:jc w:val="both"/>
      </w:pPr>
      <w:r>
        <w:t>Delegované nariadenie Komisie (EÚ) 2015/35 z 10. októbra 2014 , ktorým sa dopĺňa smernica Európskeho parlamentu a Rady 2009/138/ES o začatí a vykonávaní poistenia a zaistenia (Solventnosť II) (Ú. v. EÚ L 12, 17.1.2015)</w:t>
      </w:r>
      <w:r w:rsidR="00281A77">
        <w:t xml:space="preserve"> </w:t>
      </w:r>
      <w:r w:rsidR="00281A77" w:rsidRPr="001869EC">
        <w:rPr>
          <w:rStyle w:val="Zvraznenie"/>
          <w:i w:val="0"/>
          <w:iCs w:val="0"/>
          <w:color w:val="333333"/>
          <w:shd w:val="clear" w:color="auto" w:fill="FFFFFF"/>
        </w:rPr>
        <w:t>v platnom znení, gestori: MF SR, NBS,</w:t>
      </w:r>
    </w:p>
    <w:p w14:paraId="1B88CCAE" w14:textId="77777777" w:rsidR="00487070" w:rsidRDefault="00487070" w:rsidP="003C1061">
      <w:pPr>
        <w:jc w:val="both"/>
      </w:pPr>
    </w:p>
    <w:p w14:paraId="35AC046B" w14:textId="0D8EF4EF" w:rsidR="00262056" w:rsidRDefault="00487070" w:rsidP="003C1061">
      <w:pPr>
        <w:jc w:val="both"/>
      </w:pPr>
      <w:r w:rsidRPr="00487070">
        <w:t>Delegovan</w:t>
      </w:r>
      <w:r>
        <w:t>é</w:t>
      </w:r>
      <w:r w:rsidRPr="00487070">
        <w:t xml:space="preserve"> nariaden</w:t>
      </w:r>
      <w:r>
        <w:t>ie</w:t>
      </w:r>
      <w:r w:rsidRPr="00487070">
        <w:t xml:space="preserve"> Komisie (EÚ) 2026/269 z 29. októbra 2025, ktorým sa mení delegované nariadenie (EÚ) 2015/35, pokiaľ ide o technické rezervy, opatrenia týkajúce sa dlhodobých záruk, vlastné zdroje, akciové riziko, riziko úverového rozpätia pri </w:t>
      </w:r>
      <w:proofErr w:type="spellStart"/>
      <w:r w:rsidRPr="00487070">
        <w:t>sekuritizačných</w:t>
      </w:r>
      <w:proofErr w:type="spellEnd"/>
      <w:r w:rsidRPr="00487070">
        <w:t xml:space="preserve"> pozíciách, iné kapitálové požiadavky podľa štandardného vzorca, predkladanie informácií a zverejňovanie informácií, proporcionalitu a skupinovú solventnosť</w:t>
      </w:r>
      <w:r>
        <w:t xml:space="preserve"> (</w:t>
      </w:r>
      <w:r w:rsidRPr="00487070">
        <w:t>Ú. v. EÚ L, 2026/269, 18.2.2026</w:t>
      </w:r>
      <w:r>
        <w:t>)</w:t>
      </w:r>
      <w:r w:rsidR="00F0309D">
        <w:t xml:space="preserve">, </w:t>
      </w:r>
      <w:r w:rsidR="00CD3202">
        <w:t>g</w:t>
      </w:r>
      <w:r w:rsidR="00262056" w:rsidRPr="00262056">
        <w:t xml:space="preserve">estor: MF SR, </w:t>
      </w:r>
      <w:proofErr w:type="spellStart"/>
      <w:r w:rsidR="00262056" w:rsidRPr="00262056">
        <w:t>spolugestor</w:t>
      </w:r>
      <w:proofErr w:type="spellEnd"/>
      <w:r w:rsidR="00262056" w:rsidRPr="00262056">
        <w:t>: NBS</w:t>
      </w:r>
      <w:r w:rsidR="00501097">
        <w:t>,</w:t>
      </w:r>
    </w:p>
    <w:p w14:paraId="5FAD8601" w14:textId="77777777" w:rsidR="00262056" w:rsidRDefault="00262056" w:rsidP="003C1061">
      <w:pPr>
        <w:jc w:val="both"/>
      </w:pPr>
    </w:p>
    <w:p w14:paraId="4B90910D" w14:textId="417EAB7C" w:rsidR="00262056" w:rsidRDefault="00262056" w:rsidP="003C1061">
      <w:pPr>
        <w:pStyle w:val="Odsekzoznamu"/>
        <w:numPr>
          <w:ilvl w:val="0"/>
          <w:numId w:val="3"/>
        </w:numPr>
        <w:jc w:val="both"/>
      </w:pPr>
      <w:r>
        <w:t>v judikatúre Súdneho dvora Európskej únie</w:t>
      </w:r>
    </w:p>
    <w:p w14:paraId="249742E4" w14:textId="77777777" w:rsidR="00AA0C3C" w:rsidRDefault="00AA0C3C" w:rsidP="003C1061">
      <w:pPr>
        <w:jc w:val="both"/>
      </w:pPr>
    </w:p>
    <w:p w14:paraId="7ADB1341" w14:textId="09ECFEF4" w:rsidR="00262056" w:rsidRDefault="00501097" w:rsidP="003C1061">
      <w:pPr>
        <w:jc w:val="both"/>
      </w:pPr>
      <w:r>
        <w:t>n</w:t>
      </w:r>
      <w:r w:rsidR="00262056">
        <w:t>ie</w:t>
      </w:r>
      <w:r w:rsidR="005C424D">
        <w:t xml:space="preserve"> </w:t>
      </w:r>
      <w:r w:rsidR="005C424D" w:rsidRPr="005C424D">
        <w:t>je upravený</w:t>
      </w:r>
      <w:r w:rsidR="00016D00">
        <w:t>.</w:t>
      </w:r>
    </w:p>
    <w:p w14:paraId="5D1CCFA9" w14:textId="77777777" w:rsidR="00262056" w:rsidRDefault="00262056" w:rsidP="003C1061">
      <w:pPr>
        <w:jc w:val="both"/>
      </w:pPr>
    </w:p>
    <w:p w14:paraId="4C6E033A" w14:textId="34986201" w:rsidR="00262056" w:rsidRPr="003C1061" w:rsidRDefault="00262056" w:rsidP="003C1061">
      <w:pPr>
        <w:jc w:val="both"/>
        <w:rPr>
          <w:b/>
          <w:bCs/>
        </w:rPr>
      </w:pPr>
      <w:r w:rsidRPr="003C1061">
        <w:rPr>
          <w:b/>
          <w:bCs/>
        </w:rPr>
        <w:t xml:space="preserve">4. Záväzky Slovenskej republiky vo vzťahu k Európskej únii:  </w:t>
      </w:r>
    </w:p>
    <w:p w14:paraId="14B83833" w14:textId="77777777" w:rsidR="00AA0C3C" w:rsidRDefault="00AA0C3C" w:rsidP="003C1061">
      <w:pPr>
        <w:jc w:val="both"/>
      </w:pPr>
    </w:p>
    <w:p w14:paraId="27551703" w14:textId="59EDD95A" w:rsidR="00262056" w:rsidRDefault="00262056" w:rsidP="003C1061">
      <w:pPr>
        <w:jc w:val="both"/>
      </w:pPr>
      <w:r>
        <w:lastRenderedPageBreak/>
        <w:t>a) lehota na prebranie príslušného právneho aktu Európskej únie, príp. osobitná lehota účinnosti jeho ustanovení</w:t>
      </w:r>
    </w:p>
    <w:p w14:paraId="3462DD51" w14:textId="77777777" w:rsidR="00262056" w:rsidRDefault="00262056" w:rsidP="003C1061">
      <w:pPr>
        <w:jc w:val="both"/>
      </w:pPr>
    </w:p>
    <w:p w14:paraId="27D82F07" w14:textId="325B3DC9" w:rsidR="00262056" w:rsidRDefault="00262056" w:rsidP="003C1061">
      <w:pPr>
        <w:jc w:val="both"/>
      </w:pPr>
      <w:r w:rsidRPr="00262056">
        <w:t xml:space="preserve">Lehota na implementáciu revidovaných súm v smernici 2009/138/ES v platnom znení </w:t>
      </w:r>
      <w:r>
        <w:t>bola</w:t>
      </w:r>
      <w:r w:rsidRPr="00262056">
        <w:t xml:space="preserve"> v zmysle „Oznámenia o úprave súm stanovených v smernici Európskeho parlamentu a Rady 2009/138/ES o začatí a vykonávaní poistenia a zaistenia (Solventnosť II) podľa inflácie“ uverejneného Európskou komisiou v Úradnom vestníku Európskej únie (2021/C 423/12) pre členské štáty stanovená do 19. októbra 2022</w:t>
      </w:r>
      <w:r w:rsidR="00016D00">
        <w:t>.</w:t>
      </w:r>
    </w:p>
    <w:p w14:paraId="57CE6341" w14:textId="77777777" w:rsidR="004C70F2" w:rsidRDefault="004C70F2" w:rsidP="003C1061">
      <w:pPr>
        <w:jc w:val="both"/>
      </w:pPr>
    </w:p>
    <w:p w14:paraId="71119FC1" w14:textId="170482D4" w:rsidR="004C70F2" w:rsidRDefault="004C70F2" w:rsidP="003C1061">
      <w:pPr>
        <w:jc w:val="both"/>
      </w:pPr>
      <w:r w:rsidRPr="004C70F2">
        <w:t>Lehota na prebratie smernice (EÚ) 2025/2 bola stanovená do 29. januára 2027.</w:t>
      </w:r>
    </w:p>
    <w:p w14:paraId="7F2F63A6" w14:textId="77777777" w:rsidR="00262056" w:rsidRDefault="00262056" w:rsidP="003C1061">
      <w:pPr>
        <w:jc w:val="both"/>
      </w:pPr>
    </w:p>
    <w:p w14:paraId="69901ACA" w14:textId="29E5DCEC" w:rsidR="00AA0C3C" w:rsidRDefault="00262056" w:rsidP="003C1061">
      <w:pPr>
        <w:jc w:val="both"/>
      </w:pPr>
      <w:r>
        <w:t xml:space="preserve">b) </w:t>
      </w:r>
      <w:r w:rsidR="00AA0C3C">
        <w:t>z</w:t>
      </w:r>
      <w:r>
        <w:t>ačat</w:t>
      </w:r>
      <w:r w:rsidR="00AA0C3C">
        <w:t>ie</w:t>
      </w:r>
      <w:r>
        <w:t xml:space="preserve"> konania v rámci „EÚ Pilot“</w:t>
      </w:r>
      <w:r w:rsidR="00AA0C3C">
        <w:t xml:space="preserve">, </w:t>
      </w:r>
      <w:r>
        <w:t>začat</w:t>
      </w:r>
      <w:r w:rsidR="00AA0C3C">
        <w:t>ie</w:t>
      </w:r>
      <w:r>
        <w:t xml:space="preserve"> postupu Európskej komisie, konan</w:t>
      </w:r>
      <w:r w:rsidR="00AA0C3C">
        <w:t>ie</w:t>
      </w:r>
      <w:r>
        <w:t xml:space="preserve">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</w:t>
      </w:r>
      <w:r w:rsidR="00AA0C3C">
        <w:t xml:space="preserve"> </w:t>
      </w:r>
      <w:r>
        <w:t>Rady (ES) č. 1049/2001 z 30. mája 2001 o prístupe verejnosti k dokumentom Európskeho parlamentu, Rady a</w:t>
      </w:r>
      <w:r w:rsidR="00AA0C3C">
        <w:t> </w:t>
      </w:r>
      <w:r>
        <w:t>Komisie</w:t>
      </w:r>
    </w:p>
    <w:p w14:paraId="19873F59" w14:textId="77777777" w:rsidR="00AA0C3C" w:rsidRDefault="00AA0C3C" w:rsidP="003C1061">
      <w:pPr>
        <w:jc w:val="both"/>
      </w:pPr>
    </w:p>
    <w:p w14:paraId="2AA16AD0" w14:textId="734D4466" w:rsidR="00262056" w:rsidRDefault="005C424D" w:rsidP="003C1061">
      <w:pPr>
        <w:jc w:val="both"/>
      </w:pPr>
      <w:r>
        <w:t>Bezpredmetné</w:t>
      </w:r>
      <w:r w:rsidR="00016D00">
        <w:t>.</w:t>
      </w:r>
    </w:p>
    <w:p w14:paraId="35EFBB47" w14:textId="77777777" w:rsidR="00AA0C3C" w:rsidRDefault="00AA0C3C" w:rsidP="003C1061">
      <w:pPr>
        <w:jc w:val="both"/>
      </w:pPr>
    </w:p>
    <w:p w14:paraId="3AB0459B" w14:textId="3E35A5E9" w:rsidR="00AA0C3C" w:rsidRDefault="00262056" w:rsidP="003C1061">
      <w:pPr>
        <w:pStyle w:val="Odsekzoznamu"/>
        <w:numPr>
          <w:ilvl w:val="0"/>
          <w:numId w:val="4"/>
        </w:numPr>
        <w:jc w:val="both"/>
      </w:pPr>
      <w:r>
        <w:t>právn</w:t>
      </w:r>
      <w:r w:rsidR="00AA0C3C">
        <w:t>e</w:t>
      </w:r>
      <w:r>
        <w:t xml:space="preserve"> predpi</w:t>
      </w:r>
      <w:r w:rsidR="00AA0C3C">
        <w:t>sy</w:t>
      </w:r>
      <w:r>
        <w:t>, v ktorých sú uvádzané právne akty Európskej únie už prebrané, rozsah ich prebrania, príp. potreb</w:t>
      </w:r>
      <w:r w:rsidR="00AA0C3C">
        <w:t xml:space="preserve">a </w:t>
      </w:r>
      <w:r>
        <w:t>prijatia ďalších úprav</w:t>
      </w:r>
    </w:p>
    <w:p w14:paraId="32A0440A" w14:textId="77777777" w:rsidR="00AA0C3C" w:rsidRDefault="00AA0C3C" w:rsidP="003C1061">
      <w:pPr>
        <w:jc w:val="both"/>
      </w:pPr>
    </w:p>
    <w:p w14:paraId="5FEA4D9B" w14:textId="62F27417" w:rsidR="007428E7" w:rsidRDefault="007428E7" w:rsidP="007428E7">
      <w:pPr>
        <w:jc w:val="both"/>
      </w:pPr>
      <w:r>
        <w:t>Smernica 2009/138/ES v platnom znení bola úplne prebratá do</w:t>
      </w:r>
    </w:p>
    <w:p w14:paraId="00550083" w14:textId="77777777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zákona č. 40/1964 Zb. Občiansky zákonník v znení neskorších predpisov,</w:t>
      </w:r>
    </w:p>
    <w:p w14:paraId="4E642D70" w14:textId="77777777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zákona č. 381/2001 Z. z. o povinnom zmluvnom poistení zodpovednosti za škodu spôsobenú prevádzkou motorového vozidla a o zmene a doplnení niektorých zákonov v znení neskorších predpisov,</w:t>
      </w:r>
    </w:p>
    <w:p w14:paraId="42E52D5B" w14:textId="77777777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zákona č. 747/2004 Z. z. o dohľade nad finančným trhom a o zmene a doplnení niektorých zákonov v znení neskorších predpisov,</w:t>
      </w:r>
    </w:p>
    <w:p w14:paraId="0E9BBC55" w14:textId="77777777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zákona č. 7/2005 Z. z. o konkurze a reštrukturalizácii a o zmene a doplnení niektorých zákonov v znení neskorších predpisov,</w:t>
      </w:r>
    </w:p>
    <w:p w14:paraId="7F751196" w14:textId="77777777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zákona č. 39/2015 Z. z. o poisťovníctve a o zmene a doplnení niektorých zákonov v znení neskorších predpisov,</w:t>
      </w:r>
    </w:p>
    <w:p w14:paraId="503A44E4" w14:textId="6F52B813" w:rsidR="007428E7" w:rsidRDefault="007428E7" w:rsidP="007428E7">
      <w:pPr>
        <w:pStyle w:val="Odsekzoznamu"/>
        <w:numPr>
          <w:ilvl w:val="0"/>
          <w:numId w:val="7"/>
        </w:numPr>
        <w:jc w:val="both"/>
      </w:pPr>
      <w:r>
        <w:t>op</w:t>
      </w:r>
      <w:r w:rsidRPr="00016D00">
        <w:t>atren</w:t>
      </w:r>
      <w:r>
        <w:t xml:space="preserve">ia </w:t>
      </w:r>
      <w:r w:rsidRPr="00016D00">
        <w:t>Národnej banky Slovenska zo 14. júla 2015 č. 6/2015 o solventnosti pre poisťovne, na ktoré sa neuplatňuje osobitný režim, a pre zaisťovne, pobočky zahraničných poisťovní a pobočky zahraničných zaisťovní v znení opatrenia</w:t>
      </w:r>
      <w:r w:rsidR="00501097">
        <w:t xml:space="preserve"> </w:t>
      </w:r>
      <w:r w:rsidRPr="00016D00">
        <w:t>z 8. novembra 2022 č. 8/2022</w:t>
      </w:r>
      <w:r>
        <w:t xml:space="preserve"> a</w:t>
      </w:r>
    </w:p>
    <w:p w14:paraId="3F362322" w14:textId="6C0CCA89" w:rsidR="007428E7" w:rsidRDefault="008C5887" w:rsidP="006767F8">
      <w:pPr>
        <w:pStyle w:val="Odsekzoznamu"/>
        <w:numPr>
          <w:ilvl w:val="0"/>
          <w:numId w:val="7"/>
        </w:numPr>
        <w:jc w:val="both"/>
      </w:pPr>
      <w:r>
        <w:t>o</w:t>
      </w:r>
      <w:r w:rsidRPr="008C5887">
        <w:t>patreni</w:t>
      </w:r>
      <w:r>
        <w:t>a</w:t>
      </w:r>
      <w:r w:rsidRPr="008C5887">
        <w:t xml:space="preserve"> Národnej banky Slovenska zo 7. októbra 2025 č. 7/2025, ktorým sa ustanovuje spôsob preukazovania splnenia podmienok na udelenie povolenia na vykonávanie poisťovacej činnosti a na udelenie povolenia na vykonávanie zaisťovacej činnosti pre subjekty, na ktoré sa nebude uplatňovať osobitný režim</w:t>
      </w:r>
      <w:r w:rsidR="007428E7">
        <w:t xml:space="preserve">. </w:t>
      </w:r>
    </w:p>
    <w:p w14:paraId="1AEEACB7" w14:textId="77777777" w:rsidR="007428E7" w:rsidRDefault="007428E7" w:rsidP="007428E7">
      <w:pPr>
        <w:jc w:val="both"/>
      </w:pPr>
    </w:p>
    <w:p w14:paraId="2B206E8F" w14:textId="77777777" w:rsidR="007C3C93" w:rsidRDefault="007428E7" w:rsidP="007428E7">
      <w:pPr>
        <w:jc w:val="both"/>
      </w:pPr>
      <w:r>
        <w:t>Smernica (EÚ) 2025/2 bude prebratá do</w:t>
      </w:r>
    </w:p>
    <w:p w14:paraId="2116CB2E" w14:textId="77777777" w:rsidR="007C3C93" w:rsidRDefault="007C3C93" w:rsidP="006767F8">
      <w:pPr>
        <w:pStyle w:val="Odsekzoznamu"/>
        <w:numPr>
          <w:ilvl w:val="0"/>
          <w:numId w:val="7"/>
        </w:numPr>
        <w:jc w:val="both"/>
      </w:pPr>
      <w:r w:rsidRPr="007C3C93">
        <w:t>zákona č. 747/2004 Z. z. o dohľade nad finančným trhom a o zmene a doplnení niektorých zákonov v znení neskorších predpisov,</w:t>
      </w:r>
    </w:p>
    <w:p w14:paraId="7701A770" w14:textId="7F9310F1" w:rsidR="008C5887" w:rsidRDefault="007428E7" w:rsidP="006767F8">
      <w:pPr>
        <w:pStyle w:val="Odsekzoznamu"/>
        <w:numPr>
          <w:ilvl w:val="0"/>
          <w:numId w:val="7"/>
        </w:numPr>
        <w:jc w:val="both"/>
      </w:pPr>
      <w:r>
        <w:t>zákona č. 39/2015 Z. z. o poisťovníctve a o zmene a doplnení niektorých zákonov v znení neskorších predpisov</w:t>
      </w:r>
      <w:r w:rsidR="008C5887">
        <w:t>,</w:t>
      </w:r>
      <w:r w:rsidR="00C6211A">
        <w:t xml:space="preserve"> </w:t>
      </w:r>
      <w:r w:rsidR="008C5887">
        <w:t>a</w:t>
      </w:r>
    </w:p>
    <w:p w14:paraId="79BF55AA" w14:textId="39AB8FDA" w:rsidR="007428E7" w:rsidRDefault="008C5887" w:rsidP="006767F8">
      <w:pPr>
        <w:pStyle w:val="Odsekzoznamu"/>
        <w:numPr>
          <w:ilvl w:val="0"/>
          <w:numId w:val="7"/>
        </w:numPr>
        <w:jc w:val="both"/>
      </w:pPr>
      <w:r>
        <w:t>o</w:t>
      </w:r>
      <w:r w:rsidRPr="008C5887">
        <w:t>patreni</w:t>
      </w:r>
      <w:r>
        <w:t>a</w:t>
      </w:r>
      <w:r w:rsidRPr="008C5887">
        <w:t xml:space="preserve"> Národnej banky Slovenska zo 7. októbra 2025 č. 7/2025, ktorým sa ustanovuje spôsob preukazovania splnenia podmienok na udelenie povolenia na vykonávanie </w:t>
      </w:r>
      <w:r w:rsidRPr="008C5887">
        <w:lastRenderedPageBreak/>
        <w:t>poisťovacej činnosti a na udelenie povolenia na vykonávanie zaisťovacej činnosti pre subjekty, na ktoré sa nebude uplatňovať osobitný režim</w:t>
      </w:r>
      <w:r w:rsidR="007428E7">
        <w:t>.</w:t>
      </w:r>
    </w:p>
    <w:p w14:paraId="5211BEDA" w14:textId="77777777" w:rsidR="003C1061" w:rsidRDefault="003C1061" w:rsidP="003C1061">
      <w:pPr>
        <w:jc w:val="both"/>
      </w:pPr>
    </w:p>
    <w:p w14:paraId="4D6AB861" w14:textId="0938D8D8" w:rsidR="00AA0C3C" w:rsidRPr="003C1061" w:rsidRDefault="00262056" w:rsidP="003C1061">
      <w:pPr>
        <w:pStyle w:val="Odsekzoznamu"/>
        <w:numPr>
          <w:ilvl w:val="0"/>
          <w:numId w:val="5"/>
        </w:numPr>
        <w:jc w:val="both"/>
        <w:rPr>
          <w:b/>
          <w:bCs/>
        </w:rPr>
      </w:pPr>
      <w:r w:rsidRPr="003C1061">
        <w:rPr>
          <w:b/>
          <w:bCs/>
        </w:rPr>
        <w:t xml:space="preserve">Návrh </w:t>
      </w:r>
      <w:r w:rsidR="00AA5014">
        <w:rPr>
          <w:b/>
          <w:bCs/>
        </w:rPr>
        <w:t>opatrenia</w:t>
      </w:r>
      <w:r w:rsidRPr="003C1061">
        <w:rPr>
          <w:b/>
          <w:bCs/>
        </w:rPr>
        <w:t xml:space="preserve"> je zlučiteľný s právom Európskej únie:</w:t>
      </w:r>
    </w:p>
    <w:p w14:paraId="297A437D" w14:textId="0F5866C1" w:rsidR="00262056" w:rsidRDefault="00262056" w:rsidP="003C1061">
      <w:pPr>
        <w:pStyle w:val="Odsekzoznamu"/>
        <w:ind w:left="360"/>
        <w:jc w:val="both"/>
      </w:pPr>
      <w:r>
        <w:t xml:space="preserve">  </w:t>
      </w:r>
    </w:p>
    <w:p w14:paraId="38F37882" w14:textId="6B3AC807" w:rsidR="00262056" w:rsidRDefault="00AA0C3C" w:rsidP="003C1061">
      <w:pPr>
        <w:jc w:val="both"/>
      </w:pPr>
      <w:r>
        <w:t>Ú</w:t>
      </w:r>
      <w:r w:rsidR="00262056">
        <w:t>plne</w:t>
      </w:r>
      <w:r>
        <w:t>.</w:t>
      </w:r>
    </w:p>
    <w:sectPr w:rsidR="0026205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3BC78" w14:textId="77777777" w:rsidR="00F00686" w:rsidRDefault="00F00686" w:rsidP="0009480D">
      <w:r>
        <w:separator/>
      </w:r>
    </w:p>
  </w:endnote>
  <w:endnote w:type="continuationSeparator" w:id="0">
    <w:p w14:paraId="04667A80" w14:textId="77777777" w:rsidR="00F00686" w:rsidRDefault="00F00686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0784015"/>
      <w:docPartObj>
        <w:docPartGallery w:val="Page Numbers (Bottom of Page)"/>
        <w:docPartUnique/>
      </w:docPartObj>
    </w:sdtPr>
    <w:sdtContent>
      <w:p w14:paraId="1A5EA662" w14:textId="3507FA41" w:rsidR="003C6536" w:rsidRDefault="003C653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36F517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FB195" w14:textId="77777777" w:rsidR="00F00686" w:rsidRDefault="00F00686" w:rsidP="0009480D">
      <w:r>
        <w:separator/>
      </w:r>
    </w:p>
  </w:footnote>
  <w:footnote w:type="continuationSeparator" w:id="0">
    <w:p w14:paraId="0F6A2226" w14:textId="77777777" w:rsidR="00F00686" w:rsidRDefault="00F00686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24903"/>
    <w:multiLevelType w:val="hybridMultilevel"/>
    <w:tmpl w:val="B336A3B8"/>
    <w:lvl w:ilvl="0" w:tplc="041B0017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C43F4"/>
    <w:multiLevelType w:val="hybridMultilevel"/>
    <w:tmpl w:val="075E179A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546798"/>
    <w:multiLevelType w:val="hybridMultilevel"/>
    <w:tmpl w:val="9B522440"/>
    <w:lvl w:ilvl="0" w:tplc="39E471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36468"/>
    <w:multiLevelType w:val="hybridMultilevel"/>
    <w:tmpl w:val="91FE65D8"/>
    <w:lvl w:ilvl="0" w:tplc="AD9834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554BA"/>
    <w:multiLevelType w:val="hybridMultilevel"/>
    <w:tmpl w:val="2CD06B9C"/>
    <w:lvl w:ilvl="0" w:tplc="041B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6F2A54"/>
    <w:multiLevelType w:val="hybridMultilevel"/>
    <w:tmpl w:val="BF6E8016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4087899">
    <w:abstractNumId w:val="6"/>
  </w:num>
  <w:num w:numId="2" w16cid:durableId="231277002">
    <w:abstractNumId w:val="5"/>
  </w:num>
  <w:num w:numId="3" w16cid:durableId="769355152">
    <w:abstractNumId w:val="1"/>
  </w:num>
  <w:num w:numId="4" w16cid:durableId="1786735331">
    <w:abstractNumId w:val="0"/>
  </w:num>
  <w:num w:numId="5" w16cid:durableId="1195801308">
    <w:abstractNumId w:val="4"/>
  </w:num>
  <w:num w:numId="6" w16cid:durableId="1092435809">
    <w:abstractNumId w:val="2"/>
  </w:num>
  <w:num w:numId="7" w16cid:durableId="976807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052"/>
    <w:rsid w:val="00016D00"/>
    <w:rsid w:val="0009480D"/>
    <w:rsid w:val="0010418A"/>
    <w:rsid w:val="00130860"/>
    <w:rsid w:val="001663B6"/>
    <w:rsid w:val="00197A49"/>
    <w:rsid w:val="001A694C"/>
    <w:rsid w:val="001D01FE"/>
    <w:rsid w:val="001D5F9F"/>
    <w:rsid w:val="00225679"/>
    <w:rsid w:val="00255F51"/>
    <w:rsid w:val="00262056"/>
    <w:rsid w:val="00281A77"/>
    <w:rsid w:val="002B4CD0"/>
    <w:rsid w:val="003077D3"/>
    <w:rsid w:val="00333894"/>
    <w:rsid w:val="003636B5"/>
    <w:rsid w:val="00392F01"/>
    <w:rsid w:val="003C1061"/>
    <w:rsid w:val="003C6536"/>
    <w:rsid w:val="003D430E"/>
    <w:rsid w:val="004100B0"/>
    <w:rsid w:val="00445B18"/>
    <w:rsid w:val="00487070"/>
    <w:rsid w:val="004C70F2"/>
    <w:rsid w:val="004D239B"/>
    <w:rsid w:val="004D7E2D"/>
    <w:rsid w:val="00501097"/>
    <w:rsid w:val="00501243"/>
    <w:rsid w:val="00525344"/>
    <w:rsid w:val="005316F2"/>
    <w:rsid w:val="0055572C"/>
    <w:rsid w:val="00564381"/>
    <w:rsid w:val="0059311F"/>
    <w:rsid w:val="005939CC"/>
    <w:rsid w:val="005A1CD3"/>
    <w:rsid w:val="005C424D"/>
    <w:rsid w:val="006209A7"/>
    <w:rsid w:val="006465E5"/>
    <w:rsid w:val="006470E3"/>
    <w:rsid w:val="006767F8"/>
    <w:rsid w:val="007428E7"/>
    <w:rsid w:val="007754D4"/>
    <w:rsid w:val="00782367"/>
    <w:rsid w:val="00787300"/>
    <w:rsid w:val="007A65BF"/>
    <w:rsid w:val="007C3C93"/>
    <w:rsid w:val="007C4A98"/>
    <w:rsid w:val="00805DDB"/>
    <w:rsid w:val="008433BD"/>
    <w:rsid w:val="008C5887"/>
    <w:rsid w:val="00906E76"/>
    <w:rsid w:val="009841D6"/>
    <w:rsid w:val="009A3052"/>
    <w:rsid w:val="009A6FA0"/>
    <w:rsid w:val="00A719D6"/>
    <w:rsid w:val="00A91118"/>
    <w:rsid w:val="00AA0C3C"/>
    <w:rsid w:val="00AA5014"/>
    <w:rsid w:val="00AC6229"/>
    <w:rsid w:val="00B31C02"/>
    <w:rsid w:val="00B42F36"/>
    <w:rsid w:val="00B5563D"/>
    <w:rsid w:val="00BA4BE5"/>
    <w:rsid w:val="00C27B8C"/>
    <w:rsid w:val="00C35E8A"/>
    <w:rsid w:val="00C56C9A"/>
    <w:rsid w:val="00C6211A"/>
    <w:rsid w:val="00CB7C08"/>
    <w:rsid w:val="00CD3202"/>
    <w:rsid w:val="00D079CF"/>
    <w:rsid w:val="00D254E3"/>
    <w:rsid w:val="00DD2D70"/>
    <w:rsid w:val="00E37D04"/>
    <w:rsid w:val="00EC2CEC"/>
    <w:rsid w:val="00F00686"/>
    <w:rsid w:val="00F0309D"/>
    <w:rsid w:val="00F10CBC"/>
    <w:rsid w:val="00F30CC0"/>
    <w:rsid w:val="00F523C0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EAF79"/>
  <w15:chartTrackingRefBased/>
  <w15:docId w15:val="{99E9EECF-7277-4D99-894E-73F2256D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20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A305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9A305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9A305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9A305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9A305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9A305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A3052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9A3052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9A3052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9A3052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9A3052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9A3052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9A30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9A3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9A305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9A305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9A30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9A3052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99"/>
    <w:qFormat/>
    <w:rsid w:val="009A305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9A3052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9A3052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9A3052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9A3052"/>
    <w:rPr>
      <w:b/>
      <w:bCs/>
      <w:smallCaps/>
      <w:color w:val="004C80" w:themeColor="accent1" w:themeShade="BF"/>
      <w:spacing w:val="5"/>
    </w:rPr>
  </w:style>
  <w:style w:type="table" w:styleId="Mriekatabuky">
    <w:name w:val="Table Grid"/>
    <w:basedOn w:val="Normlnatabuka"/>
    <w:uiPriority w:val="99"/>
    <w:unhideWhenUsed/>
    <w:rsid w:val="00262056"/>
    <w:pP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255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55F51"/>
    <w:rPr>
      <w:color w:val="1C355E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255F51"/>
    <w:rPr>
      <w:color w:val="605E5C"/>
      <w:shd w:val="clear" w:color="auto" w:fill="E1DFDD"/>
    </w:rPr>
  </w:style>
  <w:style w:type="character" w:styleId="Zvraznenie">
    <w:name w:val="Emphasis"/>
    <w:basedOn w:val="Predvolenpsmoodseku"/>
    <w:uiPriority w:val="20"/>
    <w:qFormat/>
    <w:rsid w:val="00281A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904D5-109D-45CD-A270-609197807C8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CB662D76-CEA8-4144-A50E-C29B4388A5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8</cp:revision>
  <cp:lastPrinted>2026-08-31T06:41:00Z</cp:lastPrinted>
  <dcterms:created xsi:type="dcterms:W3CDTF">2026-09-15T12:56:00Z</dcterms:created>
  <dcterms:modified xsi:type="dcterms:W3CDTF">2026-09-24T07:47:00Z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