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7118" w:rsidRPr="000032C8" w:rsidRDefault="00927118" w:rsidP="00927118">
      <w:pPr>
        <w:adjustRightInd w:val="0"/>
        <w:spacing w:after="0" w:line="240" w:lineRule="auto"/>
        <w:jc w:val="center"/>
        <w:rPr>
          <w:rFonts w:ascii="Times New Roman" w:eastAsia="Times New Roman" w:hAnsi="Times New Roman" w:cs="Calibri"/>
          <w:b/>
          <w:caps/>
          <w:sz w:val="28"/>
          <w:szCs w:val="28"/>
        </w:rPr>
      </w:pPr>
      <w:bookmarkStart w:id="0" w:name="_GoBack"/>
      <w:bookmarkEnd w:id="0"/>
      <w:r w:rsidRPr="000032C8">
        <w:rPr>
          <w:rFonts w:ascii="Times New Roman" w:eastAsia="Times New Roman" w:hAnsi="Times New Roman" w:cs="Calibri"/>
          <w:b/>
          <w:caps/>
          <w:sz w:val="28"/>
          <w:szCs w:val="28"/>
        </w:rPr>
        <w:t>Vyhodnotenie medzirezortného pripomienkového konania</w:t>
      </w:r>
    </w:p>
    <w:p w:rsidR="00927118" w:rsidRPr="00024402" w:rsidRDefault="00927118" w:rsidP="00927118">
      <w:pPr>
        <w:jc w:val="center"/>
      </w:pPr>
    </w:p>
    <w:p w:rsidR="00A370D8" w:rsidRDefault="00A370D8">
      <w:pPr>
        <w:jc w:val="center"/>
        <w:divId w:val="1088767717"/>
        <w:rPr>
          <w:rFonts w:ascii="Times" w:hAnsi="Times" w:cs="Times"/>
          <w:sz w:val="25"/>
          <w:szCs w:val="25"/>
        </w:rPr>
      </w:pPr>
      <w:r>
        <w:rPr>
          <w:rFonts w:ascii="Times" w:hAnsi="Times" w:cs="Times"/>
          <w:sz w:val="25"/>
          <w:szCs w:val="25"/>
        </w:rPr>
        <w:t>Návrh poslankyne Národnej rady Slovenskej republiky Aleny Novákovej na vydanie zákona, ktorým sa dopĺňa zákon č. 5/2004 Z. z. o službách zamestnanosti a o zmene a doplnení niektorých zákonov v znení neskorších predpisov (tlač 416)</w:t>
      </w:r>
    </w:p>
    <w:p w:rsidR="00927118" w:rsidRPr="00024402" w:rsidRDefault="00927118" w:rsidP="00CE47A6"/>
    <w:tbl>
      <w:tblPr>
        <w:tblW w:w="15598" w:type="dxa"/>
        <w:tblCellMar>
          <w:left w:w="0" w:type="dxa"/>
          <w:right w:w="0" w:type="dxa"/>
        </w:tblCellMar>
        <w:tblLook w:val="0000" w:firstRow="0" w:lastRow="0" w:firstColumn="0" w:lastColumn="0" w:noHBand="0" w:noVBand="0"/>
      </w:tblPr>
      <w:tblGrid>
        <w:gridCol w:w="7797"/>
        <w:gridCol w:w="7801"/>
      </w:tblGrid>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Spôsob pripomienkového konania</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r w:rsidRPr="00024402">
              <w:rPr>
                <w:rFonts w:ascii="Times New Roman" w:hAnsi="Times New Roman" w:cs="Calibri"/>
                <w:sz w:val="20"/>
                <w:szCs w:val="20"/>
              </w:rPr>
              <w:t> </w:t>
            </w:r>
          </w:p>
        </w:tc>
      </w:tr>
      <w:tr w:rsidR="00A251BF" w:rsidRPr="00024402" w:rsidTr="00B76589">
        <w:tc>
          <w:tcPr>
            <w:tcW w:w="7797" w:type="dxa"/>
            <w:tcBorders>
              <w:top w:val="nil"/>
              <w:left w:val="nil"/>
              <w:bottom w:val="nil"/>
              <w:right w:val="nil"/>
            </w:tcBorders>
          </w:tcPr>
          <w:p w:rsidR="00A251BF" w:rsidRPr="000032C8" w:rsidRDefault="00A251BF"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vznesených pripomienok, z toho zásadných</w:t>
            </w:r>
          </w:p>
        </w:tc>
        <w:tc>
          <w:tcPr>
            <w:tcW w:w="7801" w:type="dxa"/>
            <w:tcBorders>
              <w:top w:val="nil"/>
              <w:left w:val="nil"/>
              <w:bottom w:val="nil"/>
              <w:right w:val="nil"/>
            </w:tcBorders>
          </w:tcPr>
          <w:p w:rsidR="00A251BF" w:rsidRPr="00024402" w:rsidRDefault="00A370D8" w:rsidP="00A370D8">
            <w:pPr>
              <w:spacing w:after="0" w:line="240" w:lineRule="auto"/>
              <w:rPr>
                <w:rFonts w:ascii="Times New Roman" w:hAnsi="Times New Roman" w:cs="Calibri"/>
                <w:sz w:val="20"/>
                <w:szCs w:val="20"/>
              </w:rPr>
            </w:pPr>
            <w:r>
              <w:rPr>
                <w:rFonts w:ascii="Times" w:hAnsi="Times" w:cs="Times"/>
                <w:sz w:val="25"/>
                <w:szCs w:val="25"/>
              </w:rPr>
              <w:t>3 /2</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vyhodnotených pripomienok</w:t>
            </w:r>
          </w:p>
        </w:tc>
        <w:tc>
          <w:tcPr>
            <w:tcW w:w="7801" w:type="dxa"/>
            <w:tcBorders>
              <w:top w:val="nil"/>
              <w:left w:val="nil"/>
              <w:bottom w:val="nil"/>
              <w:right w:val="nil"/>
            </w:tcBorders>
          </w:tcPr>
          <w:p w:rsidR="00927118" w:rsidRPr="00024402" w:rsidRDefault="00A370D8" w:rsidP="00A370D8">
            <w:pPr>
              <w:spacing w:after="0" w:line="240" w:lineRule="auto"/>
              <w:rPr>
                <w:rFonts w:ascii="Times New Roman" w:hAnsi="Times New Roman" w:cs="Calibri"/>
                <w:sz w:val="20"/>
                <w:szCs w:val="20"/>
              </w:rPr>
            </w:pPr>
            <w:r>
              <w:rPr>
                <w:rFonts w:ascii="Times" w:hAnsi="Times" w:cs="Times"/>
                <w:sz w:val="25"/>
                <w:szCs w:val="25"/>
              </w:rPr>
              <w:t>3</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akceptovaných pripomienok, z toho zásadných</w:t>
            </w:r>
          </w:p>
        </w:tc>
        <w:tc>
          <w:tcPr>
            <w:tcW w:w="7801" w:type="dxa"/>
            <w:tcBorders>
              <w:top w:val="nil"/>
              <w:left w:val="nil"/>
              <w:bottom w:val="nil"/>
              <w:right w:val="nil"/>
            </w:tcBorders>
          </w:tcPr>
          <w:p w:rsidR="00927118" w:rsidRPr="00024402" w:rsidRDefault="00A370D8" w:rsidP="00A370D8">
            <w:pPr>
              <w:spacing w:after="0" w:line="240" w:lineRule="auto"/>
              <w:rPr>
                <w:rFonts w:ascii="Times New Roman" w:hAnsi="Times New Roman" w:cs="Calibri"/>
                <w:sz w:val="20"/>
                <w:szCs w:val="20"/>
              </w:rPr>
            </w:pPr>
            <w:r>
              <w:rPr>
                <w:rFonts w:ascii="Times" w:hAnsi="Times" w:cs="Times"/>
                <w:sz w:val="25"/>
                <w:szCs w:val="25"/>
              </w:rPr>
              <w:t>0 /0</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čiastočne akceptovaných pripomienok, z toho zásadných</w:t>
            </w:r>
          </w:p>
        </w:tc>
        <w:tc>
          <w:tcPr>
            <w:tcW w:w="7801" w:type="dxa"/>
            <w:tcBorders>
              <w:top w:val="nil"/>
              <w:left w:val="nil"/>
              <w:bottom w:val="nil"/>
              <w:right w:val="nil"/>
            </w:tcBorders>
          </w:tcPr>
          <w:p w:rsidR="00927118" w:rsidRPr="00024402" w:rsidRDefault="00A370D8" w:rsidP="00A370D8">
            <w:pPr>
              <w:spacing w:after="0" w:line="240" w:lineRule="auto"/>
              <w:rPr>
                <w:rFonts w:ascii="Times New Roman" w:hAnsi="Times New Roman" w:cs="Calibri"/>
                <w:sz w:val="20"/>
                <w:szCs w:val="20"/>
              </w:rPr>
            </w:pPr>
            <w:r>
              <w:rPr>
                <w:rFonts w:ascii="Times" w:hAnsi="Times" w:cs="Times"/>
                <w:sz w:val="25"/>
                <w:szCs w:val="25"/>
              </w:rPr>
              <w:t>0 /0</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neakceptovaných pripomienok, z toho zásadných</w:t>
            </w:r>
          </w:p>
        </w:tc>
        <w:tc>
          <w:tcPr>
            <w:tcW w:w="7801" w:type="dxa"/>
            <w:tcBorders>
              <w:top w:val="nil"/>
              <w:left w:val="nil"/>
              <w:bottom w:val="nil"/>
              <w:right w:val="nil"/>
            </w:tcBorders>
          </w:tcPr>
          <w:p w:rsidR="00927118" w:rsidRPr="00024402" w:rsidRDefault="00A370D8" w:rsidP="00A370D8">
            <w:pPr>
              <w:spacing w:after="0" w:line="240" w:lineRule="auto"/>
              <w:rPr>
                <w:rFonts w:ascii="Times New Roman" w:hAnsi="Times New Roman" w:cs="Calibri"/>
                <w:sz w:val="20"/>
                <w:szCs w:val="20"/>
              </w:rPr>
            </w:pPr>
            <w:r>
              <w:rPr>
                <w:rFonts w:ascii="Times" w:hAnsi="Times" w:cs="Times"/>
                <w:sz w:val="25"/>
                <w:szCs w:val="25"/>
              </w:rPr>
              <w:t>3 /2</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bCs/>
                <w:sz w:val="25"/>
                <w:szCs w:val="25"/>
              </w:rPr>
              <w:t>Rozporové konanie (s kým, kedy, s akým výsledkom)</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r w:rsidRPr="000032C8">
              <w:rPr>
                <w:rFonts w:ascii="Times New Roman" w:hAnsi="Times New Roman" w:cs="Calibri"/>
                <w:bCs/>
                <w:sz w:val="25"/>
                <w:szCs w:val="25"/>
              </w:rPr>
              <w:t>Počet odstránených pripomienok</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r w:rsidRPr="000032C8">
              <w:rPr>
                <w:rFonts w:ascii="Times New Roman" w:hAnsi="Times New Roman" w:cs="Calibri"/>
                <w:bCs/>
                <w:sz w:val="25"/>
                <w:szCs w:val="25"/>
              </w:rPr>
              <w:t>Počet neodstránených pripomienok</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bl>
    <w:p w:rsidR="00927118" w:rsidRPr="00024402" w:rsidRDefault="00927118" w:rsidP="00927118">
      <w:pPr>
        <w:spacing w:after="0" w:line="240" w:lineRule="auto"/>
        <w:rPr>
          <w:rFonts w:ascii="Times New Roman" w:hAnsi="Times New Roman" w:cs="Calibri"/>
          <w:b/>
          <w:sz w:val="20"/>
          <w:szCs w:val="20"/>
        </w:rPr>
      </w:pPr>
    </w:p>
    <w:p w:rsidR="00927118" w:rsidRPr="000032C8" w:rsidRDefault="00927118" w:rsidP="00927118">
      <w:pPr>
        <w:spacing w:after="0" w:line="240" w:lineRule="auto"/>
        <w:rPr>
          <w:sz w:val="25"/>
          <w:szCs w:val="25"/>
        </w:rPr>
      </w:pPr>
      <w:r w:rsidRPr="000032C8">
        <w:rPr>
          <w:rFonts w:ascii="Times New Roman" w:hAnsi="Times New Roman" w:cs="Calibri"/>
          <w:sz w:val="25"/>
          <w:szCs w:val="25"/>
        </w:rPr>
        <w:t>Sumarizácia vznesených pripomienok podľa subjektov</w:t>
      </w:r>
    </w:p>
    <w:p w:rsidR="00A370D8" w:rsidRDefault="00A370D8" w:rsidP="00841FA6"/>
    <w:tbl>
      <w:tblPr>
        <w:tblW w:w="5000" w:type="pct"/>
        <w:jc w:val="center"/>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firstRow="1" w:lastRow="0" w:firstColumn="1" w:lastColumn="0" w:noHBand="0" w:noVBand="1"/>
      </w:tblPr>
      <w:tblGrid>
        <w:gridCol w:w="328"/>
        <w:gridCol w:w="3597"/>
        <w:gridCol w:w="1404"/>
        <w:gridCol w:w="1404"/>
        <w:gridCol w:w="1391"/>
        <w:gridCol w:w="932"/>
      </w:tblGrid>
      <w:tr w:rsidR="00A370D8">
        <w:trPr>
          <w:divId w:val="430669099"/>
          <w:jc w:val="center"/>
        </w:trPr>
        <w:tc>
          <w:tcPr>
            <w:tcW w:w="150" w:type="pct"/>
            <w:tcBorders>
              <w:top w:val="outset" w:sz="6" w:space="0" w:color="000000"/>
              <w:left w:val="outset" w:sz="6" w:space="0" w:color="000000"/>
              <w:bottom w:val="outset" w:sz="6" w:space="0" w:color="000000"/>
              <w:right w:val="outset" w:sz="6" w:space="0" w:color="000000"/>
            </w:tcBorders>
            <w:vAlign w:val="center"/>
            <w:hideMark/>
          </w:tcPr>
          <w:p w:rsidR="00A370D8" w:rsidRDefault="00A370D8">
            <w:pPr>
              <w:jc w:val="center"/>
              <w:rPr>
                <w:rFonts w:ascii="Times" w:hAnsi="Times" w:cs="Times"/>
                <w:b/>
                <w:bCs/>
                <w:sz w:val="25"/>
                <w:szCs w:val="25"/>
              </w:rPr>
            </w:pPr>
            <w:r>
              <w:rPr>
                <w:rFonts w:ascii="Times" w:hAnsi="Times" w:cs="Times"/>
                <w:b/>
                <w:bCs/>
                <w:sz w:val="25"/>
                <w:szCs w:val="25"/>
              </w:rPr>
              <w:t>Č.</w:t>
            </w:r>
          </w:p>
        </w:tc>
        <w:tc>
          <w:tcPr>
            <w:tcW w:w="3000" w:type="pct"/>
            <w:tcBorders>
              <w:top w:val="outset" w:sz="6" w:space="0" w:color="000000"/>
              <w:left w:val="outset" w:sz="6" w:space="0" w:color="000000"/>
              <w:bottom w:val="outset" w:sz="6" w:space="0" w:color="000000"/>
              <w:right w:val="outset" w:sz="6" w:space="0" w:color="000000"/>
            </w:tcBorders>
            <w:vAlign w:val="center"/>
            <w:hideMark/>
          </w:tcPr>
          <w:p w:rsidR="00A370D8" w:rsidRDefault="00A370D8">
            <w:pPr>
              <w:jc w:val="center"/>
              <w:rPr>
                <w:rFonts w:ascii="Times" w:hAnsi="Times" w:cs="Times"/>
                <w:b/>
                <w:bCs/>
                <w:sz w:val="25"/>
                <w:szCs w:val="25"/>
              </w:rPr>
            </w:pPr>
            <w:r>
              <w:rPr>
                <w:rFonts w:ascii="Times" w:hAnsi="Times" w:cs="Times"/>
                <w:b/>
                <w:bCs/>
                <w:sz w:val="25"/>
                <w:szCs w:val="25"/>
              </w:rPr>
              <w:t>Subjekt</w:t>
            </w:r>
          </w:p>
        </w:tc>
        <w:tc>
          <w:tcPr>
            <w:tcW w:w="500" w:type="pct"/>
            <w:tcBorders>
              <w:top w:val="outset" w:sz="6" w:space="0" w:color="000000"/>
              <w:left w:val="outset" w:sz="6" w:space="0" w:color="000000"/>
              <w:bottom w:val="outset" w:sz="6" w:space="0" w:color="000000"/>
              <w:right w:val="outset" w:sz="6" w:space="0" w:color="000000"/>
            </w:tcBorders>
            <w:vAlign w:val="center"/>
            <w:hideMark/>
          </w:tcPr>
          <w:p w:rsidR="00A370D8" w:rsidRDefault="00A370D8">
            <w:pPr>
              <w:jc w:val="center"/>
              <w:rPr>
                <w:rFonts w:ascii="Times" w:hAnsi="Times" w:cs="Times"/>
                <w:b/>
                <w:bCs/>
                <w:sz w:val="25"/>
                <w:szCs w:val="25"/>
              </w:rPr>
            </w:pPr>
            <w:r>
              <w:rPr>
                <w:rFonts w:ascii="Times" w:hAnsi="Times" w:cs="Times"/>
                <w:b/>
                <w:bCs/>
                <w:sz w:val="25"/>
                <w:szCs w:val="25"/>
              </w:rPr>
              <w:t>Pripomienky do termínu</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A370D8" w:rsidRDefault="00A370D8">
            <w:pPr>
              <w:jc w:val="center"/>
              <w:rPr>
                <w:rFonts w:ascii="Times" w:hAnsi="Times" w:cs="Times"/>
                <w:b/>
                <w:bCs/>
                <w:sz w:val="25"/>
                <w:szCs w:val="25"/>
              </w:rPr>
            </w:pPr>
            <w:r>
              <w:rPr>
                <w:rFonts w:ascii="Times" w:hAnsi="Times" w:cs="Times"/>
                <w:b/>
                <w:bCs/>
                <w:sz w:val="25"/>
                <w:szCs w:val="25"/>
              </w:rPr>
              <w:t>Pripomienky po termíne</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A370D8" w:rsidRDefault="00A370D8">
            <w:pPr>
              <w:jc w:val="center"/>
              <w:rPr>
                <w:rFonts w:ascii="Times" w:hAnsi="Times" w:cs="Times"/>
                <w:b/>
                <w:bCs/>
                <w:sz w:val="25"/>
                <w:szCs w:val="25"/>
              </w:rPr>
            </w:pPr>
            <w:r>
              <w:rPr>
                <w:rFonts w:ascii="Times" w:hAnsi="Times" w:cs="Times"/>
                <w:b/>
                <w:bCs/>
                <w:sz w:val="25"/>
                <w:szCs w:val="25"/>
              </w:rPr>
              <w:t>Nemali pripomienky</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A370D8" w:rsidRDefault="00A370D8">
            <w:pPr>
              <w:jc w:val="center"/>
              <w:rPr>
                <w:rFonts w:ascii="Times" w:hAnsi="Times" w:cs="Times"/>
                <w:b/>
                <w:bCs/>
                <w:sz w:val="25"/>
                <w:szCs w:val="25"/>
              </w:rPr>
            </w:pPr>
            <w:r>
              <w:rPr>
                <w:rFonts w:ascii="Times" w:hAnsi="Times" w:cs="Times"/>
                <w:b/>
                <w:bCs/>
                <w:sz w:val="25"/>
                <w:szCs w:val="25"/>
              </w:rPr>
              <w:t>Vôbec nezaslali</w:t>
            </w:r>
          </w:p>
        </w:tc>
      </w:tr>
      <w:tr w:rsidR="00A370D8">
        <w:trPr>
          <w:divId w:val="430669099"/>
          <w:jc w:val="center"/>
        </w:trPr>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1.</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rPr>
                <w:rFonts w:ascii="Times" w:hAnsi="Times" w:cs="Times"/>
                <w:sz w:val="25"/>
                <w:szCs w:val="25"/>
              </w:rPr>
            </w:pPr>
            <w:r>
              <w:rPr>
                <w:rFonts w:ascii="Times" w:hAnsi="Times" w:cs="Times"/>
                <w:sz w:val="25"/>
                <w:szCs w:val="25"/>
              </w:rPr>
              <w:t>Konfederácia odborových zväzov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1 (0o,1z)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sz w:val="20"/>
                <w:szCs w:val="20"/>
              </w:rPr>
            </w:pPr>
          </w:p>
        </w:tc>
      </w:tr>
      <w:tr w:rsidR="00A370D8">
        <w:trPr>
          <w:divId w:val="430669099"/>
          <w:jc w:val="center"/>
        </w:trPr>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2.</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rPr>
                <w:rFonts w:ascii="Times" w:hAnsi="Times" w:cs="Times"/>
                <w:sz w:val="25"/>
                <w:szCs w:val="25"/>
              </w:rPr>
            </w:pPr>
            <w:r>
              <w:rPr>
                <w:rFonts w:ascii="Times" w:hAnsi="Times" w:cs="Times"/>
                <w:sz w:val="25"/>
                <w:szCs w:val="25"/>
              </w:rPr>
              <w:t>Ministerstvo hospodárstva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2 (1o,1z)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sz w:val="20"/>
                <w:szCs w:val="20"/>
              </w:rPr>
            </w:pPr>
          </w:p>
        </w:tc>
      </w:tr>
      <w:tr w:rsidR="00A370D8">
        <w:trPr>
          <w:divId w:val="430669099"/>
          <w:jc w:val="center"/>
        </w:trPr>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3.</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rPr>
                <w:rFonts w:ascii="Times" w:hAnsi="Times" w:cs="Times"/>
                <w:sz w:val="25"/>
                <w:szCs w:val="25"/>
              </w:rPr>
            </w:pPr>
            <w:r>
              <w:rPr>
                <w:rFonts w:ascii="Times" w:hAnsi="Times" w:cs="Times"/>
                <w:sz w:val="25"/>
                <w:szCs w:val="25"/>
              </w:rPr>
              <w:t>Ministerstvo spravodlivosti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p>
        </w:tc>
      </w:tr>
      <w:tr w:rsidR="00A370D8">
        <w:trPr>
          <w:divId w:val="430669099"/>
          <w:jc w:val="center"/>
        </w:trPr>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4.</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rPr>
                <w:rFonts w:ascii="Times" w:hAnsi="Times" w:cs="Times"/>
                <w:sz w:val="25"/>
                <w:szCs w:val="25"/>
              </w:rPr>
            </w:pPr>
            <w:r>
              <w:rPr>
                <w:rFonts w:ascii="Times" w:hAnsi="Times" w:cs="Times"/>
                <w:sz w:val="25"/>
                <w:szCs w:val="25"/>
              </w:rPr>
              <w:t>Úrad priemyselného vlastníctva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p>
        </w:tc>
      </w:tr>
      <w:tr w:rsidR="00A370D8">
        <w:trPr>
          <w:divId w:val="430669099"/>
          <w:jc w:val="center"/>
        </w:trPr>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5.</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rPr>
                <w:rFonts w:ascii="Times" w:hAnsi="Times" w:cs="Times"/>
                <w:sz w:val="25"/>
                <w:szCs w:val="25"/>
              </w:rPr>
            </w:pPr>
            <w:r>
              <w:rPr>
                <w:rFonts w:ascii="Times" w:hAnsi="Times" w:cs="Times"/>
                <w:sz w:val="25"/>
                <w:szCs w:val="25"/>
              </w:rPr>
              <w:t>Ministerstvo obrany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p>
        </w:tc>
      </w:tr>
      <w:tr w:rsidR="00A370D8">
        <w:trPr>
          <w:divId w:val="430669099"/>
          <w:jc w:val="center"/>
        </w:trPr>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6.</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rPr>
                <w:rFonts w:ascii="Times" w:hAnsi="Times" w:cs="Times"/>
                <w:sz w:val="25"/>
                <w:szCs w:val="25"/>
              </w:rPr>
            </w:pPr>
            <w:r>
              <w:rPr>
                <w:rFonts w:ascii="Times" w:hAnsi="Times" w:cs="Times"/>
                <w:sz w:val="25"/>
                <w:szCs w:val="25"/>
              </w:rPr>
              <w:t>Ministerstvo financií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p>
        </w:tc>
      </w:tr>
      <w:tr w:rsidR="00A370D8">
        <w:trPr>
          <w:divId w:val="430669099"/>
          <w:jc w:val="center"/>
        </w:trPr>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7.</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rPr>
                <w:rFonts w:ascii="Times" w:hAnsi="Times" w:cs="Times"/>
                <w:sz w:val="25"/>
                <w:szCs w:val="25"/>
              </w:rPr>
            </w:pPr>
            <w:r>
              <w:rPr>
                <w:rFonts w:ascii="Times" w:hAnsi="Times" w:cs="Times"/>
                <w:sz w:val="25"/>
                <w:szCs w:val="25"/>
              </w:rPr>
              <w:t>Národná banka Slovenska</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p>
        </w:tc>
      </w:tr>
      <w:tr w:rsidR="00A370D8">
        <w:trPr>
          <w:divId w:val="430669099"/>
          <w:jc w:val="center"/>
        </w:trPr>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8.</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rPr>
                <w:rFonts w:ascii="Times" w:hAnsi="Times" w:cs="Times"/>
                <w:sz w:val="25"/>
                <w:szCs w:val="25"/>
              </w:rPr>
            </w:pPr>
            <w:r>
              <w:rPr>
                <w:rFonts w:ascii="Times" w:hAnsi="Times" w:cs="Times"/>
                <w:sz w:val="25"/>
                <w:szCs w:val="25"/>
              </w:rPr>
              <w:t>Úrad pre verejné obstarávanie</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p>
        </w:tc>
      </w:tr>
      <w:tr w:rsidR="00A370D8">
        <w:trPr>
          <w:divId w:val="430669099"/>
          <w:jc w:val="center"/>
        </w:trPr>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9.</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rPr>
                <w:rFonts w:ascii="Times" w:hAnsi="Times" w:cs="Times"/>
                <w:sz w:val="25"/>
                <w:szCs w:val="25"/>
              </w:rPr>
            </w:pPr>
            <w:r>
              <w:rPr>
                <w:rFonts w:ascii="Times" w:hAnsi="Times" w:cs="Times"/>
                <w:sz w:val="25"/>
                <w:szCs w:val="25"/>
              </w:rPr>
              <w:t>Generálna prokuratúra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p>
        </w:tc>
      </w:tr>
      <w:tr w:rsidR="00A370D8">
        <w:trPr>
          <w:divId w:val="430669099"/>
          <w:jc w:val="center"/>
        </w:trPr>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10.</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rPr>
                <w:rFonts w:ascii="Times" w:hAnsi="Times" w:cs="Times"/>
                <w:sz w:val="25"/>
                <w:szCs w:val="25"/>
              </w:rPr>
            </w:pPr>
            <w:r>
              <w:rPr>
                <w:rFonts w:ascii="Times" w:hAnsi="Times" w:cs="Times"/>
                <w:sz w:val="25"/>
                <w:szCs w:val="25"/>
              </w:rPr>
              <w:t>Ministerstvo školstva,výskumu,vývoja a mládeže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p>
        </w:tc>
      </w:tr>
      <w:tr w:rsidR="00A370D8">
        <w:trPr>
          <w:divId w:val="430669099"/>
          <w:jc w:val="center"/>
        </w:trPr>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11.</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rPr>
                <w:rFonts w:ascii="Times" w:hAnsi="Times" w:cs="Times"/>
                <w:sz w:val="25"/>
                <w:szCs w:val="25"/>
              </w:rPr>
            </w:pPr>
            <w:r>
              <w:rPr>
                <w:rFonts w:ascii="Times" w:hAnsi="Times" w:cs="Times"/>
                <w:sz w:val="25"/>
                <w:szCs w:val="25"/>
              </w:rPr>
              <w:t>Ministerstvo pôdohospodárstva a rozvoja vidieka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p>
        </w:tc>
      </w:tr>
      <w:tr w:rsidR="00A370D8">
        <w:trPr>
          <w:divId w:val="430669099"/>
          <w:jc w:val="center"/>
        </w:trPr>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12.</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rPr>
                <w:rFonts w:ascii="Times" w:hAnsi="Times" w:cs="Times"/>
                <w:sz w:val="25"/>
                <w:szCs w:val="25"/>
              </w:rPr>
            </w:pPr>
            <w:r>
              <w:rPr>
                <w:rFonts w:ascii="Times" w:hAnsi="Times" w:cs="Times"/>
                <w:sz w:val="25"/>
                <w:szCs w:val="25"/>
              </w:rPr>
              <w:t>Ministerstvo cestovného ruchu a športu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p>
        </w:tc>
      </w:tr>
      <w:tr w:rsidR="00A370D8">
        <w:trPr>
          <w:divId w:val="430669099"/>
          <w:jc w:val="center"/>
        </w:trPr>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13.</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rPr>
                <w:rFonts w:ascii="Times" w:hAnsi="Times" w:cs="Times"/>
                <w:sz w:val="25"/>
                <w:szCs w:val="25"/>
              </w:rPr>
            </w:pPr>
            <w:r>
              <w:rPr>
                <w:rFonts w:ascii="Times" w:hAnsi="Times" w:cs="Times"/>
                <w:sz w:val="25"/>
                <w:szCs w:val="25"/>
              </w:rPr>
              <w:t>Štatistický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p>
        </w:tc>
      </w:tr>
      <w:tr w:rsidR="00A370D8">
        <w:trPr>
          <w:divId w:val="430669099"/>
          <w:jc w:val="center"/>
        </w:trPr>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14.</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rPr>
                <w:rFonts w:ascii="Times" w:hAnsi="Times" w:cs="Times"/>
                <w:sz w:val="25"/>
                <w:szCs w:val="25"/>
              </w:rPr>
            </w:pPr>
            <w:r>
              <w:rPr>
                <w:rFonts w:ascii="Times" w:hAnsi="Times" w:cs="Times"/>
                <w:sz w:val="25"/>
                <w:szCs w:val="25"/>
              </w:rPr>
              <w:t>Ministerstvo investícií, regionálneho rozvoja a informatizácie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p>
        </w:tc>
      </w:tr>
      <w:tr w:rsidR="00A370D8">
        <w:trPr>
          <w:divId w:val="430669099"/>
          <w:jc w:val="center"/>
        </w:trPr>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15.</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rPr>
                <w:rFonts w:ascii="Times" w:hAnsi="Times" w:cs="Times"/>
                <w:sz w:val="25"/>
                <w:szCs w:val="25"/>
              </w:rPr>
            </w:pPr>
            <w:r>
              <w:rPr>
                <w:rFonts w:ascii="Times" w:hAnsi="Times" w:cs="Times"/>
                <w:sz w:val="25"/>
                <w:szCs w:val="25"/>
              </w:rPr>
              <w:t>Ministerstvo vnútra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p>
        </w:tc>
      </w:tr>
      <w:tr w:rsidR="00A370D8">
        <w:trPr>
          <w:divId w:val="430669099"/>
          <w:jc w:val="center"/>
        </w:trPr>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16.</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rPr>
                <w:rFonts w:ascii="Times" w:hAnsi="Times" w:cs="Times"/>
                <w:sz w:val="25"/>
                <w:szCs w:val="25"/>
              </w:rPr>
            </w:pPr>
            <w:r>
              <w:rPr>
                <w:rFonts w:ascii="Times" w:hAnsi="Times" w:cs="Times"/>
                <w:sz w:val="25"/>
                <w:szCs w:val="25"/>
              </w:rPr>
              <w:t>Úrad pre normalizáciu, metrológiu a skúšobníctvo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p>
        </w:tc>
      </w:tr>
      <w:tr w:rsidR="00A370D8">
        <w:trPr>
          <w:divId w:val="430669099"/>
          <w:jc w:val="center"/>
        </w:trPr>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17.</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rPr>
                <w:rFonts w:ascii="Times" w:hAnsi="Times" w:cs="Times"/>
                <w:sz w:val="25"/>
                <w:szCs w:val="25"/>
              </w:rPr>
            </w:pPr>
            <w:r>
              <w:rPr>
                <w:rFonts w:ascii="Times" w:hAnsi="Times" w:cs="Times"/>
                <w:sz w:val="25"/>
                <w:szCs w:val="25"/>
              </w:rPr>
              <w:t>Národný bezpečnostný úrad</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p>
        </w:tc>
      </w:tr>
      <w:tr w:rsidR="00A370D8">
        <w:trPr>
          <w:divId w:val="430669099"/>
          <w:jc w:val="center"/>
        </w:trPr>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18.</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rPr>
                <w:rFonts w:ascii="Times" w:hAnsi="Times" w:cs="Times"/>
                <w:sz w:val="25"/>
                <w:szCs w:val="25"/>
              </w:rPr>
            </w:pPr>
            <w:r>
              <w:rPr>
                <w:rFonts w:ascii="Times" w:hAnsi="Times" w:cs="Times"/>
                <w:sz w:val="25"/>
                <w:szCs w:val="25"/>
              </w:rPr>
              <w:t>Ministerstvo dopravy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p>
        </w:tc>
      </w:tr>
      <w:tr w:rsidR="00A370D8">
        <w:trPr>
          <w:divId w:val="430669099"/>
          <w:jc w:val="center"/>
        </w:trPr>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19.</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rPr>
                <w:rFonts w:ascii="Times" w:hAnsi="Times" w:cs="Times"/>
                <w:sz w:val="25"/>
                <w:szCs w:val="25"/>
              </w:rPr>
            </w:pPr>
            <w:r>
              <w:rPr>
                <w:rFonts w:ascii="Times" w:hAnsi="Times" w:cs="Times"/>
                <w:sz w:val="25"/>
                <w:szCs w:val="25"/>
              </w:rPr>
              <w:t>Ministerstvo kultúry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p>
        </w:tc>
      </w:tr>
      <w:tr w:rsidR="00A370D8">
        <w:trPr>
          <w:divId w:val="430669099"/>
          <w:jc w:val="center"/>
        </w:trPr>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20.</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rPr>
                <w:rFonts w:ascii="Times" w:hAnsi="Times" w:cs="Times"/>
                <w:sz w:val="25"/>
                <w:szCs w:val="25"/>
              </w:rPr>
            </w:pPr>
            <w:r>
              <w:rPr>
                <w:rFonts w:ascii="Times" w:hAnsi="Times" w:cs="Times"/>
                <w:sz w:val="25"/>
                <w:szCs w:val="25"/>
              </w:rPr>
              <w:t>Ministerstvo zdravotníctva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p>
        </w:tc>
      </w:tr>
      <w:tr w:rsidR="00A370D8">
        <w:trPr>
          <w:divId w:val="430669099"/>
          <w:jc w:val="center"/>
        </w:trPr>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21.</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rPr>
                <w:rFonts w:ascii="Times" w:hAnsi="Times" w:cs="Times"/>
                <w:sz w:val="25"/>
                <w:szCs w:val="25"/>
              </w:rPr>
            </w:pPr>
            <w:r>
              <w:rPr>
                <w:rFonts w:ascii="Times" w:hAnsi="Times" w:cs="Times"/>
                <w:sz w:val="25"/>
                <w:szCs w:val="25"/>
              </w:rPr>
              <w:t>Ministerstvo zahraničných vecí a európskych záležitostí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p>
        </w:tc>
      </w:tr>
      <w:tr w:rsidR="00A370D8">
        <w:trPr>
          <w:divId w:val="430669099"/>
          <w:jc w:val="center"/>
        </w:trPr>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22.</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rPr>
                <w:rFonts w:ascii="Times" w:hAnsi="Times" w:cs="Times"/>
                <w:sz w:val="25"/>
                <w:szCs w:val="25"/>
              </w:rPr>
            </w:pPr>
            <w:r>
              <w:rPr>
                <w:rFonts w:ascii="Times" w:hAnsi="Times" w:cs="Times"/>
                <w:sz w:val="25"/>
                <w:szCs w:val="25"/>
              </w:rPr>
              <w:t>Protimonopolný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p>
        </w:tc>
      </w:tr>
      <w:tr w:rsidR="00A370D8">
        <w:trPr>
          <w:divId w:val="430669099"/>
          <w:jc w:val="center"/>
        </w:trPr>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23.</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rPr>
                <w:rFonts w:ascii="Times" w:hAnsi="Times" w:cs="Times"/>
                <w:sz w:val="25"/>
                <w:szCs w:val="25"/>
              </w:rPr>
            </w:pPr>
            <w:r>
              <w:rPr>
                <w:rFonts w:ascii="Times" w:hAnsi="Times" w:cs="Times"/>
                <w:sz w:val="25"/>
                <w:szCs w:val="25"/>
              </w:rPr>
              <w:t>Ministerstvo životného prostredia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x</w:t>
            </w:r>
          </w:p>
        </w:tc>
      </w:tr>
      <w:tr w:rsidR="00A370D8">
        <w:trPr>
          <w:divId w:val="430669099"/>
          <w:jc w:val="center"/>
        </w:trPr>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24.</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rPr>
                <w:rFonts w:ascii="Times" w:hAnsi="Times" w:cs="Times"/>
                <w:sz w:val="25"/>
                <w:szCs w:val="25"/>
              </w:rPr>
            </w:pPr>
            <w:r>
              <w:rPr>
                <w:rFonts w:ascii="Times" w:hAnsi="Times" w:cs="Times"/>
                <w:sz w:val="25"/>
                <w:szCs w:val="25"/>
              </w:rPr>
              <w:t>Ministerstvo práce, sociálnych vecí a rodiny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x</w:t>
            </w:r>
          </w:p>
        </w:tc>
      </w:tr>
      <w:tr w:rsidR="00A370D8">
        <w:trPr>
          <w:divId w:val="430669099"/>
          <w:jc w:val="center"/>
        </w:trPr>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25.</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rPr>
                <w:rFonts w:ascii="Times" w:hAnsi="Times" w:cs="Times"/>
                <w:sz w:val="25"/>
                <w:szCs w:val="25"/>
              </w:rPr>
            </w:pPr>
            <w:r>
              <w:rPr>
                <w:rFonts w:ascii="Times" w:hAnsi="Times" w:cs="Times"/>
                <w:sz w:val="25"/>
                <w:szCs w:val="25"/>
              </w:rPr>
              <w:t>Úrad vlády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x</w:t>
            </w:r>
          </w:p>
        </w:tc>
      </w:tr>
      <w:tr w:rsidR="00A370D8">
        <w:trPr>
          <w:divId w:val="430669099"/>
          <w:jc w:val="center"/>
        </w:trPr>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26.</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rPr>
                <w:rFonts w:ascii="Times" w:hAnsi="Times" w:cs="Times"/>
                <w:sz w:val="25"/>
                <w:szCs w:val="25"/>
              </w:rPr>
            </w:pPr>
            <w:r>
              <w:rPr>
                <w:rFonts w:ascii="Times" w:hAnsi="Times" w:cs="Times"/>
                <w:sz w:val="25"/>
                <w:szCs w:val="25"/>
              </w:rPr>
              <w:t>Úrad jadrového dozoru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x</w:t>
            </w:r>
          </w:p>
        </w:tc>
      </w:tr>
      <w:tr w:rsidR="00A370D8">
        <w:trPr>
          <w:divId w:val="430669099"/>
          <w:jc w:val="center"/>
        </w:trPr>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27.</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rPr>
                <w:rFonts w:ascii="Times" w:hAnsi="Times" w:cs="Times"/>
                <w:sz w:val="25"/>
                <w:szCs w:val="25"/>
              </w:rPr>
            </w:pPr>
            <w:r>
              <w:rPr>
                <w:rFonts w:ascii="Times" w:hAnsi="Times" w:cs="Times"/>
                <w:sz w:val="25"/>
                <w:szCs w:val="25"/>
              </w:rPr>
              <w:t>Úrad geodézie, kartografie a katastra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x</w:t>
            </w:r>
          </w:p>
        </w:tc>
      </w:tr>
      <w:tr w:rsidR="00A370D8">
        <w:trPr>
          <w:divId w:val="430669099"/>
          <w:jc w:val="center"/>
        </w:trPr>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28.</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rPr>
                <w:rFonts w:ascii="Times" w:hAnsi="Times" w:cs="Times"/>
                <w:sz w:val="25"/>
                <w:szCs w:val="25"/>
              </w:rPr>
            </w:pPr>
            <w:r>
              <w:rPr>
                <w:rFonts w:ascii="Times" w:hAnsi="Times" w:cs="Times"/>
                <w:sz w:val="25"/>
                <w:szCs w:val="25"/>
              </w:rPr>
              <w:t>Správa štátnych hmotných rezerv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x</w:t>
            </w:r>
          </w:p>
        </w:tc>
      </w:tr>
      <w:tr w:rsidR="00A370D8">
        <w:trPr>
          <w:divId w:val="430669099"/>
          <w:jc w:val="center"/>
        </w:trPr>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29.</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rPr>
                <w:rFonts w:ascii="Times" w:hAnsi="Times" w:cs="Times"/>
                <w:sz w:val="25"/>
                <w:szCs w:val="25"/>
              </w:rPr>
            </w:pPr>
            <w:r>
              <w:rPr>
                <w:rFonts w:ascii="Times" w:hAnsi="Times" w:cs="Times"/>
                <w:sz w:val="25"/>
                <w:szCs w:val="25"/>
              </w:rPr>
              <w:t>Najvyšší kontrolný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x</w:t>
            </w:r>
          </w:p>
        </w:tc>
      </w:tr>
      <w:tr w:rsidR="00A370D8">
        <w:trPr>
          <w:divId w:val="430669099"/>
          <w:jc w:val="center"/>
        </w:trPr>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30.</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rPr>
                <w:rFonts w:ascii="Times" w:hAnsi="Times" w:cs="Times"/>
                <w:sz w:val="25"/>
                <w:szCs w:val="25"/>
              </w:rPr>
            </w:pPr>
            <w:r>
              <w:rPr>
                <w:rFonts w:ascii="Times" w:hAnsi="Times" w:cs="Times"/>
                <w:sz w:val="25"/>
                <w:szCs w:val="25"/>
              </w:rPr>
              <w:t>Najvyšší súd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x</w:t>
            </w:r>
          </w:p>
        </w:tc>
      </w:tr>
      <w:tr w:rsidR="00A370D8">
        <w:trPr>
          <w:divId w:val="430669099"/>
          <w:jc w:val="center"/>
        </w:trPr>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31.</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rPr>
                <w:rFonts w:ascii="Times" w:hAnsi="Times" w:cs="Times"/>
                <w:sz w:val="25"/>
                <w:szCs w:val="25"/>
              </w:rPr>
            </w:pPr>
            <w:r>
              <w:rPr>
                <w:rFonts w:ascii="Times" w:hAnsi="Times" w:cs="Times"/>
                <w:sz w:val="25"/>
                <w:szCs w:val="25"/>
              </w:rPr>
              <w:t>Kancelária Ústavného súdu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x</w:t>
            </w:r>
          </w:p>
        </w:tc>
      </w:tr>
      <w:tr w:rsidR="00A370D8">
        <w:trPr>
          <w:divId w:val="430669099"/>
          <w:jc w:val="center"/>
        </w:trPr>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32.</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rPr>
                <w:rFonts w:ascii="Times" w:hAnsi="Times" w:cs="Times"/>
                <w:sz w:val="25"/>
                <w:szCs w:val="25"/>
              </w:rPr>
            </w:pPr>
            <w:r>
              <w:rPr>
                <w:rFonts w:ascii="Times" w:hAnsi="Times" w:cs="Times"/>
                <w:sz w:val="25"/>
                <w:szCs w:val="25"/>
              </w:rPr>
              <w:t>Odbor aproximácie práva sekcie vládnej legislatívy Úradu vlády SR</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x</w:t>
            </w:r>
          </w:p>
        </w:tc>
      </w:tr>
      <w:tr w:rsidR="00A370D8">
        <w:trPr>
          <w:divId w:val="430669099"/>
          <w:jc w:val="center"/>
        </w:trPr>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33.</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rPr>
                <w:rFonts w:ascii="Times" w:hAnsi="Times" w:cs="Times"/>
                <w:sz w:val="25"/>
                <w:szCs w:val="25"/>
              </w:rPr>
            </w:pPr>
            <w:r>
              <w:rPr>
                <w:rFonts w:ascii="Times" w:hAnsi="Times" w:cs="Times"/>
                <w:sz w:val="25"/>
                <w:szCs w:val="25"/>
              </w:rPr>
              <w:t>Slovenská poľnohospodárska a potravinárska komora</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x</w:t>
            </w:r>
          </w:p>
        </w:tc>
      </w:tr>
      <w:tr w:rsidR="00A370D8">
        <w:trPr>
          <w:divId w:val="430669099"/>
          <w:jc w:val="center"/>
        </w:trPr>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34.</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rPr>
                <w:rFonts w:ascii="Times" w:hAnsi="Times" w:cs="Times"/>
                <w:sz w:val="25"/>
                <w:szCs w:val="25"/>
              </w:rPr>
            </w:pPr>
            <w:r>
              <w:rPr>
                <w:rFonts w:ascii="Times" w:hAnsi="Times" w:cs="Times"/>
                <w:sz w:val="25"/>
                <w:szCs w:val="25"/>
              </w:rPr>
              <w:t>Združenie miest a obcí Slovenska</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x</w:t>
            </w:r>
          </w:p>
        </w:tc>
      </w:tr>
      <w:tr w:rsidR="00A370D8">
        <w:trPr>
          <w:divId w:val="430669099"/>
          <w:jc w:val="center"/>
        </w:trPr>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35.</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rPr>
                <w:rFonts w:ascii="Times" w:hAnsi="Times" w:cs="Times"/>
                <w:sz w:val="25"/>
                <w:szCs w:val="25"/>
              </w:rPr>
            </w:pPr>
            <w:r>
              <w:rPr>
                <w:rFonts w:ascii="Times" w:hAnsi="Times" w:cs="Times"/>
                <w:sz w:val="25"/>
                <w:szCs w:val="25"/>
              </w:rPr>
              <w:t>Splnomocnenec vlády Slovenskej republiky pre rómske komunity</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x</w:t>
            </w:r>
          </w:p>
        </w:tc>
      </w:tr>
      <w:tr w:rsidR="00A370D8">
        <w:trPr>
          <w:divId w:val="430669099"/>
          <w:jc w:val="center"/>
        </w:trPr>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36.</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rPr>
                <w:rFonts w:ascii="Times" w:hAnsi="Times" w:cs="Times"/>
                <w:sz w:val="25"/>
                <w:szCs w:val="25"/>
              </w:rPr>
            </w:pPr>
            <w:r>
              <w:rPr>
                <w:rFonts w:ascii="Times" w:hAnsi="Times" w:cs="Times"/>
                <w:sz w:val="25"/>
                <w:szCs w:val="25"/>
              </w:rPr>
              <w:t>Asociácia zamestnávatelských zväzov a združení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x</w:t>
            </w:r>
          </w:p>
        </w:tc>
      </w:tr>
      <w:tr w:rsidR="00A370D8">
        <w:trPr>
          <w:divId w:val="430669099"/>
          <w:jc w:val="center"/>
        </w:trPr>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37.</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rPr>
                <w:rFonts w:ascii="Times" w:hAnsi="Times" w:cs="Times"/>
                <w:sz w:val="25"/>
                <w:szCs w:val="25"/>
              </w:rPr>
            </w:pPr>
            <w:r>
              <w:rPr>
                <w:rFonts w:ascii="Times" w:hAnsi="Times" w:cs="Times"/>
                <w:sz w:val="25"/>
                <w:szCs w:val="25"/>
              </w:rPr>
              <w:t>Republiková únia zamestnávateľov</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x</w:t>
            </w:r>
          </w:p>
        </w:tc>
      </w:tr>
      <w:tr w:rsidR="00A370D8">
        <w:trPr>
          <w:divId w:val="430669099"/>
          <w:jc w:val="center"/>
        </w:trPr>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38.</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rPr>
                <w:rFonts w:ascii="Times" w:hAnsi="Times" w:cs="Times"/>
                <w:sz w:val="25"/>
                <w:szCs w:val="25"/>
              </w:rPr>
            </w:pPr>
            <w:r>
              <w:rPr>
                <w:rFonts w:ascii="Times" w:hAnsi="Times" w:cs="Times"/>
                <w:sz w:val="25"/>
                <w:szCs w:val="25"/>
              </w:rPr>
              <w:t>Úrad pre dohľad nad zdravotnou starostlivosťou</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x</w:t>
            </w:r>
          </w:p>
        </w:tc>
      </w:tr>
      <w:tr w:rsidR="00A370D8">
        <w:trPr>
          <w:divId w:val="430669099"/>
          <w:jc w:val="center"/>
        </w:trPr>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39.</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rPr>
                <w:rFonts w:ascii="Times" w:hAnsi="Times" w:cs="Times"/>
                <w:sz w:val="25"/>
                <w:szCs w:val="25"/>
              </w:rPr>
            </w:pPr>
            <w:r>
              <w:rPr>
                <w:rFonts w:ascii="Times" w:hAnsi="Times" w:cs="Times"/>
                <w:sz w:val="25"/>
                <w:szCs w:val="25"/>
              </w:rPr>
              <w:t>Konferencia biskupov Slovenska</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x</w:t>
            </w:r>
          </w:p>
        </w:tc>
      </w:tr>
      <w:tr w:rsidR="00A370D8">
        <w:trPr>
          <w:divId w:val="430669099"/>
          <w:jc w:val="center"/>
        </w:trPr>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40.</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rPr>
                <w:rFonts w:ascii="Times" w:hAnsi="Times" w:cs="Times"/>
                <w:sz w:val="25"/>
                <w:szCs w:val="25"/>
              </w:rPr>
            </w:pPr>
            <w:r>
              <w:rPr>
                <w:rFonts w:ascii="Times" w:hAnsi="Times" w:cs="Times"/>
                <w:sz w:val="25"/>
                <w:szCs w:val="25"/>
              </w:rPr>
              <w:t>Asociácia priemyselných zväzov a dopravy</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x</w:t>
            </w:r>
          </w:p>
        </w:tc>
      </w:tr>
      <w:tr w:rsidR="00A370D8">
        <w:trPr>
          <w:divId w:val="430669099"/>
          <w:jc w:val="center"/>
        </w:trPr>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41.</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rPr>
                <w:rFonts w:ascii="Times" w:hAnsi="Times" w:cs="Times"/>
                <w:sz w:val="25"/>
                <w:szCs w:val="25"/>
              </w:rPr>
            </w:pPr>
            <w:r>
              <w:rPr>
                <w:rFonts w:ascii="Times" w:hAnsi="Times" w:cs="Times"/>
                <w:sz w:val="25"/>
                <w:szCs w:val="25"/>
              </w:rPr>
              <w:t>Klub 500</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x</w:t>
            </w:r>
          </w:p>
        </w:tc>
      </w:tr>
      <w:tr w:rsidR="00A370D8">
        <w:trPr>
          <w:divId w:val="430669099"/>
          <w:jc w:val="center"/>
        </w:trPr>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42.</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rPr>
                <w:rFonts w:ascii="Times" w:hAnsi="Times" w:cs="Times"/>
                <w:sz w:val="25"/>
                <w:szCs w:val="25"/>
              </w:rPr>
            </w:pPr>
            <w:r>
              <w:rPr>
                <w:rFonts w:ascii="Times" w:hAnsi="Times" w:cs="Times"/>
                <w:sz w:val="25"/>
                <w:szCs w:val="25"/>
              </w:rPr>
              <w:t>Úrad vlády Slovenskej republiky - podpredseda vlády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x</w:t>
            </w:r>
          </w:p>
        </w:tc>
      </w:tr>
      <w:tr w:rsidR="00A370D8">
        <w:trPr>
          <w:divId w:val="430669099"/>
          <w:jc w:val="center"/>
        </w:trPr>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43.</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rPr>
                <w:rFonts w:ascii="Times" w:hAnsi="Times" w:cs="Times"/>
                <w:sz w:val="25"/>
                <w:szCs w:val="25"/>
              </w:rPr>
            </w:pPr>
            <w:r>
              <w:rPr>
                <w:rFonts w:ascii="Times" w:hAnsi="Times" w:cs="Times"/>
                <w:sz w:val="25"/>
                <w:szCs w:val="25"/>
              </w:rPr>
              <w:t>Žilinský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x</w:t>
            </w:r>
          </w:p>
        </w:tc>
      </w:tr>
      <w:tr w:rsidR="00A370D8">
        <w:trPr>
          <w:divId w:val="430669099"/>
          <w:jc w:val="center"/>
        </w:trPr>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44.</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rPr>
                <w:rFonts w:ascii="Times" w:hAnsi="Times" w:cs="Times"/>
                <w:sz w:val="25"/>
                <w:szCs w:val="25"/>
              </w:rPr>
            </w:pPr>
            <w:r>
              <w:rPr>
                <w:rFonts w:ascii="Times" w:hAnsi="Times" w:cs="Times"/>
                <w:sz w:val="25"/>
                <w:szCs w:val="25"/>
              </w:rPr>
              <w:t>Košický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x</w:t>
            </w:r>
          </w:p>
        </w:tc>
      </w:tr>
      <w:tr w:rsidR="00A370D8">
        <w:trPr>
          <w:divId w:val="430669099"/>
          <w:jc w:val="center"/>
        </w:trPr>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45.</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rPr>
                <w:rFonts w:ascii="Times" w:hAnsi="Times" w:cs="Times"/>
                <w:sz w:val="25"/>
                <w:szCs w:val="25"/>
              </w:rPr>
            </w:pPr>
            <w:r>
              <w:rPr>
                <w:rFonts w:ascii="Times" w:hAnsi="Times" w:cs="Times"/>
                <w:sz w:val="25"/>
                <w:szCs w:val="25"/>
              </w:rPr>
              <w:t>Banskobystrický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x</w:t>
            </w:r>
          </w:p>
        </w:tc>
      </w:tr>
      <w:tr w:rsidR="00A370D8">
        <w:trPr>
          <w:divId w:val="430669099"/>
          <w:jc w:val="center"/>
        </w:trPr>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46.</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rPr>
                <w:rFonts w:ascii="Times" w:hAnsi="Times" w:cs="Times"/>
                <w:sz w:val="25"/>
                <w:szCs w:val="25"/>
              </w:rPr>
            </w:pPr>
            <w:r>
              <w:rPr>
                <w:rFonts w:ascii="Times" w:hAnsi="Times" w:cs="Times"/>
                <w:sz w:val="25"/>
                <w:szCs w:val="25"/>
              </w:rPr>
              <w:t>BRATISLAVSKÝ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x</w:t>
            </w:r>
          </w:p>
        </w:tc>
      </w:tr>
      <w:tr w:rsidR="00A370D8">
        <w:trPr>
          <w:divId w:val="430669099"/>
          <w:jc w:val="center"/>
        </w:trPr>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47.</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rPr>
                <w:rFonts w:ascii="Times" w:hAnsi="Times" w:cs="Times"/>
                <w:sz w:val="25"/>
                <w:szCs w:val="25"/>
              </w:rPr>
            </w:pPr>
            <w:r>
              <w:rPr>
                <w:rFonts w:ascii="Times" w:hAnsi="Times" w:cs="Times"/>
                <w:sz w:val="25"/>
                <w:szCs w:val="25"/>
              </w:rPr>
              <w:t>Trnavský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x</w:t>
            </w:r>
          </w:p>
        </w:tc>
      </w:tr>
      <w:tr w:rsidR="00A370D8">
        <w:trPr>
          <w:divId w:val="430669099"/>
          <w:jc w:val="center"/>
        </w:trPr>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48.</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rPr>
                <w:rFonts w:ascii="Times" w:hAnsi="Times" w:cs="Times"/>
                <w:sz w:val="25"/>
                <w:szCs w:val="25"/>
              </w:rPr>
            </w:pPr>
            <w:r>
              <w:rPr>
                <w:rFonts w:ascii="Times" w:hAnsi="Times" w:cs="Times"/>
                <w:sz w:val="25"/>
                <w:szCs w:val="25"/>
              </w:rPr>
              <w:t>Prešovský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x</w:t>
            </w:r>
          </w:p>
        </w:tc>
      </w:tr>
      <w:tr w:rsidR="00A370D8">
        <w:trPr>
          <w:divId w:val="430669099"/>
          <w:jc w:val="center"/>
        </w:trPr>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49.</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rPr>
                <w:rFonts w:ascii="Times" w:hAnsi="Times" w:cs="Times"/>
                <w:sz w:val="25"/>
                <w:szCs w:val="25"/>
              </w:rPr>
            </w:pPr>
            <w:r>
              <w:rPr>
                <w:rFonts w:ascii="Times" w:hAnsi="Times" w:cs="Times"/>
                <w:sz w:val="25"/>
                <w:szCs w:val="25"/>
              </w:rPr>
              <w:t>Nitriansky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x</w:t>
            </w:r>
          </w:p>
        </w:tc>
      </w:tr>
      <w:tr w:rsidR="00A370D8">
        <w:trPr>
          <w:divId w:val="430669099"/>
          <w:jc w:val="center"/>
        </w:trPr>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50.</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rPr>
                <w:rFonts w:ascii="Times" w:hAnsi="Times" w:cs="Times"/>
                <w:sz w:val="25"/>
                <w:szCs w:val="25"/>
              </w:rPr>
            </w:pPr>
            <w:r>
              <w:rPr>
                <w:rFonts w:ascii="Times" w:hAnsi="Times" w:cs="Times"/>
                <w:sz w:val="25"/>
                <w:szCs w:val="25"/>
              </w:rPr>
              <w:t>Trenčiansky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x</w:t>
            </w:r>
          </w:p>
        </w:tc>
      </w:tr>
      <w:tr w:rsidR="00A370D8">
        <w:trPr>
          <w:divId w:val="430669099"/>
          <w:jc w:val="center"/>
        </w:trPr>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51.</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rPr>
                <w:rFonts w:ascii="Times" w:hAnsi="Times" w:cs="Times"/>
                <w:sz w:val="25"/>
                <w:szCs w:val="25"/>
              </w:rPr>
            </w:pPr>
            <w:r>
              <w:rPr>
                <w:rFonts w:ascii="Times" w:hAnsi="Times" w:cs="Times"/>
                <w:sz w:val="25"/>
                <w:szCs w:val="25"/>
              </w:rPr>
              <w:t>Hlavné mesto Slovenskej republiky Bratislava</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x</w:t>
            </w:r>
          </w:p>
        </w:tc>
      </w:tr>
      <w:tr w:rsidR="00A370D8">
        <w:trPr>
          <w:divId w:val="430669099"/>
          <w:jc w:val="center"/>
        </w:trPr>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52.</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rPr>
                <w:rFonts w:ascii="Times" w:hAnsi="Times" w:cs="Times"/>
                <w:sz w:val="25"/>
                <w:szCs w:val="25"/>
              </w:rPr>
            </w:pPr>
            <w:r>
              <w:rPr>
                <w:rFonts w:ascii="Times" w:hAnsi="Times" w:cs="Times"/>
                <w:sz w:val="25"/>
                <w:szCs w:val="25"/>
              </w:rPr>
              <w:t>Únia miest Slovenska</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x</w:t>
            </w:r>
          </w:p>
        </w:tc>
      </w:tr>
      <w:tr w:rsidR="00A370D8">
        <w:trPr>
          <w:divId w:val="430669099"/>
          <w:jc w:val="center"/>
        </w:trPr>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53.</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rPr>
                <w:rFonts w:ascii="Times" w:hAnsi="Times" w:cs="Times"/>
                <w:sz w:val="25"/>
                <w:szCs w:val="25"/>
              </w:rPr>
            </w:pPr>
            <w:r>
              <w:rPr>
                <w:rFonts w:ascii="Times" w:hAnsi="Times" w:cs="Times"/>
                <w:sz w:val="25"/>
                <w:szCs w:val="25"/>
              </w:rPr>
              <w:t>Úrad pre územné plánovanie a výstavbu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x</w:t>
            </w:r>
          </w:p>
        </w:tc>
      </w:tr>
      <w:tr w:rsidR="00A370D8">
        <w:trPr>
          <w:divId w:val="430669099"/>
          <w:jc w:val="center"/>
        </w:trPr>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54.</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rPr>
                <w:rFonts w:ascii="Times" w:hAnsi="Times" w:cs="Times"/>
                <w:sz w:val="25"/>
                <w:szCs w:val="25"/>
              </w:rPr>
            </w:pPr>
            <w:r>
              <w:rPr>
                <w:rFonts w:ascii="Times" w:hAnsi="Times" w:cs="Times"/>
                <w:sz w:val="25"/>
                <w:szCs w:val="25"/>
              </w:rPr>
              <w:t>Úrad pre reguláciu sieťových odvetví</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x</w:t>
            </w:r>
          </w:p>
        </w:tc>
      </w:tr>
      <w:tr w:rsidR="00A370D8">
        <w:trPr>
          <w:divId w:val="430669099"/>
          <w:jc w:val="center"/>
        </w:trPr>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55.</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rPr>
                <w:rFonts w:ascii="Times" w:hAnsi="Times" w:cs="Times"/>
                <w:sz w:val="25"/>
                <w:szCs w:val="25"/>
              </w:rPr>
            </w:pPr>
            <w:r>
              <w:rPr>
                <w:rFonts w:ascii="Times" w:hAnsi="Times" w:cs="Times"/>
                <w:sz w:val="25"/>
                <w:szCs w:val="25"/>
              </w:rPr>
              <w:t>Samosprávne kraje Slovenska</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x</w:t>
            </w:r>
          </w:p>
        </w:tc>
      </w:tr>
      <w:tr w:rsidR="00A370D8">
        <w:trPr>
          <w:divId w:val="430669099"/>
          <w:jc w:val="center"/>
        </w:trPr>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rPr>
                <w:rFonts w:ascii="Times" w:hAnsi="Times" w:cs="Times"/>
                <w:sz w:val="25"/>
                <w:szCs w:val="25"/>
              </w:rPr>
            </w:pPr>
            <w:r>
              <w:rPr>
                <w:rFonts w:ascii="Times" w:hAnsi="Times" w:cs="Times"/>
                <w:sz w:val="25"/>
                <w:szCs w:val="25"/>
              </w:rPr>
              <w:t>Spolu</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3 (1o,2z)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70D8" w:rsidRDefault="00A370D8">
            <w:pPr>
              <w:jc w:val="center"/>
              <w:rPr>
                <w:sz w:val="20"/>
                <w:szCs w:val="20"/>
              </w:rPr>
            </w:pPr>
          </w:p>
        </w:tc>
      </w:tr>
    </w:tbl>
    <w:p w:rsidR="00BF7CE0" w:rsidRPr="00BF7CE0" w:rsidRDefault="00BF7CE0" w:rsidP="00841FA6">
      <w:pPr>
        <w:rPr>
          <w:b/>
          <w:bCs/>
          <w:color w:val="000000"/>
          <w:sz w:val="20"/>
          <w:szCs w:val="20"/>
        </w:rPr>
      </w:pPr>
      <w:r w:rsidRPr="009F7218">
        <w:rPr>
          <w:rFonts w:ascii="Times New Roman" w:eastAsia="Times New Roman" w:hAnsi="Times New Roman" w:cs="Times New Roman"/>
          <w:bCs/>
          <w:color w:val="000000"/>
          <w:sz w:val="25"/>
          <w:szCs w:val="25"/>
          <w:lang w:eastAsia="sk-SK"/>
        </w:rPr>
        <w:t>Vyhodnotenie vecných pripomienok je uvedené v tabuľkovej časti.</w:t>
      </w:r>
    </w:p>
    <w:p w:rsidR="00BF7CE0" w:rsidRPr="00BF7CE0" w:rsidRDefault="00BF7CE0" w:rsidP="00BF7CE0">
      <w:pPr>
        <w:pStyle w:val="Zkladntext"/>
        <w:widowControl/>
        <w:jc w:val="both"/>
        <w:rPr>
          <w:b w:val="0"/>
          <w:bCs w:val="0"/>
          <w:color w:val="000000"/>
          <w:sz w:val="20"/>
          <w:szCs w:val="20"/>
        </w:rPr>
      </w:pPr>
    </w:p>
    <w:tbl>
      <w:tblPr>
        <w:tblW w:w="0" w:type="auto"/>
        <w:tblLook w:val="0000" w:firstRow="0" w:lastRow="0" w:firstColumn="0" w:lastColumn="0" w:noHBand="0" w:noVBand="0"/>
      </w:tblPr>
      <w:tblGrid>
        <w:gridCol w:w="1809"/>
        <w:gridCol w:w="3119"/>
      </w:tblGrid>
      <w:tr w:rsidR="00BF7CE0" w:rsidRPr="00BF7CE0" w:rsidTr="00943EB2">
        <w:trPr>
          <w:cantSplit/>
        </w:trPr>
        <w:tc>
          <w:tcPr>
            <w:tcW w:w="4928" w:type="dxa"/>
            <w:gridSpan w:val="2"/>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Vysvetlivky  k použitým skratkám v tabuľke:</w:t>
            </w:r>
          </w:p>
        </w:tc>
      </w:tr>
      <w:tr w:rsidR="00BF7CE0" w:rsidRPr="00BF7CE0"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O – obyčajná</w:t>
            </w: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A – akceptovaná</w:t>
            </w:r>
          </w:p>
        </w:tc>
      </w:tr>
      <w:tr w:rsidR="00BF7CE0" w:rsidRPr="00BF7CE0"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Z – zásadná</w:t>
            </w: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N – neakceptovaná</w:t>
            </w:r>
          </w:p>
        </w:tc>
      </w:tr>
      <w:tr w:rsidR="00BF7CE0" w:rsidRPr="00856FFA"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ČA – čiastočne akceptovaná</w:t>
            </w:r>
          </w:p>
        </w:tc>
      </w:tr>
    </w:tbl>
    <w:p w:rsidR="00E85710" w:rsidRDefault="00E85710">
      <w:r>
        <w:br w:type="page"/>
      </w:r>
    </w:p>
    <w:p w:rsidR="00A370D8" w:rsidRDefault="00A370D8" w:rsidP="00CE47A6">
      <w:pPr>
        <w:rPr>
          <w:rFonts w:ascii="Consolas" w:hAnsi="Consolas" w:cs="Consolas"/>
          <w:sz w:val="20"/>
          <w:szCs w:val="20"/>
        </w:rPr>
      </w:pPr>
    </w:p>
    <w:tbl>
      <w:tblPr>
        <w:tblW w:w="5000" w:type="pct"/>
        <w:jc w:val="center"/>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firstRow="1" w:lastRow="0" w:firstColumn="1" w:lastColumn="0" w:noHBand="0" w:noVBand="1"/>
      </w:tblPr>
      <w:tblGrid>
        <w:gridCol w:w="891"/>
        <w:gridCol w:w="4507"/>
        <w:gridCol w:w="446"/>
        <w:gridCol w:w="523"/>
        <w:gridCol w:w="2689"/>
      </w:tblGrid>
      <w:tr w:rsidR="00A370D8">
        <w:trPr>
          <w:divId w:val="168782892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70D8" w:rsidRDefault="00A370D8">
            <w:pPr>
              <w:jc w:val="center"/>
              <w:rPr>
                <w:rFonts w:ascii="Times" w:hAnsi="Times" w:cs="Times"/>
                <w:b/>
                <w:bCs/>
                <w:sz w:val="25"/>
                <w:szCs w:val="25"/>
              </w:rPr>
            </w:pPr>
            <w:r>
              <w:rPr>
                <w:rFonts w:ascii="Times" w:hAnsi="Times" w:cs="Times"/>
                <w:b/>
                <w:bCs/>
                <w:sz w:val="25"/>
                <w:szCs w:val="25"/>
              </w:rPr>
              <w:t>Subjekt</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70D8" w:rsidRDefault="00A370D8">
            <w:pPr>
              <w:jc w:val="center"/>
              <w:rPr>
                <w:rFonts w:ascii="Times" w:hAnsi="Times" w:cs="Times"/>
                <w:b/>
                <w:bCs/>
                <w:sz w:val="25"/>
                <w:szCs w:val="25"/>
              </w:rPr>
            </w:pPr>
            <w:r>
              <w:rPr>
                <w:rFonts w:ascii="Times" w:hAnsi="Times" w:cs="Times"/>
                <w:b/>
                <w:bCs/>
                <w:sz w:val="25"/>
                <w:szCs w:val="25"/>
              </w:rPr>
              <w:t>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70D8" w:rsidRDefault="00A370D8">
            <w:pPr>
              <w:jc w:val="center"/>
              <w:rPr>
                <w:rFonts w:ascii="Times" w:hAnsi="Times" w:cs="Times"/>
                <w:b/>
                <w:bCs/>
                <w:sz w:val="25"/>
                <w:szCs w:val="25"/>
              </w:rPr>
            </w:pPr>
            <w:r>
              <w:rPr>
                <w:rFonts w:ascii="Times" w:hAnsi="Times" w:cs="Times"/>
                <w:b/>
                <w:bCs/>
                <w:sz w:val="25"/>
                <w:szCs w:val="25"/>
              </w:rPr>
              <w:t>Typ</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70D8" w:rsidRDefault="00A370D8">
            <w:pPr>
              <w:jc w:val="center"/>
              <w:rPr>
                <w:rFonts w:ascii="Times" w:hAnsi="Times" w:cs="Times"/>
                <w:b/>
                <w:bCs/>
                <w:sz w:val="25"/>
                <w:szCs w:val="25"/>
              </w:rPr>
            </w:pPr>
            <w:r>
              <w:rPr>
                <w:rFonts w:ascii="Times" w:hAnsi="Times" w:cs="Times"/>
                <w:b/>
                <w:bCs/>
                <w:sz w:val="25"/>
                <w:szCs w:val="25"/>
              </w:rPr>
              <w:t>Vyh.</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70D8" w:rsidRDefault="00A370D8">
            <w:pPr>
              <w:jc w:val="center"/>
              <w:rPr>
                <w:rFonts w:ascii="Times" w:hAnsi="Times" w:cs="Times"/>
                <w:b/>
                <w:bCs/>
                <w:sz w:val="25"/>
                <w:szCs w:val="25"/>
              </w:rPr>
            </w:pPr>
            <w:r>
              <w:rPr>
                <w:rFonts w:ascii="Times" w:hAnsi="Times" w:cs="Times"/>
                <w:b/>
                <w:bCs/>
                <w:sz w:val="25"/>
                <w:szCs w:val="25"/>
              </w:rPr>
              <w:t>Spôsob vyhodnotenia</w:t>
            </w:r>
          </w:p>
        </w:tc>
      </w:tr>
      <w:tr w:rsidR="00A370D8">
        <w:trPr>
          <w:divId w:val="168782892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70D8" w:rsidRDefault="00A370D8">
            <w:pPr>
              <w:jc w:val="center"/>
              <w:rPr>
                <w:rFonts w:ascii="Times" w:hAnsi="Times" w:cs="Times"/>
                <w:b/>
                <w:bCs/>
                <w:sz w:val="25"/>
                <w:szCs w:val="25"/>
              </w:rPr>
            </w:pPr>
            <w:r>
              <w:rPr>
                <w:rFonts w:ascii="Times" w:hAnsi="Times" w:cs="Times"/>
                <w:b/>
                <w:bCs/>
                <w:sz w:val="25"/>
                <w:szCs w:val="25"/>
              </w:rPr>
              <w:t>KOZSR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70D8" w:rsidRDefault="00A370D8">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Navrhovanou zmenou sa podľa nášho názoru umožní štátnym príslušníkom tretích krajín pracovať pred samotným udelením povolenia na pobyt, čo je z nášho pohľadu neprijateľné nielen pre nás ako zástupcov zamestnancov, ale aj z pohľadu regulácie vstupu občanov iných/tretích krajín na územie SR. Podľa nášho názoru nie je žiadúce, aby v rámci trvania konania v zmysle ust. § 24 ods. 1 písm. g) alebo h) zákona štátny príslušník tretej krajiny bol prideľovaný k inému užívateľskému zamestnávateľovi. Takáto zmena by priniesla zhoršenie postavenia slovenských zamestnancov, vzhľadom na zvýšené riziko mzdového a sociálneho dumpingu. Zároveň navrhovaná zmena znemožní kontrolu zo strany zástupcov zamestnancov pri plnení záväzkov vyplývajúcich z pracovno-právnej legislatívy a platných kolektívnych zmlúv, ako aj nekontrolovaný pohyb príslušníkov iných/tretích krajín na pracovnom trhu. V danej súvislosti taktiež poukazujeme na fakt, že stanovené kvóty národných víz sú zo strany zamestnávateľov čerpané v rádovo nižších počtoch ako je deklarovaný počet neobsadených pracovných pozícií. Aj z tohto dôvodu sa domnievame, že navrhovaná novela neprispeje k zásadnej zmene trhu práce, s výnimkou zhoršenia pracovných a mzdových podmienok zamestnancov – občanov SR. Na základe uvedených skutočností s navrhovanou zmenou zásadne nesúhlasíme, a teda pripomienku uplatňujeme ako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70D8" w:rsidRDefault="00A370D8">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70D8" w:rsidRDefault="00A370D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70D8" w:rsidRDefault="00A370D8">
            <w:pPr>
              <w:rPr>
                <w:rFonts w:ascii="Times" w:hAnsi="Times" w:cs="Times"/>
                <w:sz w:val="25"/>
                <w:szCs w:val="25"/>
              </w:rPr>
            </w:pPr>
            <w:r>
              <w:rPr>
                <w:rFonts w:ascii="Times" w:hAnsi="Times" w:cs="Times"/>
                <w:sz w:val="25"/>
                <w:szCs w:val="25"/>
              </w:rPr>
              <w:t>Ministerstvo práce uvedenú pripomienku neakceptuje. Ako uvádza vyššie a ako vyplýva aj z dôvodovej správy k poslaneckému návrhu zákona predložený návrh predstavuje návrat k právnej úprave účinnej do 14. júla 2024. Ministerstvo práce počas platnosti tejto právnej úpravy účinnej do 14. júla 2024 nezaznamenalo naplnenie obáv uvedených v pripomienke.</w:t>
            </w:r>
          </w:p>
        </w:tc>
      </w:tr>
      <w:tr w:rsidR="00A370D8">
        <w:trPr>
          <w:divId w:val="168782892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70D8" w:rsidRDefault="00A370D8">
            <w:pPr>
              <w:jc w:val="center"/>
              <w:rPr>
                <w:rFonts w:ascii="Times" w:hAnsi="Times" w:cs="Times"/>
                <w:b/>
                <w:bCs/>
                <w:sz w:val="25"/>
                <w:szCs w:val="25"/>
              </w:rPr>
            </w:pPr>
            <w:r>
              <w:rPr>
                <w:rFonts w:ascii="Times" w:hAnsi="Times" w:cs="Times"/>
                <w:b/>
                <w:bCs/>
                <w:sz w:val="25"/>
                <w:szCs w:val="25"/>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70D8" w:rsidRDefault="00A370D8">
            <w:pPr>
              <w:rPr>
                <w:rFonts w:ascii="Times" w:hAnsi="Times" w:cs="Times"/>
                <w:sz w:val="25"/>
                <w:szCs w:val="25"/>
              </w:rPr>
            </w:pPr>
            <w:r>
              <w:rPr>
                <w:rFonts w:ascii="Times" w:hAnsi="Times" w:cs="Times"/>
                <w:b/>
                <w:bCs/>
                <w:sz w:val="25"/>
                <w:szCs w:val="25"/>
              </w:rPr>
              <w:t>účinnosti</w:t>
            </w:r>
            <w:r>
              <w:rPr>
                <w:rFonts w:ascii="Times" w:hAnsi="Times" w:cs="Times"/>
                <w:sz w:val="25"/>
                <w:szCs w:val="25"/>
              </w:rPr>
              <w:br/>
              <w:t>Upozorňujeme, že podľa § 19 ods. 6 zákona č. 400/2015 Z. z. o tvorbe právnych predpisov a o Zbierke zákonov Slovenskej republiky a o zmene a doplnení niektorých zákonov, "právny predpis, ktorý má podľa doložky vybraných vplyvov alebo analýzy vplyvov, vplyv na podnikateľské prostredie, môže nadobudnúť účinnosť len od 1. januára alebo 1. júla príslušného kalendárneho roka.".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70D8" w:rsidRDefault="00A370D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70D8" w:rsidRDefault="00A370D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70D8" w:rsidRDefault="00A370D8">
            <w:pPr>
              <w:rPr>
                <w:rFonts w:ascii="Times" w:hAnsi="Times" w:cs="Times"/>
                <w:sz w:val="25"/>
                <w:szCs w:val="25"/>
              </w:rPr>
            </w:pPr>
            <w:r>
              <w:rPr>
                <w:rFonts w:ascii="Times" w:hAnsi="Times" w:cs="Times"/>
                <w:sz w:val="25"/>
                <w:szCs w:val="25"/>
              </w:rPr>
              <w:t xml:space="preserve">Ministerstvo práce berie na vedomie túto pripomienku, zároveň však konštatuje, že návrh zákona nie je možné v rámci rokovania v Národnej rade Slovenskej republiky meniť alebo upravovať. </w:t>
            </w:r>
          </w:p>
        </w:tc>
      </w:tr>
      <w:tr w:rsidR="00A370D8">
        <w:trPr>
          <w:divId w:val="168782892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70D8" w:rsidRDefault="00A370D8">
            <w:pPr>
              <w:jc w:val="center"/>
              <w:rPr>
                <w:rFonts w:ascii="Times" w:hAnsi="Times" w:cs="Times"/>
                <w:b/>
                <w:bCs/>
                <w:sz w:val="25"/>
                <w:szCs w:val="25"/>
              </w:rPr>
            </w:pPr>
            <w:r>
              <w:rPr>
                <w:rFonts w:ascii="Times" w:hAnsi="Times" w:cs="Times"/>
                <w:b/>
                <w:bCs/>
                <w:sz w:val="25"/>
                <w:szCs w:val="25"/>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70D8" w:rsidRDefault="00A370D8">
            <w:pPr>
              <w:rPr>
                <w:rFonts w:ascii="Times" w:hAnsi="Times" w:cs="Times"/>
                <w:sz w:val="25"/>
                <w:szCs w:val="25"/>
              </w:rPr>
            </w:pPr>
            <w:r>
              <w:rPr>
                <w:rFonts w:ascii="Times" w:hAnsi="Times" w:cs="Times"/>
                <w:b/>
                <w:bCs/>
                <w:sz w:val="25"/>
                <w:szCs w:val="25"/>
              </w:rPr>
              <w:t>Doložke vybraných vplyvov</w:t>
            </w:r>
            <w:r>
              <w:rPr>
                <w:rFonts w:ascii="Times" w:hAnsi="Times" w:cs="Times"/>
                <w:sz w:val="25"/>
                <w:szCs w:val="25"/>
              </w:rPr>
              <w:br/>
              <w:t>V Doložke vybraných vplyvov: - v časti A.2. Vplyvy - vplyvy na podnikateľské prostredie žiadame neuvádzať vplyvy „žiadne“. Odôvodnenie: Ak sú vyznačené vplyvy pozitívne a/alebo negatívne, súčasne s tým nemôžu byť vyznačené aj žiadne vplyvy. - v časti A.3. Poznámky žiadame popísať aj negatívny vplyv na podnikateľské prostredie. Zároveň žiadame o zosúladenie informácii v Doložke vybraných vplyvov a v Dôvodovej správe ohľadom vplyvov na podnikateľské prostredie. Odôvodnenie: Negatívny vplyv môže spočívať v administratívnej záťaži, ktorý zákon prinesie. V Doložke vybraných vplyvov a v Dôvodovej správe v časti, ktorá popisuje vplyvy sú uvedené rozdielne informácie, čím vzniká nesúlad.</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70D8" w:rsidRDefault="00A370D8">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70D8" w:rsidRDefault="00A370D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70D8" w:rsidRDefault="00A370D8">
            <w:pPr>
              <w:rPr>
                <w:rFonts w:ascii="Times" w:hAnsi="Times" w:cs="Times"/>
                <w:sz w:val="25"/>
                <w:szCs w:val="25"/>
              </w:rPr>
            </w:pPr>
            <w:r>
              <w:rPr>
                <w:rFonts w:ascii="Times" w:hAnsi="Times" w:cs="Times"/>
                <w:sz w:val="25"/>
                <w:szCs w:val="25"/>
              </w:rPr>
              <w:t xml:space="preserve">Ministerstvo práce berie na vedomie, že doložka vybraných vplyvov vykazuje určité nezrovnalosti, zároveň však konštatuje, že sprievodné dokumenty návrhu zákona nie je možné v rámci rokovania v Národnej rade Slovenskej republiky meniť alebo upravovať. </w:t>
            </w:r>
          </w:p>
        </w:tc>
      </w:tr>
    </w:tbl>
    <w:p w:rsidR="00154A91" w:rsidRPr="00154A91" w:rsidRDefault="00154A91" w:rsidP="00CE47A6"/>
    <w:p w:rsidR="00154A91" w:rsidRPr="00024402" w:rsidRDefault="00154A91" w:rsidP="00CE47A6"/>
    <w:sectPr w:rsidR="00154A91" w:rsidRPr="00024402" w:rsidSect="004075B2">
      <w:pgSz w:w="15840" w:h="12240" w:orient="landscape"/>
      <w:pgMar w:top="1417" w:right="1417" w:bottom="141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767E" w:rsidRDefault="00B8767E" w:rsidP="000A67D5">
      <w:pPr>
        <w:spacing w:after="0" w:line="240" w:lineRule="auto"/>
      </w:pPr>
      <w:r>
        <w:separator/>
      </w:r>
    </w:p>
  </w:endnote>
  <w:endnote w:type="continuationSeparator" w:id="0">
    <w:p w:rsidR="00B8767E" w:rsidRDefault="00B8767E" w:rsidP="000A6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EE"/>
    <w:family w:val="roman"/>
    <w:pitch w:val="variable"/>
    <w:sig w:usb0="E0002EFF" w:usb1="C0007843" w:usb2="00000009" w:usb3="00000000" w:csb0="000001FF"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767E" w:rsidRDefault="00B8767E" w:rsidP="000A67D5">
      <w:pPr>
        <w:spacing w:after="0" w:line="240" w:lineRule="auto"/>
      </w:pPr>
      <w:r>
        <w:separator/>
      </w:r>
    </w:p>
  </w:footnote>
  <w:footnote w:type="continuationSeparator" w:id="0">
    <w:p w:rsidR="00B8767E" w:rsidRDefault="00B8767E" w:rsidP="000A67D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20"/>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2"/>
  </w:compat>
  <w:rsids>
    <w:rsidRoot w:val="008E2844"/>
    <w:rsid w:val="000032C8"/>
    <w:rsid w:val="00024402"/>
    <w:rsid w:val="000324A3"/>
    <w:rsid w:val="0006543E"/>
    <w:rsid w:val="000A67D5"/>
    <w:rsid w:val="000E25CA"/>
    <w:rsid w:val="000F7A42"/>
    <w:rsid w:val="00146547"/>
    <w:rsid w:val="00146B48"/>
    <w:rsid w:val="00150388"/>
    <w:rsid w:val="00154A91"/>
    <w:rsid w:val="002109B0"/>
    <w:rsid w:val="0021228E"/>
    <w:rsid w:val="00230F3C"/>
    <w:rsid w:val="002654AA"/>
    <w:rsid w:val="002827B4"/>
    <w:rsid w:val="002A5577"/>
    <w:rsid w:val="002D7471"/>
    <w:rsid w:val="00310A55"/>
    <w:rsid w:val="00322014"/>
    <w:rsid w:val="0039526D"/>
    <w:rsid w:val="003B435B"/>
    <w:rsid w:val="003D101C"/>
    <w:rsid w:val="003D5E45"/>
    <w:rsid w:val="003E4226"/>
    <w:rsid w:val="004075B2"/>
    <w:rsid w:val="00436C44"/>
    <w:rsid w:val="00474A9D"/>
    <w:rsid w:val="00532574"/>
    <w:rsid w:val="0059081C"/>
    <w:rsid w:val="005E7C53"/>
    <w:rsid w:val="00642FB8"/>
    <w:rsid w:val="006A3681"/>
    <w:rsid w:val="007156F5"/>
    <w:rsid w:val="007A1010"/>
    <w:rsid w:val="007B7F1A"/>
    <w:rsid w:val="007D7AE6"/>
    <w:rsid w:val="007E4294"/>
    <w:rsid w:val="00841FA6"/>
    <w:rsid w:val="008A1964"/>
    <w:rsid w:val="008E2844"/>
    <w:rsid w:val="0090100E"/>
    <w:rsid w:val="009239D9"/>
    <w:rsid w:val="00927118"/>
    <w:rsid w:val="00943EB2"/>
    <w:rsid w:val="0099665B"/>
    <w:rsid w:val="009C6C5C"/>
    <w:rsid w:val="009F7218"/>
    <w:rsid w:val="00A251BF"/>
    <w:rsid w:val="00A370D8"/>
    <w:rsid w:val="00A54A16"/>
    <w:rsid w:val="00B721A5"/>
    <w:rsid w:val="00B76589"/>
    <w:rsid w:val="00B8767E"/>
    <w:rsid w:val="00BD1FAB"/>
    <w:rsid w:val="00BE7302"/>
    <w:rsid w:val="00BF7CE0"/>
    <w:rsid w:val="00CA44D2"/>
    <w:rsid w:val="00CE47A6"/>
    <w:rsid w:val="00CF3D59"/>
    <w:rsid w:val="00D261C9"/>
    <w:rsid w:val="00D85172"/>
    <w:rsid w:val="00D969AC"/>
    <w:rsid w:val="00DF7085"/>
    <w:rsid w:val="00E85710"/>
    <w:rsid w:val="00EB772A"/>
    <w:rsid w:val="00EF1425"/>
    <w:rsid w:val="00F26A4A"/>
    <w:rsid w:val="00F727F0"/>
    <w:rsid w:val="00F856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532574"/>
    <w:rPr>
      <w:lang w:val="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Zstupntext">
    <w:name w:val="Placeholder Text"/>
    <w:basedOn w:val="Predvolenpsmoodseku"/>
    <w:uiPriority w:val="99"/>
    <w:semiHidden/>
    <w:rsid w:val="003D5E45"/>
    <w:rPr>
      <w:color w:val="808080"/>
    </w:rPr>
  </w:style>
  <w:style w:type="paragraph" w:styleId="Textbubliny">
    <w:name w:val="Balloon Text"/>
    <w:basedOn w:val="Normlny"/>
    <w:link w:val="TextbublinyChar"/>
    <w:uiPriority w:val="99"/>
    <w:semiHidden/>
    <w:unhideWhenUsed/>
    <w:rsid w:val="003D5E45"/>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3D5E45"/>
    <w:rPr>
      <w:rFonts w:ascii="Tahoma" w:hAnsi="Tahoma" w:cs="Tahoma"/>
      <w:sz w:val="16"/>
      <w:szCs w:val="16"/>
    </w:rPr>
  </w:style>
  <w:style w:type="paragraph" w:styleId="Hlavika">
    <w:name w:val="header"/>
    <w:basedOn w:val="Normlny"/>
    <w:link w:val="HlavikaChar"/>
    <w:uiPriority w:val="99"/>
    <w:unhideWhenUsed/>
    <w:rsid w:val="000A67D5"/>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A67D5"/>
  </w:style>
  <w:style w:type="paragraph" w:styleId="Pta">
    <w:name w:val="footer"/>
    <w:basedOn w:val="Normlny"/>
    <w:link w:val="PtaChar"/>
    <w:uiPriority w:val="99"/>
    <w:unhideWhenUsed/>
    <w:rsid w:val="000A67D5"/>
    <w:pPr>
      <w:tabs>
        <w:tab w:val="center" w:pos="4536"/>
        <w:tab w:val="right" w:pos="9072"/>
      </w:tabs>
      <w:spacing w:after="0" w:line="240" w:lineRule="auto"/>
    </w:pPr>
  </w:style>
  <w:style w:type="character" w:customStyle="1" w:styleId="PtaChar">
    <w:name w:val="Päta Char"/>
    <w:basedOn w:val="Predvolenpsmoodseku"/>
    <w:link w:val="Pta"/>
    <w:uiPriority w:val="99"/>
    <w:rsid w:val="000A67D5"/>
  </w:style>
  <w:style w:type="character" w:styleId="Odkaznakomentr">
    <w:name w:val="annotation reference"/>
    <w:basedOn w:val="Predvolenpsmoodseku"/>
    <w:uiPriority w:val="99"/>
    <w:semiHidden/>
    <w:unhideWhenUsed/>
    <w:rsid w:val="00927118"/>
    <w:rPr>
      <w:sz w:val="16"/>
      <w:szCs w:val="16"/>
    </w:rPr>
  </w:style>
  <w:style w:type="paragraph" w:styleId="Textkomentra">
    <w:name w:val="annotation text"/>
    <w:basedOn w:val="Normlny"/>
    <w:link w:val="TextkomentraChar"/>
    <w:uiPriority w:val="99"/>
    <w:semiHidden/>
    <w:unhideWhenUsed/>
    <w:rsid w:val="00927118"/>
    <w:pPr>
      <w:widowControl w:val="0"/>
      <w:adjustRightInd w:val="0"/>
      <w:spacing w:line="240" w:lineRule="auto"/>
    </w:pPr>
    <w:rPr>
      <w:rFonts w:ascii="Calibri" w:eastAsia="Times New Roman" w:hAnsi="Calibri" w:cs="Times New Roman"/>
      <w:sz w:val="20"/>
      <w:szCs w:val="20"/>
    </w:rPr>
  </w:style>
  <w:style w:type="character" w:customStyle="1" w:styleId="TextkomentraChar">
    <w:name w:val="Text komentára Char"/>
    <w:basedOn w:val="Predvolenpsmoodseku"/>
    <w:link w:val="Textkomentra"/>
    <w:uiPriority w:val="99"/>
    <w:semiHidden/>
    <w:rsid w:val="00927118"/>
    <w:rPr>
      <w:rFonts w:ascii="Calibri" w:eastAsia="Times New Roman" w:hAnsi="Calibri" w:cs="Times New Roman"/>
      <w:sz w:val="20"/>
      <w:szCs w:val="20"/>
    </w:rPr>
  </w:style>
  <w:style w:type="paragraph" w:styleId="Zkladntext">
    <w:name w:val="Body Text"/>
    <w:basedOn w:val="Normlny"/>
    <w:link w:val="ZkladntextChar"/>
    <w:uiPriority w:val="99"/>
    <w:semiHidden/>
    <w:rsid w:val="00BF7CE0"/>
    <w:pPr>
      <w:widowControl w:val="0"/>
      <w:adjustRightInd w:val="0"/>
      <w:spacing w:after="0" w:line="240" w:lineRule="auto"/>
      <w:jc w:val="center"/>
    </w:pPr>
    <w:rPr>
      <w:rFonts w:ascii="Times New Roman" w:eastAsia="Times New Roman" w:hAnsi="Times New Roman" w:cs="Times New Roman"/>
      <w:b/>
      <w:bCs/>
      <w:sz w:val="28"/>
      <w:szCs w:val="28"/>
      <w:lang w:eastAsia="sk-SK"/>
    </w:rPr>
  </w:style>
  <w:style w:type="character" w:customStyle="1" w:styleId="ZkladntextChar">
    <w:name w:val="Základný text Char"/>
    <w:basedOn w:val="Predvolenpsmoodseku"/>
    <w:link w:val="Zkladntext"/>
    <w:uiPriority w:val="99"/>
    <w:semiHidden/>
    <w:rsid w:val="00BF7CE0"/>
    <w:rPr>
      <w:rFonts w:ascii="Times New Roman" w:eastAsia="Times New Roman" w:hAnsi="Times New Roman" w:cs="Times New Roman"/>
      <w:b/>
      <w:bCs/>
      <w:sz w:val="28"/>
      <w:szCs w:val="28"/>
      <w:lang w:val="sk-SK"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120428">
      <w:bodyDiv w:val="1"/>
      <w:marLeft w:val="0"/>
      <w:marRight w:val="0"/>
      <w:marTop w:val="0"/>
      <w:marBottom w:val="0"/>
      <w:divBdr>
        <w:top w:val="none" w:sz="0" w:space="0" w:color="auto"/>
        <w:left w:val="none" w:sz="0" w:space="0" w:color="auto"/>
        <w:bottom w:val="none" w:sz="0" w:space="0" w:color="auto"/>
        <w:right w:val="none" w:sz="0" w:space="0" w:color="auto"/>
      </w:divBdr>
    </w:div>
    <w:div w:id="430669099">
      <w:bodyDiv w:val="1"/>
      <w:marLeft w:val="0"/>
      <w:marRight w:val="0"/>
      <w:marTop w:val="0"/>
      <w:marBottom w:val="0"/>
      <w:divBdr>
        <w:top w:val="none" w:sz="0" w:space="0" w:color="auto"/>
        <w:left w:val="none" w:sz="0" w:space="0" w:color="auto"/>
        <w:bottom w:val="none" w:sz="0" w:space="0" w:color="auto"/>
        <w:right w:val="none" w:sz="0" w:space="0" w:color="auto"/>
      </w:divBdr>
    </w:div>
    <w:div w:id="608510634">
      <w:bodyDiv w:val="1"/>
      <w:marLeft w:val="0"/>
      <w:marRight w:val="0"/>
      <w:marTop w:val="0"/>
      <w:marBottom w:val="0"/>
      <w:divBdr>
        <w:top w:val="none" w:sz="0" w:space="0" w:color="auto"/>
        <w:left w:val="none" w:sz="0" w:space="0" w:color="auto"/>
        <w:bottom w:val="none" w:sz="0" w:space="0" w:color="auto"/>
        <w:right w:val="none" w:sz="0" w:space="0" w:color="auto"/>
      </w:divBdr>
    </w:div>
    <w:div w:id="685865574">
      <w:bodyDiv w:val="1"/>
      <w:marLeft w:val="0"/>
      <w:marRight w:val="0"/>
      <w:marTop w:val="0"/>
      <w:marBottom w:val="0"/>
      <w:divBdr>
        <w:top w:val="none" w:sz="0" w:space="0" w:color="auto"/>
        <w:left w:val="none" w:sz="0" w:space="0" w:color="auto"/>
        <w:bottom w:val="none" w:sz="0" w:space="0" w:color="auto"/>
        <w:right w:val="none" w:sz="0" w:space="0" w:color="auto"/>
      </w:divBdr>
    </w:div>
    <w:div w:id="890464541">
      <w:bodyDiv w:val="1"/>
      <w:marLeft w:val="0"/>
      <w:marRight w:val="0"/>
      <w:marTop w:val="0"/>
      <w:marBottom w:val="0"/>
      <w:divBdr>
        <w:top w:val="none" w:sz="0" w:space="0" w:color="auto"/>
        <w:left w:val="none" w:sz="0" w:space="0" w:color="auto"/>
        <w:bottom w:val="none" w:sz="0" w:space="0" w:color="auto"/>
        <w:right w:val="none" w:sz="0" w:space="0" w:color="auto"/>
      </w:divBdr>
    </w:div>
    <w:div w:id="1088767717">
      <w:bodyDiv w:val="1"/>
      <w:marLeft w:val="0"/>
      <w:marRight w:val="0"/>
      <w:marTop w:val="0"/>
      <w:marBottom w:val="0"/>
      <w:divBdr>
        <w:top w:val="none" w:sz="0" w:space="0" w:color="auto"/>
        <w:left w:val="none" w:sz="0" w:space="0" w:color="auto"/>
        <w:bottom w:val="none" w:sz="0" w:space="0" w:color="auto"/>
        <w:right w:val="none" w:sz="0" w:space="0" w:color="auto"/>
      </w:divBdr>
    </w:div>
    <w:div w:id="1337729871">
      <w:bodyDiv w:val="1"/>
      <w:marLeft w:val="0"/>
      <w:marRight w:val="0"/>
      <w:marTop w:val="0"/>
      <w:marBottom w:val="0"/>
      <w:divBdr>
        <w:top w:val="none" w:sz="0" w:space="0" w:color="auto"/>
        <w:left w:val="none" w:sz="0" w:space="0" w:color="auto"/>
        <w:bottom w:val="none" w:sz="0" w:space="0" w:color="auto"/>
        <w:right w:val="none" w:sz="0" w:space="0" w:color="auto"/>
      </w:divBdr>
    </w:div>
    <w:div w:id="1687828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ref="">
    <f:field ref="objname" par="" edit="true" text="Vyhodnotenie medzirezortného pripomienkového konania"/>
    <f:field ref="objsubject" par="" edit="true" text="Vyhodnotenie medzirezortného pripomienkového konania"/>
    <f:field ref="objcreatedby" par="" text="Administrator, System"/>
    <f:field ref="objcreatedat" par="" text="18.10.2024 10:54:32"/>
    <f:field ref="objchangedby" par="" text="Administrator, System"/>
    <f:field ref="objmodifiedat" par="" text="18.10.2024 10:54:37"/>
    <f:field ref="doc_FSCFOLIO_1_1001_FieldDocumentNumber" par="" text=""/>
    <f:field ref="doc_FSCFOLIO_1_1001_FieldSubject" par="" edit="true" text="Vyhodnotenie medzirezortného pripomienkového konania"/>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1258</Words>
  <Characters>7173</Characters>
  <Application>Microsoft Office Word</Application>
  <DocSecurity>4</DocSecurity>
  <Lines>59</Lines>
  <Paragraphs>16</Paragraphs>
  <ScaleCrop>false</ScaleCrop>
  <Company/>
  <LinksUpToDate>false</LinksUpToDate>
  <CharactersWithSpaces>8415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2024-10-18T08:54:00Z</dcterms:created>
  <dcterms:modified xsi:type="dcterms:W3CDTF">2024-10-18T08:54:00Z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
  </property>
  <property name="FSC#SKEDITIONSLOVLEX@103.510:typpredpis" pid="3" fmtid="{D5CDD505-2E9C-101B-9397-08002B2CF9AE}">
    <vt:lpwstr>Poslanecký návrh - zákon</vt:lpwstr>
  </property>
  <property name="FSC#SKEDITIONSLOVLEX@103.510:cisloparlamenttlac" pid="4" fmtid="{D5CDD505-2E9C-101B-9397-08002B2CF9AE}">
    <vt:lpwstr/>
  </property>
  <property name="FSC#SKEDITIONSLOVLEX@103.510:stavpredpis" pid="5" fmtid="{D5CDD505-2E9C-101B-9397-08002B2CF9AE}">
    <vt:lpwstr>Rokovanie poradných orgánov vlády SR</vt:lpwstr>
  </property>
  <property name="FSC#SKEDITIONSLOVLEX@103.510:povodpredpis" pid="6" fmtid="{D5CDD505-2E9C-101B-9397-08002B2CF9AE}">
    <vt:lpwstr>Slovlex (eLeg)</vt:lpwstr>
  </property>
  <property name="FSC#SKEDITIONSLOVLEX@103.510:legoblast" pid="7" fmtid="{D5CDD505-2E9C-101B-9397-08002B2CF9AE}">
    <vt:lpwstr>Pracovné právo</vt:lpwstr>
  </property>
  <property name="FSC#SKEDITIONSLOVLEX@103.510:uzemplat" pid="8" fmtid="{D5CDD505-2E9C-101B-9397-08002B2CF9AE}">
    <vt:lpwstr/>
  </property>
  <property name="FSC#SKEDITIONSLOVLEX@103.510:vztahypredpis" pid="9" fmtid="{D5CDD505-2E9C-101B-9397-08002B2CF9AE}">
    <vt:lpwstr/>
  </property>
  <property name="FSC#SKEDITIONSLOVLEX@103.510:predkladatel" pid="10" fmtid="{D5CDD505-2E9C-101B-9397-08002B2CF9AE}">
    <vt:lpwstr>Miriama Braunova</vt:lpwstr>
  </property>
  <property name="FSC#SKEDITIONSLOVLEX@103.510:zodppredkladatel" pid="11" fmtid="{D5CDD505-2E9C-101B-9397-08002B2CF9AE}">
    <vt:lpwstr>Mgr. Erik Tomáš</vt:lpwstr>
  </property>
  <property name="FSC#SKEDITIONSLOVLEX@103.510:dalsipredkladatel" pid="12" fmtid="{D5CDD505-2E9C-101B-9397-08002B2CF9AE}">
    <vt:lpwstr/>
  </property>
  <property name="FSC#SKEDITIONSLOVLEX@103.510:nazovpredpis" pid="13" fmtid="{D5CDD505-2E9C-101B-9397-08002B2CF9AE}">
    <vt:lpwstr> Návrh poslankyne Národnej rady Slovenskej republiky Aleny Novákovej na vydanie zákona, ktorým sa dopĺňa zákon č. 5/2004 Z. z. o službách zamestnanosti a o zmene a doplnení niektorých zákonov v znení neskorších predpisov (tlač 416)</vt:lpwstr>
  </property>
  <property name="FSC#SKEDITIONSLOVLEX@103.510:nazovpredpis1" pid="14" fmtid="{D5CDD505-2E9C-101B-9397-08002B2CF9AE}">
    <vt:lpwstr/>
  </property>
  <property name="FSC#SKEDITIONSLOVLEX@103.510:nazovpredpis2" pid="15" fmtid="{D5CDD505-2E9C-101B-9397-08002B2CF9AE}">
    <vt:lpwstr/>
  </property>
  <property name="FSC#SKEDITIONSLOVLEX@103.510:nazovpredpis3" pid="16" fmtid="{D5CDD505-2E9C-101B-9397-08002B2CF9AE}">
    <vt:lpwstr/>
  </property>
  <property name="FSC#SKEDITIONSLOVLEX@103.510:cislopredpis" pid="17" fmtid="{D5CDD505-2E9C-101B-9397-08002B2CF9AE}">
    <vt:lpwstr/>
  </property>
  <property name="FSC#SKEDITIONSLOVLEX@103.510:zodpinstitucia" pid="18" fmtid="{D5CDD505-2E9C-101B-9397-08002B2CF9AE}">
    <vt:lpwstr>Ministerstvo práce, sociálnych vecí a rodiny Slovenskej republiky</vt:lpwstr>
  </property>
  <property name="FSC#SKEDITIONSLOVLEX@103.510:pripomienkovatelia" pid="19" fmtid="{D5CDD505-2E9C-101B-9397-08002B2CF9AE}">
    <vt:lpwstr/>
  </property>
  <property name="FSC#SKEDITIONSLOVLEX@103.510:autorpredpis" pid="20" fmtid="{D5CDD505-2E9C-101B-9397-08002B2CF9AE}">
    <vt:lpwstr/>
  </property>
  <property name="FSC#SKEDITIONSLOVLEX@103.510:podnetpredpis" pid="21" fmtid="{D5CDD505-2E9C-101B-9397-08002B2CF9AE}">
    <vt:lpwstr>Na základe § 70 ods. 2 zákona Národnej rady Slovenskej republiky č. 350/1996 Z. z. o rokovacom poriadku Národnej rady Slovenskej republiky v znení neskorších predpisov</vt:lpwstr>
  </property>
  <property name="FSC#SKEDITIONSLOVLEX@103.510:plnynazovpredpis" pid="22" fmtid="{D5CDD505-2E9C-101B-9397-08002B2CF9AE}">
    <vt:lpwstr> Návrh poslankyne Národnej rady Slovenskej republiky Aleny Novákovej na vydanie zákona, ktorým sa dopĺňa zákon č. 5/2004 Z. z. o službách zamestnanosti a o zmene a doplnení niektorých zákonov v znení neskorších predpisov (tlač 416)</vt:lpwstr>
  </property>
  <property name="FSC#SKEDITIONSLOVLEX@103.510:plnynazovpredpis1" pid="23" fmtid="{D5CDD505-2E9C-101B-9397-08002B2CF9AE}">
    <vt:lpwstr/>
  </property>
  <property name="FSC#SKEDITIONSLOVLEX@103.510:plnynazovpredpis2" pid="24" fmtid="{D5CDD505-2E9C-101B-9397-08002B2CF9AE}">
    <vt:lpwstr/>
  </property>
  <property name="FSC#SKEDITIONSLOVLEX@103.510:plnynazovpredpis3" pid="25" fmtid="{D5CDD505-2E9C-101B-9397-08002B2CF9AE}">
    <vt:lpwstr/>
  </property>
  <property name="FSC#SKEDITIONSLOVLEX@103.510:rezortcislopredpis" pid="26" fmtid="{D5CDD505-2E9C-101B-9397-08002B2CF9AE}">
    <vt:lpwstr>26538/2024-M_x005f_OdVPA</vt:lpwstr>
  </property>
  <property name="FSC#SKEDITIONSLOVLEX@103.510:citaciapredpis" pid="27" fmtid="{D5CDD505-2E9C-101B-9397-08002B2CF9AE}">
    <vt:lpwstr/>
  </property>
  <property name="FSC#SKEDITIONSLOVLEX@103.510:spiscislouv" pid="28" fmtid="{D5CDD505-2E9C-101B-9397-08002B2CF9AE}">
    <vt:lpwstr/>
  </property>
  <property name="FSC#SKEDITIONSLOVLEX@103.510:datumschvalpredpis" pid="29" fmtid="{D5CDD505-2E9C-101B-9397-08002B2CF9AE}">
    <vt:lpwstr/>
  </property>
  <property name="FSC#SKEDITIONSLOVLEX@103.510:platneod" pid="30" fmtid="{D5CDD505-2E9C-101B-9397-08002B2CF9AE}">
    <vt:lpwstr/>
  </property>
  <property name="FSC#SKEDITIONSLOVLEX@103.510:platnedo" pid="31" fmtid="{D5CDD505-2E9C-101B-9397-08002B2CF9AE}">
    <vt:lpwstr/>
  </property>
  <property name="FSC#SKEDITIONSLOVLEX@103.510:ucinnostod" pid="32" fmtid="{D5CDD505-2E9C-101B-9397-08002B2CF9AE}">
    <vt:lpwstr/>
  </property>
  <property name="FSC#SKEDITIONSLOVLEX@103.510:ucinnostdo" pid="33" fmtid="{D5CDD505-2E9C-101B-9397-08002B2CF9AE}">
    <vt:lpwstr/>
  </property>
  <property name="FSC#SKEDITIONSLOVLEX@103.510:datumplatnosti" pid="34" fmtid="{D5CDD505-2E9C-101B-9397-08002B2CF9AE}">
    <vt:lpwstr/>
  </property>
  <property name="FSC#SKEDITIONSLOVLEX@103.510:cislolp" pid="35" fmtid="{D5CDD505-2E9C-101B-9397-08002B2CF9AE}">
    <vt:lpwstr>LP/2024/514</vt:lpwstr>
  </property>
  <property name="FSC#SKEDITIONSLOVLEX@103.510:typsprievdok" pid="36" fmtid="{D5CDD505-2E9C-101B-9397-08002B2CF9AE}">
    <vt:lpwstr>Vyhodnotenie medzirezortného pripomienkového konania</vt:lpwstr>
  </property>
  <property name="FSC#SKEDITIONSLOVLEX@103.510:cislopartlac" pid="37" fmtid="{D5CDD505-2E9C-101B-9397-08002B2CF9AE}">
    <vt:lpwstr/>
  </property>
  <property name="FSC#SKEDITIONSLOVLEX@103.510:AttrStrListDocPropUcelPredmetZmluvy" pid="38" fmtid="{D5CDD505-2E9C-101B-9397-08002B2CF9AE}">
    <vt:lpwstr/>
  </property>
  <property name="FSC#SKEDITIONSLOVLEX@103.510:AttrStrListDocPropUpravaPravFOPRO" pid="39" fmtid="{D5CDD505-2E9C-101B-9397-08002B2CF9AE}">
    <vt:lpwstr/>
  </property>
  <property name="FSC#SKEDITIONSLOVLEX@103.510:AttrStrListDocPropUpravaPredmetuZmluvy" pid="40" fmtid="{D5CDD505-2E9C-101B-9397-08002B2CF9AE}">
    <vt:lpwstr/>
  </property>
  <property name="FSC#SKEDITIONSLOVLEX@103.510:AttrStrListDocPropKategoriaZmluvy74" pid="41" fmtid="{D5CDD505-2E9C-101B-9397-08002B2CF9AE}">
    <vt:lpwstr/>
  </property>
  <property name="FSC#SKEDITIONSLOVLEX@103.510:AttrStrListDocPropKategoriaZmluvy75" pid="42" fmtid="{D5CDD505-2E9C-101B-9397-08002B2CF9AE}">
    <vt:lpwstr/>
  </property>
  <property name="FSC#SKEDITIONSLOVLEX@103.510:AttrStrListDocPropDopadyPrijatiaZmluvy" pid="43" fmtid="{D5CDD505-2E9C-101B-9397-08002B2CF9AE}">
    <vt:lpwstr/>
  </property>
  <property name="FSC#SKEDITIONSLOVLEX@103.510:AttrStrListDocPropProblematikaPPa" pid="44" fmtid="{D5CDD505-2E9C-101B-9397-08002B2CF9AE}">
    <vt:lpwstr>nie je upravený v práve Európskej únie</vt:lpwstr>
  </property>
  <property name="FSC#SKEDITIONSLOVLEX@103.510:AttrStrListDocPropPrimarnePravoEU" pid="45" fmtid="{D5CDD505-2E9C-101B-9397-08002B2CF9AE}">
    <vt:lpwstr/>
  </property>
  <property name="FSC#SKEDITIONSLOVLEX@103.510:AttrStrListDocPropSekundarneLegPravoPO" pid="46" fmtid="{D5CDD505-2E9C-101B-9397-08002B2CF9AE}">
    <vt:lpwstr/>
  </property>
  <property name="FSC#SKEDITIONSLOVLEX@103.510:AttrStrListDocPropSekundarneNelegPravoPO" pid="47" fmtid="{D5CDD505-2E9C-101B-9397-08002B2CF9AE}">
    <vt:lpwstr/>
  </property>
  <property name="FSC#SKEDITIONSLOVLEX@103.510:AttrStrListDocPropSekundarneLegPravoDO" pid="48" fmtid="{D5CDD505-2E9C-101B-9397-08002B2CF9AE}">
    <vt:lpwstr/>
  </property>
  <property name="FSC#SKEDITIONSLOVLEX@103.510:AttrStrListDocPropProblematikaPPb" pid="49" fmtid="{D5CDD505-2E9C-101B-9397-08002B2CF9AE}">
    <vt:lpwstr/>
  </property>
  <property name="FSC#SKEDITIONSLOVLEX@103.510:AttrStrListDocPropNazovPredpisuEU" pid="50" fmtid="{D5CDD505-2E9C-101B-9397-08002B2CF9AE}">
    <vt:lpwstr/>
  </property>
  <property name="FSC#SKEDITIONSLOVLEX@103.510:AttrStrListDocPropLehotaPrebratieSmernice" pid="51" fmtid="{D5CDD505-2E9C-101B-9397-08002B2CF9AE}">
    <vt:lpwstr/>
  </property>
  <property name="FSC#SKEDITIONSLOVLEX@103.510:AttrStrListDocPropLehotaNaPredlozenie" pid="52" fmtid="{D5CDD505-2E9C-101B-9397-08002B2CF9AE}">
    <vt:lpwstr/>
  </property>
  <property name="FSC#SKEDITIONSLOVLEX@103.510:AttrStrListDocPropInfoZaciatokKonania" pid="53" fmtid="{D5CDD505-2E9C-101B-9397-08002B2CF9AE}">
    <vt:lpwstr/>
  </property>
  <property name="FSC#SKEDITIONSLOVLEX@103.510:AttrStrListDocPropInfoUzPreberanePP" pid="54" fmtid="{D5CDD505-2E9C-101B-9397-08002B2CF9AE}">
    <vt:lpwstr/>
  </property>
  <property name="FSC#SKEDITIONSLOVLEX@103.510:AttrStrListDocPropStupenZlucitelnostiPP" pid="55" fmtid="{D5CDD505-2E9C-101B-9397-08002B2CF9AE}">
    <vt:lpwstr>úplne</vt:lpwstr>
  </property>
  <property name="FSC#SKEDITIONSLOVLEX@103.510:AttrStrListDocPropGestorSpolupRezorty" pid="56" fmtid="{D5CDD505-2E9C-101B-9397-08002B2CF9AE}">
    <vt:lpwstr/>
  </property>
  <property name="FSC#SKEDITIONSLOVLEX@103.510:AttrDateDocPropZaciatokPKK" pid="57" fmtid="{D5CDD505-2E9C-101B-9397-08002B2CF9AE}">
    <vt:lpwstr/>
  </property>
  <property name="FSC#SKEDITIONSLOVLEX@103.510:AttrDateDocPropUkonceniePKK" pid="58" fmtid="{D5CDD505-2E9C-101B-9397-08002B2CF9AE}">
    <vt:lpwstr/>
  </property>
  <property name="FSC#SKEDITIONSLOVLEX@103.510:AttrStrDocPropVplyvRozpocetVS" pid="59" fmtid="{D5CDD505-2E9C-101B-9397-08002B2CF9AE}">
    <vt:lpwstr/>
  </property>
  <property name="FSC#SKEDITIONSLOVLEX@103.510:AttrStrDocPropVplyvPodnikatelskeProstr" pid="60" fmtid="{D5CDD505-2E9C-101B-9397-08002B2CF9AE}">
    <vt:lpwstr/>
  </property>
  <property name="FSC#SKEDITIONSLOVLEX@103.510:AttrStrDocPropVplyvSocialny" pid="61" fmtid="{D5CDD505-2E9C-101B-9397-08002B2CF9AE}">
    <vt:lpwstr/>
  </property>
  <property name="FSC#SKEDITIONSLOVLEX@103.510:AttrStrDocPropVplyvNaZivotProstr" pid="62" fmtid="{D5CDD505-2E9C-101B-9397-08002B2CF9AE}">
    <vt:lpwstr/>
  </property>
  <property name="FSC#SKEDITIONSLOVLEX@103.510:AttrStrDocPropVplyvNaInformatizaciu" pid="63" fmtid="{D5CDD505-2E9C-101B-9397-08002B2CF9AE}">
    <vt:lpwstr/>
  </property>
  <property name="FSC#SKEDITIONSLOVLEX@103.510:AttrStrListDocPropPoznamkaVplyv" pid="64" fmtid="{D5CDD505-2E9C-101B-9397-08002B2CF9AE}">
    <vt:lpwstr/>
  </property>
  <property name="FSC#SKEDITIONSLOVLEX@103.510:AttrStrListDocPropAltRiesenia" pid="65" fmtid="{D5CDD505-2E9C-101B-9397-08002B2CF9AE}">
    <vt:lpwstr/>
  </property>
  <property name="FSC#SKEDITIONSLOVLEX@103.510:AttrStrListDocPropStanoviskoGest" pid="66" fmtid="{D5CDD505-2E9C-101B-9397-08002B2CF9AE}">
    <vt:lpwstr/>
  </property>
  <property name="FSC#SKEDITIONSLOVLEX@103.510:AttrStrListDocPropTextKomunike" pid="67" fmtid="{D5CDD505-2E9C-101B-9397-08002B2CF9AE}">
    <vt:lpwstr/>
  </property>
  <property name="FSC#SKEDITIONSLOVLEX@103.510:AttrStrListDocPropUznesenieCastA" pid="68" fmtid="{D5CDD505-2E9C-101B-9397-08002B2CF9AE}">
    <vt:lpwstr/>
  </property>
  <property name="FSC#SKEDITIONSLOVLEX@103.510:AttrStrListDocPropUznesenieZodpovednyA1" pid="69" fmtid="{D5CDD505-2E9C-101B-9397-08002B2CF9AE}">
    <vt:lpwstr/>
  </property>
  <property name="FSC#SKEDITIONSLOVLEX@103.510:AttrStrListDocPropUznesenieTextA1" pid="70" fmtid="{D5CDD505-2E9C-101B-9397-08002B2CF9AE}">
    <vt:lpwstr/>
  </property>
  <property name="FSC#SKEDITIONSLOVLEX@103.510:AttrStrListDocPropUznesenieTerminA1" pid="71" fmtid="{D5CDD505-2E9C-101B-9397-08002B2CF9AE}">
    <vt:lpwstr/>
  </property>
  <property name="FSC#SKEDITIONSLOVLEX@103.510:AttrStrListDocPropUznesenieBODA1" pid="72" fmtid="{D5CDD505-2E9C-101B-9397-08002B2CF9AE}">
    <vt:lpwstr/>
  </property>
  <property name="FSC#SKEDITIONSLOVLEX@103.510:AttrStrListDocPropUznesenieZodpovednyA2" pid="73" fmtid="{D5CDD505-2E9C-101B-9397-08002B2CF9AE}">
    <vt:lpwstr/>
  </property>
  <property name="FSC#SKEDITIONSLOVLEX@103.510:AttrStrListDocPropUznesenieTextA2" pid="74" fmtid="{D5CDD505-2E9C-101B-9397-08002B2CF9AE}">
    <vt:lpwstr/>
  </property>
  <property name="FSC#SKEDITIONSLOVLEX@103.510:AttrStrListDocPropUznesenieTerminA2" pid="75" fmtid="{D5CDD505-2E9C-101B-9397-08002B2CF9AE}">
    <vt:lpwstr/>
  </property>
  <property name="FSC#SKEDITIONSLOVLEX@103.510:AttrStrListDocPropUznesenieBODA3" pid="76" fmtid="{D5CDD505-2E9C-101B-9397-08002B2CF9AE}">
    <vt:lpwstr/>
  </property>
  <property name="FSC#SKEDITIONSLOVLEX@103.510:AttrStrListDocPropUznesenieZodpovednyA3" pid="77" fmtid="{D5CDD505-2E9C-101B-9397-08002B2CF9AE}">
    <vt:lpwstr/>
  </property>
  <property name="FSC#SKEDITIONSLOVLEX@103.510:AttrStrListDocPropUznesenieTextA3" pid="78" fmtid="{D5CDD505-2E9C-101B-9397-08002B2CF9AE}">
    <vt:lpwstr/>
  </property>
  <property name="FSC#SKEDITIONSLOVLEX@103.510:AttrStrListDocPropUznesenieTerminA3" pid="79" fmtid="{D5CDD505-2E9C-101B-9397-08002B2CF9AE}">
    <vt:lpwstr/>
  </property>
  <property name="FSC#SKEDITIONSLOVLEX@103.510:AttrStrListDocPropUznesenieBODA4" pid="80" fmtid="{D5CDD505-2E9C-101B-9397-08002B2CF9AE}">
    <vt:lpwstr/>
  </property>
  <property name="FSC#SKEDITIONSLOVLEX@103.510:AttrStrListDocPropUznesenieZodpovednyA4" pid="81" fmtid="{D5CDD505-2E9C-101B-9397-08002B2CF9AE}">
    <vt:lpwstr/>
  </property>
  <property name="FSC#SKEDITIONSLOVLEX@103.510:AttrStrListDocPropUznesenieTextA4" pid="82" fmtid="{D5CDD505-2E9C-101B-9397-08002B2CF9AE}">
    <vt:lpwstr/>
  </property>
  <property name="FSC#SKEDITIONSLOVLEX@103.510:AttrStrListDocPropUznesenieTerminA4" pid="83" fmtid="{D5CDD505-2E9C-101B-9397-08002B2CF9AE}">
    <vt:lpwstr/>
  </property>
  <property name="FSC#SKEDITIONSLOVLEX@103.510:AttrStrListDocPropUznesenieCastB" pid="84" fmtid="{D5CDD505-2E9C-101B-9397-08002B2CF9AE}">
    <vt:lpwstr/>
  </property>
  <property name="FSC#SKEDITIONSLOVLEX@103.510:AttrStrListDocPropUznesenieBODB1" pid="85" fmtid="{D5CDD505-2E9C-101B-9397-08002B2CF9AE}">
    <vt:lpwstr/>
  </property>
  <property name="FSC#SKEDITIONSLOVLEX@103.510:AttrStrListDocPropUznesenieZodpovednyB1" pid="86" fmtid="{D5CDD505-2E9C-101B-9397-08002B2CF9AE}">
    <vt:lpwstr/>
  </property>
  <property name="FSC#SKEDITIONSLOVLEX@103.510:AttrStrListDocPropUznesenieTextB1" pid="87" fmtid="{D5CDD505-2E9C-101B-9397-08002B2CF9AE}">
    <vt:lpwstr/>
  </property>
  <property name="FSC#SKEDITIONSLOVLEX@103.510:AttrStrListDocPropUznesenieTerminB1" pid="88" fmtid="{D5CDD505-2E9C-101B-9397-08002B2CF9AE}">
    <vt:lpwstr/>
  </property>
  <property name="FSC#SKEDITIONSLOVLEX@103.510:AttrStrListDocPropUznesenieBODB2" pid="89" fmtid="{D5CDD505-2E9C-101B-9397-08002B2CF9AE}">
    <vt:lpwstr/>
  </property>
  <property name="FSC#SKEDITIONSLOVLEX@103.510:AttrStrListDocPropUznesenieZodpovednyB2" pid="90" fmtid="{D5CDD505-2E9C-101B-9397-08002B2CF9AE}">
    <vt:lpwstr/>
  </property>
  <property name="FSC#SKEDITIONSLOVLEX@103.510:AttrStrListDocPropUznesenieTextB2" pid="91" fmtid="{D5CDD505-2E9C-101B-9397-08002B2CF9AE}">
    <vt:lpwstr/>
  </property>
  <property name="FSC#SKEDITIONSLOVLEX@103.510:AttrStrListDocPropUznesenieTerminB2" pid="92" fmtid="{D5CDD505-2E9C-101B-9397-08002B2CF9AE}">
    <vt:lpwstr/>
  </property>
  <property name="FSC#SKEDITIONSLOVLEX@103.510:AttrStrListDocPropUznesenieBODB3" pid="93" fmtid="{D5CDD505-2E9C-101B-9397-08002B2CF9AE}">
    <vt:lpwstr/>
  </property>
  <property name="FSC#SKEDITIONSLOVLEX@103.510:AttrStrListDocPropUznesenieZodpovednyB3" pid="94" fmtid="{D5CDD505-2E9C-101B-9397-08002B2CF9AE}">
    <vt:lpwstr/>
  </property>
  <property name="FSC#SKEDITIONSLOVLEX@103.510:AttrStrListDocPropUznesenieTextB3" pid="95" fmtid="{D5CDD505-2E9C-101B-9397-08002B2CF9AE}">
    <vt:lpwstr/>
  </property>
  <property name="FSC#SKEDITIONSLOVLEX@103.510:AttrStrListDocPropUznesenieTerminB3" pid="96" fmtid="{D5CDD505-2E9C-101B-9397-08002B2CF9AE}">
    <vt:lpwstr/>
  </property>
  <property name="FSC#SKEDITIONSLOVLEX@103.510:AttrStrListDocPropUznesenieBODB4" pid="97" fmtid="{D5CDD505-2E9C-101B-9397-08002B2CF9AE}">
    <vt:lpwstr/>
  </property>
  <property name="FSC#SKEDITIONSLOVLEX@103.510:AttrStrListDocPropUznesenieZodpovednyB4" pid="98" fmtid="{D5CDD505-2E9C-101B-9397-08002B2CF9AE}">
    <vt:lpwstr/>
  </property>
  <property name="FSC#SKEDITIONSLOVLEX@103.510:AttrStrListDocPropUznesenieTextB4" pid="99" fmtid="{D5CDD505-2E9C-101B-9397-08002B2CF9AE}">
    <vt:lpwstr/>
  </property>
  <property name="FSC#SKEDITIONSLOVLEX@103.510:AttrStrListDocPropUznesenieTerminB4" pid="100" fmtid="{D5CDD505-2E9C-101B-9397-08002B2CF9AE}">
    <vt:lpwstr/>
  </property>
  <property name="FSC#SKEDITIONSLOVLEX@103.510:AttrStrListDocPropUznesenieCastC" pid="101" fmtid="{D5CDD505-2E9C-101B-9397-08002B2CF9AE}">
    <vt:lpwstr/>
  </property>
  <property name="FSC#SKEDITIONSLOVLEX@103.510:AttrStrListDocPropUznesenieBODC1" pid="102" fmtid="{D5CDD505-2E9C-101B-9397-08002B2CF9AE}">
    <vt:lpwstr/>
  </property>
  <property name="FSC#SKEDITIONSLOVLEX@103.510:AttrStrListDocPropUznesenieZodpovednyC1" pid="103" fmtid="{D5CDD505-2E9C-101B-9397-08002B2CF9AE}">
    <vt:lpwstr/>
  </property>
  <property name="FSC#SKEDITIONSLOVLEX@103.510:AttrStrListDocPropUznesenieTextC1" pid="104" fmtid="{D5CDD505-2E9C-101B-9397-08002B2CF9AE}">
    <vt:lpwstr/>
  </property>
  <property name="FSC#SKEDITIONSLOVLEX@103.510:AttrStrListDocPropUznesenieTerminC1" pid="105" fmtid="{D5CDD505-2E9C-101B-9397-08002B2CF9AE}">
    <vt:lpwstr/>
  </property>
  <property name="FSC#SKEDITIONSLOVLEX@103.510:AttrStrListDocPropUznesenieBODC2" pid="106" fmtid="{D5CDD505-2E9C-101B-9397-08002B2CF9AE}">
    <vt:lpwstr/>
  </property>
  <property name="FSC#SKEDITIONSLOVLEX@103.510:AttrStrListDocPropUznesenieZodpovednyC2" pid="107" fmtid="{D5CDD505-2E9C-101B-9397-08002B2CF9AE}">
    <vt:lpwstr/>
  </property>
  <property name="FSC#SKEDITIONSLOVLEX@103.510:AttrStrListDocPropUznesenieTextC2" pid="108" fmtid="{D5CDD505-2E9C-101B-9397-08002B2CF9AE}">
    <vt:lpwstr/>
  </property>
  <property name="FSC#SKEDITIONSLOVLEX@103.510:AttrStrListDocPropUznesenieTerminC2" pid="109" fmtid="{D5CDD505-2E9C-101B-9397-08002B2CF9AE}">
    <vt:lpwstr/>
  </property>
  <property name="FSC#SKEDITIONSLOVLEX@103.510:AttrStrListDocPropUznesenieBODC3" pid="110" fmtid="{D5CDD505-2E9C-101B-9397-08002B2CF9AE}">
    <vt:lpwstr/>
  </property>
  <property name="FSC#SKEDITIONSLOVLEX@103.510:AttrStrListDocPropUznesenieZodpovednyC3" pid="111" fmtid="{D5CDD505-2E9C-101B-9397-08002B2CF9AE}">
    <vt:lpwstr/>
  </property>
  <property name="FSC#SKEDITIONSLOVLEX@103.510:AttrStrListDocPropUznesenieTextC3" pid="112" fmtid="{D5CDD505-2E9C-101B-9397-08002B2CF9AE}">
    <vt:lpwstr/>
  </property>
  <property name="FSC#SKEDITIONSLOVLEX@103.510:AttrStrListDocPropUznesenieTerminC3" pid="113" fmtid="{D5CDD505-2E9C-101B-9397-08002B2CF9AE}">
    <vt:lpwstr/>
  </property>
  <property name="FSC#SKEDITIONSLOVLEX@103.510:AttrStrListDocPropUznesenieBODC4" pid="114" fmtid="{D5CDD505-2E9C-101B-9397-08002B2CF9AE}">
    <vt:lpwstr/>
  </property>
  <property name="FSC#SKEDITIONSLOVLEX@103.510:AttrStrListDocPropUznesenieZodpovednyC4" pid="115" fmtid="{D5CDD505-2E9C-101B-9397-08002B2CF9AE}">
    <vt:lpwstr/>
  </property>
  <property name="FSC#SKEDITIONSLOVLEX@103.510:AttrStrListDocPropUznesenieTextC4" pid="116" fmtid="{D5CDD505-2E9C-101B-9397-08002B2CF9AE}">
    <vt:lpwstr/>
  </property>
  <property name="FSC#SKEDITIONSLOVLEX@103.510:AttrStrListDocPropUznesenieTerminC4" pid="117" fmtid="{D5CDD505-2E9C-101B-9397-08002B2CF9AE}">
    <vt:lpwstr/>
  </property>
  <property name="FSC#SKEDITIONSLOVLEX@103.510:AttrStrListDocPropUznesenieCastD" pid="118" fmtid="{D5CDD505-2E9C-101B-9397-08002B2CF9AE}">
    <vt:lpwstr/>
  </property>
  <property name="FSC#SKEDITIONSLOVLEX@103.510:AttrStrListDocPropUznesenieBODD1" pid="119" fmtid="{D5CDD505-2E9C-101B-9397-08002B2CF9AE}">
    <vt:lpwstr/>
  </property>
  <property name="FSC#SKEDITIONSLOVLEX@103.510:AttrStrListDocPropUznesenieZodpovednyD1" pid="120" fmtid="{D5CDD505-2E9C-101B-9397-08002B2CF9AE}">
    <vt:lpwstr/>
  </property>
  <property name="FSC#SKEDITIONSLOVLEX@103.510:AttrStrListDocPropUznesenieTextD1" pid="121" fmtid="{D5CDD505-2E9C-101B-9397-08002B2CF9AE}">
    <vt:lpwstr/>
  </property>
  <property name="FSC#SKEDITIONSLOVLEX@103.510:AttrStrListDocPropUznesenieTerminD1" pid="122" fmtid="{D5CDD505-2E9C-101B-9397-08002B2CF9AE}">
    <vt:lpwstr/>
  </property>
  <property name="FSC#SKEDITIONSLOVLEX@103.510:AttrStrListDocPropUznesenieBODD2" pid="123" fmtid="{D5CDD505-2E9C-101B-9397-08002B2CF9AE}">
    <vt:lpwstr/>
  </property>
  <property name="FSC#SKEDITIONSLOVLEX@103.510:AttrStrListDocPropUznesenieZodpovednyD2" pid="124" fmtid="{D5CDD505-2E9C-101B-9397-08002B2CF9AE}">
    <vt:lpwstr/>
  </property>
  <property name="FSC#SKEDITIONSLOVLEX@103.510:AttrStrListDocPropUznesenieTextD2" pid="125" fmtid="{D5CDD505-2E9C-101B-9397-08002B2CF9AE}">
    <vt:lpwstr/>
  </property>
  <property name="FSC#SKEDITIONSLOVLEX@103.510:AttrStrListDocPropUznesenieTerminD2" pid="126" fmtid="{D5CDD505-2E9C-101B-9397-08002B2CF9AE}">
    <vt:lpwstr/>
  </property>
  <property name="FSC#SKEDITIONSLOVLEX@103.510:AttrStrListDocPropUznesenieBODD3" pid="127" fmtid="{D5CDD505-2E9C-101B-9397-08002B2CF9AE}">
    <vt:lpwstr/>
  </property>
  <property name="FSC#SKEDITIONSLOVLEX@103.510:AttrStrListDocPropUznesenieZodpovednyD3" pid="128" fmtid="{D5CDD505-2E9C-101B-9397-08002B2CF9AE}">
    <vt:lpwstr/>
  </property>
  <property name="FSC#SKEDITIONSLOVLEX@103.510:AttrStrListDocPropUznesenieTextD3" pid="129" fmtid="{D5CDD505-2E9C-101B-9397-08002B2CF9AE}">
    <vt:lpwstr/>
  </property>
  <property name="FSC#SKEDITIONSLOVLEX@103.510:AttrStrListDocPropUznesenieTerminD3" pid="130" fmtid="{D5CDD505-2E9C-101B-9397-08002B2CF9AE}">
    <vt:lpwstr/>
  </property>
  <property name="FSC#SKEDITIONSLOVLEX@103.510:AttrStrListDocPropUznesenieBODD4" pid="131" fmtid="{D5CDD505-2E9C-101B-9397-08002B2CF9AE}">
    <vt:lpwstr/>
  </property>
  <property name="FSC#SKEDITIONSLOVLEX@103.510:AttrStrListDocPropUznesenieZodpovednyD4" pid="132" fmtid="{D5CDD505-2E9C-101B-9397-08002B2CF9AE}">
    <vt:lpwstr/>
  </property>
  <property name="FSC#SKEDITIONSLOVLEX@103.510:AttrStrListDocPropUznesenieTextD4" pid="133" fmtid="{D5CDD505-2E9C-101B-9397-08002B2CF9AE}">
    <vt:lpwstr/>
  </property>
  <property name="FSC#SKEDITIONSLOVLEX@103.510:AttrStrListDocPropUznesenieTerminD4" pid="134" fmtid="{D5CDD505-2E9C-101B-9397-08002B2CF9AE}">
    <vt:lpwstr/>
  </property>
  <property name="FSC#SKEDITIONSLOVLEX@103.510:AttrStrListDocPropUznesenieVykonaju" pid="135" fmtid="{D5CDD505-2E9C-101B-9397-08002B2CF9AE}">
    <vt:lpwstr>predseda vlády Slovenskej republiky</vt:lpwstr>
  </property>
  <property name="FSC#SKEDITIONSLOVLEX@103.510:AttrStrListDocPropUznesenieNaVedomie" pid="136" fmtid="{D5CDD505-2E9C-101B-9397-08002B2CF9AE}">
    <vt:lpwstr>predseda Národnej rady Slovenskej republiky</vt:lpwstr>
  </property>
  <property name="FSC#SKEDITIONSLOVLEX@103.510:funkciaPred" pid="137" fmtid="{D5CDD505-2E9C-101B-9397-08002B2CF9AE}">
    <vt:lpwstr/>
  </property>
  <property name="FSC#SKEDITIONSLOVLEX@103.510:funkciaPredAkuzativ" pid="138" fmtid="{D5CDD505-2E9C-101B-9397-08002B2CF9AE}">
    <vt:lpwstr/>
  </property>
  <property name="FSC#SKEDITIONSLOVLEX@103.510:funkciaPredDativ" pid="139" fmtid="{D5CDD505-2E9C-101B-9397-08002B2CF9AE}">
    <vt:lpwstr/>
  </property>
  <property name="FSC#SKEDITIONSLOVLEX@103.510:funkciaZodpPred" pid="140" fmtid="{D5CDD505-2E9C-101B-9397-08002B2CF9AE}">
    <vt:lpwstr>Minister práce, sociálnych vecí a rodiny Slovenskej republiky</vt:lpwstr>
  </property>
  <property name="FSC#SKEDITIONSLOVLEX@103.510:funkciaZodpPredAkuzativ" pid="141" fmtid="{D5CDD505-2E9C-101B-9397-08002B2CF9AE}">
    <vt:lpwstr>Ministra práce. sociálnych vecí a rodiny Slovenskej republiky</vt:lpwstr>
  </property>
  <property name="FSC#SKEDITIONSLOVLEX@103.510:funkciaZodpPredDativ" pid="142" fmtid="{D5CDD505-2E9C-101B-9397-08002B2CF9AE}">
    <vt:lpwstr>Ministrovi práce, sociálnych vecí a rodiny Slovenskej republiky</vt:lpwstr>
  </property>
  <property name="FSC#SKEDITIONSLOVLEX@103.510:funkciaDalsiPred" pid="143" fmtid="{D5CDD505-2E9C-101B-9397-08002B2CF9AE}">
    <vt:lpwstr/>
  </property>
  <property name="FSC#SKEDITIONSLOVLEX@103.510:funkciaDalsiPredAkuzativ" pid="144" fmtid="{D5CDD505-2E9C-101B-9397-08002B2CF9AE}">
    <vt:lpwstr/>
  </property>
  <property name="FSC#SKEDITIONSLOVLEX@103.510:funkciaDalsiPredDativ" pid="145" fmtid="{D5CDD505-2E9C-101B-9397-08002B2CF9AE}">
    <vt:lpwstr/>
  </property>
  <property name="FSC#SKEDITIONSLOVLEX@103.510:predkladateliaObalSD" pid="146" fmtid="{D5CDD505-2E9C-101B-9397-08002B2CF9AE}">
    <vt:lpwstr>Mgr. Erik Tomáš_x000d__x000a_Minister práce, sociálnych vecí a rodiny Slovenskej republiky</vt:lpwstr>
  </property>
  <property name="FSC#SKEDITIONSLOVLEX@103.510:AttrStrListDocPropTextVseobPrilohy" pid="147" fmtid="{D5CDD505-2E9C-101B-9397-08002B2CF9AE}">
    <vt:lpwstr/>
  </property>
  <property name="FSC#SKEDITIONSLOVLEX@103.510:AttrStrListDocPropTextPredklSpravy" pid="148" fmtid="{D5CDD505-2E9C-101B-9397-08002B2CF9AE}">
    <vt:lpwstr>&lt;p style="text-align: justify;"&gt;Na základe § 70 ods. 2 zákona Národnej rady Slovenskej republiky č. 350/1996 Z. z. o&amp;nbsp;rokovacom poriadku Národnej rady Slovenskej republiky Ministerstvo práce, sociálnych vecí a&amp;nbsp;rodiny Slovenskej republiky (ďalej len „ministerstvo práce“) ako ústredný orgán štátnej správy pre stratégiu zamestnanosti, koordináciu jej tvorby a politiku trhu práce predkladá na rokovanie vlády Slovenskej republiky návrh poslankyne Národnej rady Slovenskej republiky Aleny Novákovej na vydanie zákona, ktorým sa dopĺňa zákon č. 5/2004 Z. z. o službách zamestnanosti a o zmene a doplnení niektorých zákonov v znení neskorších predpisov (tlač 416).&lt;/p&gt;&lt;p style="text-align: justify;"&gt;Ministerstvo práce k&amp;nbsp;predloženému návrhu zákona uvádza:&lt;/p&gt;&lt;p style="text-align: justify;"&gt;&lt;strong&gt;Všeobecne&lt;/strong&gt;&lt;/p&gt;&lt;p style="text-align: justify;"&gt;Návrhom zákona sa umožňuje agentúre dočasného zamestnávania dočasne prideľovať štátnych príslušníkov tretej krajiny k&amp;nbsp;užívateľskému zamestnávateľovi po vydaní súhlasného potvrdenia o&amp;nbsp;možnosti obsadenia voľného pracovného miesta a&amp;nbsp;podaní žiadosti o&amp;nbsp;prechodný pobyt na účel zamestnania do právoplatného skončenia konania o udelenie prechodného pobytu na účel zamestnania za podmienky, že ide o&amp;nbsp;výkon zamestnania v nedostatkových profesiách.&lt;/p&gt;&lt;p style="text-align: justify;"&gt;&lt;strong&gt;Stanovisko&lt;/strong&gt;&lt;/p&gt;&lt;p style="text-align: justify;"&gt;Navrhované opatrenie umožňuje agentúre dočasného zamestnávania, ktorá vykonáva činnosť najmenej tri roky, dočasne prideliť štátneho príslušníka tretej krajiny na výkon práce k užívateľskému zamestnávateľovi v zamestnaní s nedostatkom pracovnej sily aj počas konania o&amp;nbsp;udelenie prechodného pobytu na účel zamestnania, ak úrad práce, sociálnych vecí a&amp;nbsp;rodiny vydal na jeho zamestnávanie potvrdenie o možnosti obsadenia voľného pracovného miesta, ktoré obsahuje súhlas s jeho obsadením.&lt;/p&gt;&lt;p style="text-align: justify;"&gt;Návrh zákona nadväzuje na právu úpravu účinnú do 14. júla 2024, podľa ktorej zamestnávateľ (vrátane agentúry dočasného zamestnávania) mohol zamestnávať (a agentúra dočasného zamestnávania dočasne prideľovať) štátneho príslušníka tretej krajiny počas konania o&amp;nbsp;udelenie prechodného pobytu na účel zamestnania na účel jeho zaškolenia, najviac na osem po sebe nasledujúcich týždňov v kalendárnom roku, ak išlo o výkon zamestnania s nedostatkom pracovnej sily. Zmenou právnej úpravy účinnou od 15. júla 2024 agentúry dočasného zamestnávania stratili možnosť dočasného prideľovania štátnych príslušníkov tretej krajiny počas konania o&amp;nbsp;udelenie prechodného pobytu na účel zamestnania. V&amp;nbsp;zákone zostala iba možnosť zamestnávania štátnych príslušníkov tretej krajiny počas konania o&amp;nbsp;udelenie prechodného pobytu na účel zamestnania ako kmeňových zamestnancov, teda nie na účely ich dočasného prideľovania.&lt;/p&gt;&lt;p style="text-align: justify;"&gt;Poslanecký návrh zákona predstavuje návrat k&amp;nbsp;právnej úprave účinnej do 14. júla 2024. Ministerstvo práce si je vedomé situáciou na trhu práce a&amp;nbsp;ťažkosťami zamestnávateľov pri vyhľadávaní vhodných zamestnancov pri obsadzované voľných pracovných miest z&amp;nbsp;radov domáceho obyvateľstva. Ministerstvo práce preto vyjadruje podporu poslaneckému návrhu zákona, podľa ktorého budú môcť agentúry dočasného zamestnávania dočasne prideľovať štátnych príslušníkov tretej krajiny počas konania o&amp;nbsp;udelenie prechodného pobytu na účel zamestnania na výkon zamestnania s nedostatkom pracovnej sily. Ministerstvo práce verí, že navrhované opatrenie prispeje k&amp;nbsp;uspokojenie dopytu slovenských zamestnávateľov po kvalifikovanej pracovnej sile.&lt;/p&gt;&lt;p style="text-align: justify;"&gt;Ministerstvo práce prerokovalo svoje stanovisko k&amp;nbsp;poslaneckému návrhu zákona v&amp;nbsp;súlade s&amp;nbsp;čl. 32 Legislatívnych pravidiel vlády Slovenskej republiky v&amp;nbsp;pripomienkovom konaní. V&amp;nbsp;rámci pripomienkového konania boli uplatnené tieto zásadné pripomienky:&lt;/p&gt;&lt;p style="text-align: justify;"&gt;&lt;strong&gt;Ministerstvo hospodárstva Slovenskej&lt;/strong&gt; republiky žiada v doložke vybraných vplyvov&lt;/p&gt;&lt;ul&gt;_x0009_&lt;li style="text-align: justify;"&gt;v časti A.2. Vplyvy - vplyvy na podnikateľské prostredie neuvádzať vplyvy „žiadne“. Odôvodnenie: Ak sú vyznačené vplyvy pozitívne a/alebo negatívne, súčasne s tým nemôžu byť vyznačené aj žiadne vplyvy.&lt;/li&gt;_x0009_&lt;li style="text-align: justify;"&gt;v časti A.3. Poznámky žiadame popísať aj negatívny vplyv na podnikateľské prostredie.&lt;/li&gt;&lt;/ul&gt;&lt;p style="text-align: justify;"&gt;Zároveň žiada o zosúladenie informácii v Doložke vybraných vplyvov a v Dôvodovej správe ohľadom vplyvov na podnikateľské prostredie.&lt;/p&gt;&lt;p style="text-align: justify;"&gt;&lt;u&gt;Stanovisko ministerstva práce&lt;/u&gt;&lt;/p&gt;&lt;p style="text-align: justify;"&gt;Ministerstvo práce berie na vedomie, že doložka vybraných vplyvov vykazuje určité nezrovnalosti, zároveň však konštatuje, že sprievodné dokumenty návrhu zákona nie je možné v&amp;nbsp;rámci rokovania v Národnej rade Slovenskej republiky meniť alebo upravovať.&amp;nbsp;&lt;/p&gt;&lt;p style="text-align: justify;"&gt;&lt;strong&gt;Konfederácia odborových zväzov Slovenskej republiky&lt;/strong&gt; zásadne nesúhlasí s&amp;nbsp;navrhovanou zmenou. Podľa jej názoru umožní štátnym príslušníkom tretích krajín pracovať pred samotným udelením povolenia na pobyt, čo je z jej pohľadu neprijateľné nielen pre ňu ako zástupcu zamestnancov, ale aj z pohľadu regulácie vstupu občanov iných/tretích krajín na územie SR. Podľa názoru KOZ nie je žiaduce, aby v rámci trvania konania v zmysle § 21 ods. 1 písm. g) alebo h) zákona štátny príslušník tretej krajiny bol prideľovaný k inému užívateľskému zamestnávateľovi. Takáto zmena by priniesla zhoršenie postavenia slovenských zamestnancov vzhľadom na zvýšené riziko mzdového a sociálneho dumpingu. Zároveň navrhovaná zmena znemožní kontrolu zo strany zástupcov zamestnancov pri plnení záväzkov vyplývajúcich z pracovno-právnej legislatívy a platných kolektívnych zmlúv, ako aj nekontrolovaný pohyb príslušníkov iných/tretích krajín na pracovnom trhu. V danej súvislosti taktiež KOZ poukazuje na fakt, že stanovené kvóty národných víz sú zo strany zamestnávateľov čerpané v rádovo nižších počtoch ako je deklarovaný počet neobsadených pracovných pozícií. Aj z tohto dôvodu sa KOZ domnieva, že navrhovaná novela neprispeje k zásadnej zmene trhu práce, s výnimkou zhoršenia pracovných a mzdových podmienok zamestnancov – občanov SR.&lt;/p&gt;&lt;p style="text-align: justify;"&gt;&lt;u&gt;Stanovisko ministerstva práce&lt;/u&gt;&lt;/p&gt;&lt;p style="text-align: justify;"&gt;Ministerstvo práce uvedenú pripomienku neakceptuje. Ako uvádza vyššie a&amp;nbsp;ako vyplýva aj z&amp;nbsp;dôvodovej správy k&amp;nbsp;poslaneckému návrhu zákona predložený návrh predstavuje návrat k&amp;nbsp;právnej úprave účinnej do 14. júla 2024. Ministerstvo práce počas platnosti tejto právnej úpravy účinnej do 14. júla 2024 nezaznamenalo naplnenie obáv uvedených v&amp;nbsp;pripomienke.&lt;/p&gt;&lt;p style="text-align: justify;"&gt;&lt;strong&gt;Záver&lt;/strong&gt;&lt;/p&gt;&lt;p style="text-align: justify;"&gt;Vzhľadom na uvedené Ministerstvo práce, sociálnych vecí a&amp;nbsp;rodiny Slovenskej republiky odporúča vláde Slovenskej republiky vysloviť &lt;strong&gt;súhlas&lt;/strong&gt; s&amp;nbsp;návrhom poslankyne Národnej rady Slovenskej republiky Aleny Novákovej na vydanie zákona, ktorým sa dopĺňa zákon č. 5/2004 Z. z. o službách zamestnanosti a o zmene a doplnení niektorých zákonov v znení neskorších predpisov (tlač 416).&lt;/p&gt;</vt:lpwstr>
  </property>
  <property name="FSC#COOSYSTEM@1.1:Container" pid="149" fmtid="{D5CDD505-2E9C-101B-9397-08002B2CF9AE}">
    <vt:lpwstr>COO.2145.1000.3.6393679</vt:lpwstr>
  </property>
  <property name="FSC#FSCFOLIO@1.1001:docpropproject" pid="150" fmtid="{D5CDD505-2E9C-101B-9397-08002B2CF9AE}">
    <vt:lpwstr/>
  </property>
  <property name="FSC#SKEDITIONSLOVLEX@103.510:aktualnyrok" pid="151" fmtid="{D5CDD505-2E9C-101B-9397-08002B2CF9AE}">
    <vt:lpwstr>2024</vt:lpwstr>
  </property>
  <property name="FSC#SKEDITIONSLOVLEX@103.510:vytvorenedna" pid="152" fmtid="{D5CDD505-2E9C-101B-9397-08002B2CF9AE}">
    <vt:lpwstr>18. 10. 2024</vt:lpwstr>
  </property>
</Properties>
</file>