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D1A4E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DE7186B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25A0CB44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112F4CCC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4A2B61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02DF4E9A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EA1DE70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7B9D95A9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13B0AB05" w14:textId="58F8838B" w:rsidR="001B23B7" w:rsidRPr="00612E08" w:rsidRDefault="00755968" w:rsidP="004140B2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5968">
              <w:rPr>
                <w:rFonts w:ascii="Times" w:hAnsi="Times" w:cs="Times"/>
                <w:bCs/>
              </w:rPr>
              <w:t>Návrh zákona, ktorým sa mení a dopĺňa zákon č. 507/2023 Z. z. o dorovnávacej dani na zabezpečenie minimálnej úrovne zdanenia nadnárodných skupín podnikov a veľkých vnútroštátnych skupín a o doplnení zákona č. 563/2009 Z. z. o správe daní (daňový poriadok) a o zmene a doplnení niektorých zákonov v znení neskorších predpisov v znení zákona č. 355/2024 Z. z. a ktorým sa mení a dopĺňa zákon č. 442/2012 Z. z. o medzinárodnej pomoci a spolupráci pri správe daní v znení neskorších predpisov</w:t>
            </w:r>
          </w:p>
        </w:tc>
      </w:tr>
      <w:tr w:rsidR="00612E08" w:rsidRPr="00612E08" w14:paraId="38E365E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7837319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3CEB8B6E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141306E" w14:textId="0BC3BB68" w:rsidR="001B23B7" w:rsidRPr="00612E08" w:rsidRDefault="00B33288" w:rsidP="006F33D9">
            <w:pPr>
              <w:spacing w:before="12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E1D1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Ministerstvo financií Slovenskej republiky</w:t>
            </w:r>
          </w:p>
        </w:tc>
      </w:tr>
      <w:tr w:rsidR="00612E08" w:rsidRPr="00612E08" w14:paraId="4E2C32E2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3350DFE4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0AA0678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C6FED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3133B57A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10A8F6B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D0CE866" w14:textId="2F935614" w:rsidR="001B23B7" w:rsidRPr="00612E08" w:rsidRDefault="008A1E08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33C73D0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1EFA30E1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27C5C4A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9168233" w14:textId="16156E65" w:rsidR="001B23B7" w:rsidRPr="00612E08" w:rsidRDefault="008A1E08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F8DD391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5907087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7F31DAFC" w14:textId="6115D2CE" w:rsidR="001B23B7" w:rsidRDefault="001B23B7" w:rsidP="00D1649F">
            <w:pPr>
              <w:spacing w:after="12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430DC200" w14:textId="77777777" w:rsidR="008A1E08" w:rsidRPr="00994C2E" w:rsidRDefault="008A1E08" w:rsidP="008A1E08">
            <w:pPr>
              <w:jc w:val="both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994C2E">
              <w:rPr>
                <w:rFonts w:ascii="Times New Roman" w:eastAsia="Times New Roman" w:hAnsi="Times New Roman" w:cs="Times New Roman"/>
                <w:bCs/>
                <w:lang w:eastAsia="sk-SK"/>
              </w:rPr>
              <w:t>Smernica Rady (EÚ) 2022/2523 z 15. decembra 2022 o zabezpečení globálnej minimálnej úrovne zdanenia nadnárodných skupín podnikov a veľkých vnútroštátnych skupín v Únii. (</w:t>
            </w:r>
            <w:r w:rsidRPr="00994C2E">
              <w:rPr>
                <w:rFonts w:ascii="Times New Roman" w:eastAsia="Times New Roman" w:hAnsi="Times New Roman" w:cs="Times New Roman"/>
                <w:iCs/>
                <w:lang w:eastAsia="sk-SK"/>
              </w:rPr>
              <w:t>Ú. v. EÚ L  328, 22.12.2022)</w:t>
            </w:r>
          </w:p>
          <w:p w14:paraId="01D85365" w14:textId="77777777" w:rsidR="008A1E08" w:rsidRPr="00994C2E" w:rsidRDefault="008A1E08" w:rsidP="008A1E08">
            <w:pPr>
              <w:jc w:val="both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</w:p>
          <w:p w14:paraId="6303F18D" w14:textId="77777777" w:rsidR="008A1E08" w:rsidRPr="00994C2E" w:rsidRDefault="008A1E08" w:rsidP="008A1E08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A41904">
              <w:rPr>
                <w:rFonts w:ascii="Times New Roman" w:eastAsia="Times New Roman" w:hAnsi="Times New Roman" w:cs="Times New Roman"/>
                <w:lang w:eastAsia="sk-SK"/>
              </w:rPr>
              <w:t>Smernica Rady (EÚ) 2025/872 zo 14. apríla 2025, ktorou sa mení smernica 2011/16/EÚ o administratívnej spolupráci v oblasti daní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 (</w:t>
            </w:r>
            <w:r w:rsidRPr="00B85468">
              <w:rPr>
                <w:rFonts w:ascii="Times New Roman" w:eastAsia="Times New Roman" w:hAnsi="Times New Roman" w:cs="Times New Roman"/>
                <w:lang w:eastAsia="sk-SK"/>
              </w:rPr>
              <w:t>Ú. v. EÚ L, 2025/872, 6.5.2025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>)</w:t>
            </w:r>
          </w:p>
          <w:p w14:paraId="2956A058" w14:textId="77777777" w:rsidR="008A1E08" w:rsidRPr="00994C2E" w:rsidRDefault="008A1E08" w:rsidP="008A1E08">
            <w:pPr>
              <w:rPr>
                <w:rFonts w:ascii="Times New Roman" w:eastAsia="Times New Roman" w:hAnsi="Times New Roman" w:cs="Times New Roman"/>
                <w:lang w:eastAsia="sk-SK"/>
              </w:rPr>
            </w:pPr>
          </w:p>
          <w:p w14:paraId="36AAFF0B" w14:textId="34FE9D43" w:rsidR="001B23B7" w:rsidRPr="00612E08" w:rsidRDefault="008A1E08" w:rsidP="00DF7FD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94C2E">
              <w:rPr>
                <w:rFonts w:ascii="Times New Roman" w:eastAsia="Times New Roman" w:hAnsi="Times New Roman" w:cs="Times New Roman"/>
                <w:lang w:eastAsia="sk-SK"/>
              </w:rPr>
              <w:t>Smernica Rady 2014/107/EÚ z  9. decembra 2014 , ktorou sa mení smernica 2011/16/EÚ, pokiaľ ide o povinnú automatickú výmenu informácií v oblasti daní v platnom znení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 (</w:t>
            </w:r>
            <w:r w:rsidRPr="002756B7">
              <w:rPr>
                <w:rFonts w:ascii="Times New Roman" w:eastAsia="Times New Roman" w:hAnsi="Times New Roman" w:cs="Times New Roman"/>
                <w:lang w:eastAsia="sk-SK"/>
              </w:rPr>
              <w:t xml:space="preserve">Ú. 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v. EÚ L 359, 16.12.2014) </w:t>
            </w:r>
          </w:p>
        </w:tc>
      </w:tr>
      <w:tr w:rsidR="00612E08" w:rsidRPr="00612E08" w14:paraId="5BFBD27B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DDC6AEF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F4B63" w14:textId="725E01F8" w:rsidR="001B23B7" w:rsidRPr="00612E08" w:rsidRDefault="007712DE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03. – 11.06.</w:t>
            </w:r>
            <w:r w:rsidR="009A4D0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2025</w:t>
            </w:r>
            <w:r w:rsidR="001C5F35" w:rsidRPr="00BB655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</w:t>
            </w:r>
          </w:p>
        </w:tc>
      </w:tr>
      <w:tr w:rsidR="00612E08" w:rsidRPr="00612E08" w14:paraId="11C568FB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6C69764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AC7F1" w14:textId="1CD2EC53" w:rsidR="001B23B7" w:rsidRPr="00612E08" w:rsidRDefault="001C5F35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Jún 2025</w:t>
            </w:r>
          </w:p>
        </w:tc>
      </w:tr>
      <w:tr w:rsidR="00612E08" w:rsidRPr="00612E08" w14:paraId="3263D3C3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D59258C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46D3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786D960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ABFA1C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E2323" w14:textId="3F323B9F" w:rsidR="001B23B7" w:rsidRPr="00612E08" w:rsidRDefault="001C5F35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August 2025</w:t>
            </w:r>
          </w:p>
        </w:tc>
      </w:tr>
      <w:tr w:rsidR="00612E08" w:rsidRPr="00612E08" w14:paraId="54E3890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B4DDB5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FF418F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80D43F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001462DC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A6B90C" w14:textId="619DB2A8" w:rsidR="00AD657A" w:rsidRDefault="001B23B7" w:rsidP="00D1649F">
            <w:pPr>
              <w:spacing w:after="120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482DBD64" w14:textId="6DD1582C" w:rsidR="00AD657A" w:rsidRDefault="00AD657A" w:rsidP="00AD657A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rFonts w:ascii="Times New Roman" w:hAnsi="Times New Roman"/>
                <w:color w:val="000000"/>
              </w:rPr>
            </w:pPr>
            <w:r w:rsidRPr="00251AC5">
              <w:rPr>
                <w:rFonts w:ascii="Times New Roman" w:hAnsi="Times New Roman"/>
              </w:rPr>
              <w:t>Zákonom č. 507/2023 Z. z. o dorovnávacej dani na zabezpečenie minimálnej úrovne zdanenia nadnárodných skupín podnikov a veľkých vnútroštátnych skupín a o doplnení zákona č. 563/2009 Z.</w:t>
            </w:r>
            <w:r>
              <w:rPr>
                <w:rFonts w:ascii="Times New Roman" w:hAnsi="Times New Roman"/>
              </w:rPr>
              <w:t> </w:t>
            </w:r>
            <w:r w:rsidRPr="00251AC5">
              <w:rPr>
                <w:rFonts w:ascii="Times New Roman" w:hAnsi="Times New Roman"/>
              </w:rPr>
              <w:t xml:space="preserve">z. o správe daní (daňový poriadok) a o zmene a doplnení niektorých zákonov v znení neskorších predpisov sa v SR transponovala smernica Rady (EÚ) 2022/2523 z 15. decembra 2022. Znenie smernice vychádza z globálnych modelových pravidiel prijatých Inkluzívnym rámcom OECD/G20 14. decembra 2021 v dokumente </w:t>
            </w:r>
            <w:r w:rsidRPr="00251AC5">
              <w:rPr>
                <w:rFonts w:ascii="Times New Roman" w:hAnsi="Times New Roman"/>
                <w:color w:val="000000"/>
              </w:rPr>
              <w:t>Daňové výzvy vyplývajúce z digitalizácie hospodárstva – globálne modelové pravidlá proti narúšaniu základu dane (druhý pilier). S cieľom objasnenia a doplnenia aplikácie globálnych modelových pravidiel Inkluzívny rámec OECD/G2</w:t>
            </w:r>
            <w:r>
              <w:rPr>
                <w:rFonts w:ascii="Times New Roman" w:hAnsi="Times New Roman"/>
                <w:color w:val="000000"/>
              </w:rPr>
              <w:t>0 zverejnil v roku 2024</w:t>
            </w:r>
            <w:r w:rsidR="002F1C52">
              <w:rPr>
                <w:rFonts w:ascii="Times New Roman" w:hAnsi="Times New Roman"/>
                <w:color w:val="000000"/>
              </w:rPr>
              <w:t xml:space="preserve"> a 2025</w:t>
            </w:r>
            <w:r w:rsidRPr="00251AC5">
              <w:rPr>
                <w:rFonts w:ascii="Times New Roman" w:hAnsi="Times New Roman"/>
                <w:color w:val="000000"/>
              </w:rPr>
              <w:t xml:space="preserve"> administratívne usmer</w:t>
            </w:r>
            <w:r>
              <w:rPr>
                <w:rFonts w:ascii="Times New Roman" w:hAnsi="Times New Roman"/>
                <w:color w:val="000000"/>
              </w:rPr>
              <w:t>neni</w:t>
            </w:r>
            <w:r w:rsidR="002F1C52">
              <w:rPr>
                <w:rFonts w:ascii="Times New Roman" w:hAnsi="Times New Roman"/>
                <w:color w:val="000000"/>
              </w:rPr>
              <w:t>a</w:t>
            </w:r>
            <w:r w:rsidRPr="00251AC5">
              <w:rPr>
                <w:rFonts w:ascii="Times New Roman" w:hAnsi="Times New Roman"/>
                <w:color w:val="000000"/>
              </w:rPr>
              <w:t xml:space="preserve"> ku globálnym modelovým pravidlám proti narúšaniu základu dane</w:t>
            </w:r>
            <w:r>
              <w:rPr>
                <w:rFonts w:ascii="Times New Roman" w:hAnsi="Times New Roman"/>
                <w:color w:val="000000"/>
              </w:rPr>
              <w:t>.</w:t>
            </w:r>
          </w:p>
          <w:p w14:paraId="1DC776C7" w14:textId="015E85D0" w:rsidR="00AD657A" w:rsidRDefault="00AD657A" w:rsidP="00AD657A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Uvedené administratívne usmerneni</w:t>
            </w:r>
            <w:r w:rsidR="002F1C52">
              <w:rPr>
                <w:rFonts w:ascii="Times New Roman" w:hAnsi="Times New Roman"/>
                <w:color w:val="000000"/>
              </w:rPr>
              <w:t>a</w:t>
            </w:r>
            <w:r>
              <w:rPr>
                <w:rFonts w:ascii="Times New Roman" w:hAnsi="Times New Roman"/>
                <w:color w:val="000000"/>
              </w:rPr>
              <w:t xml:space="preserve"> nie </w:t>
            </w:r>
            <w:r w:rsidR="002F1C52">
              <w:rPr>
                <w:rFonts w:ascii="Times New Roman" w:hAnsi="Times New Roman"/>
                <w:color w:val="000000"/>
              </w:rPr>
              <w:t>sú</w:t>
            </w:r>
            <w:r w:rsidRPr="00251AC5">
              <w:rPr>
                <w:rFonts w:ascii="Times New Roman" w:hAnsi="Times New Roman"/>
                <w:color w:val="000000"/>
              </w:rPr>
              <w:t xml:space="preserve"> súčasťou smernice Rady (EÚ) </w:t>
            </w:r>
            <w:r w:rsidRPr="00251AC5">
              <w:rPr>
                <w:rFonts w:ascii="Times New Roman" w:hAnsi="Times New Roman"/>
              </w:rPr>
              <w:t xml:space="preserve">2022/2523. </w:t>
            </w:r>
            <w:r>
              <w:rPr>
                <w:rFonts w:ascii="Times New Roman" w:hAnsi="Times New Roman"/>
              </w:rPr>
              <w:t>P</w:t>
            </w:r>
            <w:r w:rsidRPr="00251AC5">
              <w:rPr>
                <w:rFonts w:ascii="Times New Roman" w:hAnsi="Times New Roman"/>
                <w:color w:val="000000"/>
              </w:rPr>
              <w:t xml:space="preserve">ri uplatňovaní smernice </w:t>
            </w:r>
            <w:r w:rsidRPr="00251AC5">
              <w:rPr>
                <w:rFonts w:ascii="Times New Roman" w:hAnsi="Times New Roman"/>
              </w:rPr>
              <w:t xml:space="preserve">Rady (EÚ) 2022/2523 </w:t>
            </w:r>
            <w:r w:rsidRPr="00251AC5">
              <w:rPr>
                <w:rFonts w:ascii="Times New Roman" w:hAnsi="Times New Roman"/>
                <w:color w:val="000000"/>
              </w:rPr>
              <w:t>členskými štátmi je potrebné zab</w:t>
            </w:r>
            <w:r>
              <w:rPr>
                <w:rFonts w:ascii="Times New Roman" w:hAnsi="Times New Roman"/>
                <w:color w:val="000000"/>
              </w:rPr>
              <w:t>ezpečiť súlad s vyššie uvedeným</w:t>
            </w:r>
            <w:r w:rsidR="002F1C52">
              <w:rPr>
                <w:rFonts w:ascii="Times New Roman" w:hAnsi="Times New Roman"/>
                <w:color w:val="000000"/>
              </w:rPr>
              <w:t>i</w:t>
            </w:r>
            <w:r>
              <w:rPr>
                <w:rFonts w:ascii="Times New Roman" w:hAnsi="Times New Roman"/>
                <w:color w:val="000000"/>
              </w:rPr>
              <w:t xml:space="preserve"> dokument</w:t>
            </w:r>
            <w:r w:rsidR="002F1C52">
              <w:rPr>
                <w:rFonts w:ascii="Times New Roman" w:hAnsi="Times New Roman"/>
                <w:color w:val="000000"/>
              </w:rPr>
              <w:t>mi</w:t>
            </w:r>
            <w:r w:rsidRPr="00251AC5">
              <w:rPr>
                <w:rFonts w:ascii="Times New Roman" w:hAnsi="Times New Roman"/>
                <w:color w:val="000000"/>
              </w:rPr>
              <w:t>, aby sa zabránilo nesúladu alebo up</w:t>
            </w:r>
            <w:r>
              <w:rPr>
                <w:rFonts w:ascii="Times New Roman" w:hAnsi="Times New Roman"/>
                <w:color w:val="000000"/>
              </w:rPr>
              <w:t xml:space="preserve">latniteľnosti odlišných noriem. </w:t>
            </w:r>
            <w:r w:rsidRPr="00251AC5">
              <w:rPr>
                <w:rFonts w:ascii="Times New Roman" w:hAnsi="Times New Roman"/>
                <w:color w:val="000000"/>
              </w:rPr>
              <w:t xml:space="preserve"> </w:t>
            </w:r>
          </w:p>
          <w:p w14:paraId="6905016B" w14:textId="0FDF8F03" w:rsidR="001B23B7" w:rsidRPr="00612E08" w:rsidRDefault="00AD657A" w:rsidP="00AD657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>Transpozícia s</w:t>
            </w:r>
            <w:r w:rsidRPr="00A41904">
              <w:rPr>
                <w:rFonts w:ascii="Times New Roman" w:eastAsia="Times New Roman" w:hAnsi="Times New Roman" w:cs="Times New Roman"/>
                <w:lang w:eastAsia="sk-SK"/>
              </w:rPr>
              <w:t>mernica Rady (EÚ) 2025/872 zo 14. apríla 2025, ktorou sa mení smernica 2011/16/EÚ o administratívnej spolupráci v oblasti daní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(ďalej len „smernica DAC 9“) má zabezpečiť </w:t>
            </w:r>
            <w:r w:rsidRPr="00FF2C19">
              <w:rPr>
                <w:rFonts w:ascii="Times New Roman" w:hAnsi="Times New Roman"/>
                <w:color w:val="000000"/>
              </w:rPr>
              <w:t xml:space="preserve">rámec pre </w:t>
            </w:r>
            <w:r w:rsidRPr="00FF2C19">
              <w:rPr>
                <w:rFonts w:ascii="Times New Roman" w:hAnsi="Times New Roman"/>
                <w:color w:val="000000"/>
              </w:rPr>
              <w:lastRenderedPageBreak/>
              <w:t xml:space="preserve">procesné uplatňovanie smernice Rady (EÚ) 2022/2523 </w:t>
            </w:r>
            <w:r>
              <w:rPr>
                <w:rFonts w:ascii="Times New Roman" w:hAnsi="Times New Roman"/>
                <w:color w:val="000000"/>
              </w:rPr>
              <w:t xml:space="preserve">z 15. decembra 2022. </w:t>
            </w:r>
            <w:r w:rsidRPr="00FF2C19">
              <w:rPr>
                <w:rFonts w:ascii="Times New Roman" w:hAnsi="Times New Roman"/>
                <w:color w:val="000000"/>
              </w:rPr>
              <w:t>Smernica DAC 9 zavádza štand</w:t>
            </w:r>
            <w:r>
              <w:rPr>
                <w:rFonts w:ascii="Times New Roman" w:hAnsi="Times New Roman"/>
                <w:color w:val="000000"/>
              </w:rPr>
              <w:t xml:space="preserve">ardný </w:t>
            </w:r>
            <w:r w:rsidRPr="00FF2C19">
              <w:rPr>
                <w:rFonts w:ascii="Times New Roman" w:hAnsi="Times New Roman"/>
                <w:color w:val="000000"/>
              </w:rPr>
              <w:t>vzor oznámenia pre nadnárodné skupiny podnikov a okrem toho obsahuje aj pravidlá pre výmenu týchto oznámení v rámci EÚ.</w:t>
            </w:r>
            <w:r>
              <w:rPr>
                <w:rFonts w:ascii="Times New Roman" w:hAnsi="Times New Roman"/>
                <w:color w:val="000000"/>
              </w:rPr>
              <w:t xml:space="preserve"> Návrhom zákona sa vytvárajú aj podmienky pre výmenu oznámení v globálnom rámci na základe kvalifikovanej dohody príslušných orgánov.</w:t>
            </w:r>
          </w:p>
        </w:tc>
      </w:tr>
      <w:tr w:rsidR="00612E08" w:rsidRPr="00612E08" w14:paraId="7A0067C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921352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Ciele a výsledný stav</w:t>
            </w:r>
          </w:p>
        </w:tc>
      </w:tr>
      <w:tr w:rsidR="00612E08" w:rsidRPr="00612E08" w14:paraId="4EE879D1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96D5A3" w14:textId="7613889B" w:rsidR="00492A1F" w:rsidRDefault="001B23B7" w:rsidP="00D1649F">
            <w:pPr>
              <w:spacing w:after="12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53197913" w14:textId="48B4C0F6" w:rsidR="00492A1F" w:rsidRPr="00994C2E" w:rsidRDefault="00492A1F" w:rsidP="00492A1F">
            <w:pPr>
              <w:pStyle w:val="Normlnywebov"/>
              <w:spacing w:before="0" w:beforeAutospacing="0" w:after="0" w:afterAutospacing="0" w:line="264" w:lineRule="auto"/>
              <w:jc w:val="both"/>
              <w:rPr>
                <w:sz w:val="22"/>
                <w:szCs w:val="22"/>
                <w:lang w:eastAsia="en-US"/>
              </w:rPr>
            </w:pPr>
            <w:r w:rsidRPr="00994C2E">
              <w:rPr>
                <w:sz w:val="22"/>
                <w:szCs w:val="22"/>
                <w:lang w:eastAsia="en-US"/>
              </w:rPr>
              <w:t>Cieľom návrhu je doplniť do zákona nevyhnutné úpravy vyplývajúce z administratívneho usmernenia ku globálnym modelovým pravidlám proti narúšaniu základu dane prijatého Inkluzívnym rámcom OECD/G20 v roku 2024</w:t>
            </w:r>
            <w:r w:rsidR="004C51CE">
              <w:rPr>
                <w:sz w:val="22"/>
                <w:szCs w:val="22"/>
                <w:lang w:eastAsia="en-US"/>
              </w:rPr>
              <w:t xml:space="preserve"> a 2025</w:t>
            </w:r>
            <w:r w:rsidRPr="00994C2E">
              <w:rPr>
                <w:sz w:val="22"/>
                <w:szCs w:val="22"/>
                <w:lang w:eastAsia="en-US"/>
              </w:rPr>
              <w:t>.</w:t>
            </w:r>
          </w:p>
          <w:p w14:paraId="53787334" w14:textId="1094319A" w:rsidR="001B23B7" w:rsidRPr="00612E08" w:rsidRDefault="00492A1F" w:rsidP="00492A1F">
            <w:pPr>
              <w:pStyle w:val="Normlnywebov"/>
              <w:spacing w:before="0" w:beforeAutospacing="0" w:after="0" w:afterAutospacing="0" w:line="264" w:lineRule="auto"/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Ďalším cieľom návrhu je z</w:t>
            </w:r>
            <w:r w:rsidRPr="00994C2E">
              <w:rPr>
                <w:sz w:val="22"/>
                <w:szCs w:val="22"/>
              </w:rPr>
              <w:t xml:space="preserve">abezpečenie automatickej výmeny informácií v súvislosti so smernicou </w:t>
            </w:r>
            <w:r w:rsidRPr="00994C2E">
              <w:rPr>
                <w:color w:val="000000"/>
                <w:sz w:val="22"/>
                <w:szCs w:val="22"/>
              </w:rPr>
              <w:t>Rady (EÚ) 2022/2523 z 15. decembra 2022</w:t>
            </w:r>
            <w:r w:rsidRPr="00994C2E">
              <w:rPr>
                <w:sz w:val="22"/>
                <w:szCs w:val="22"/>
              </w:rPr>
              <w:t xml:space="preserve"> medzi príslušnými orgánmi členských a zmluvných štátov a širšia spolupráca medzi príslušnými orgánmi členských štátov EÚ a zmluvných štátov. </w:t>
            </w:r>
            <w:r>
              <w:rPr>
                <w:sz w:val="22"/>
                <w:szCs w:val="22"/>
              </w:rPr>
              <w:t>Návrh zákon sa taktiež zameriava na z</w:t>
            </w:r>
            <w:r w:rsidRPr="00994C2E">
              <w:rPr>
                <w:sz w:val="22"/>
                <w:szCs w:val="22"/>
              </w:rPr>
              <w:t>výšenie daňovej transparentnosti a získanie významného zdroja informácií pre finančnú správu umožňujúceho kontrolu plnenia daňových povinností v oblasti dane z príjmov.</w:t>
            </w:r>
          </w:p>
        </w:tc>
      </w:tr>
      <w:tr w:rsidR="00612E08" w:rsidRPr="00612E08" w14:paraId="6514F52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7961E4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78D8279C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0D545F" w14:textId="4BB81DEF" w:rsidR="001B23B7" w:rsidRDefault="001B23B7" w:rsidP="00E073CE">
            <w:pPr>
              <w:spacing w:after="12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4A6AA8BD" w14:textId="138141A7" w:rsidR="001B23B7" w:rsidRPr="00612E08" w:rsidRDefault="00FD04EB" w:rsidP="00FD04EB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94C2E">
              <w:rPr>
                <w:rFonts w:ascii="Times New Roman" w:eastAsia="Times New Roman" w:hAnsi="Times New Roman" w:cs="Times New Roman"/>
                <w:lang w:eastAsia="sk-SK"/>
              </w:rPr>
              <w:t>Ministerstvo financií SR, Finančné riaditeľstvo SR, základné subjekty nadnárodných skupín podnikov a veľkých vnútroštátnych skupín.</w:t>
            </w:r>
          </w:p>
        </w:tc>
      </w:tr>
      <w:tr w:rsidR="00612E08" w:rsidRPr="00612E08" w14:paraId="6A89205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7747A6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4568BCEB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5F01D7" w14:textId="68E12F74" w:rsidR="003C02FD" w:rsidRDefault="001B23B7" w:rsidP="00D1649F">
            <w:pPr>
              <w:spacing w:after="120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7E72CB82" w14:textId="2D32244D" w:rsidR="001B23B7" w:rsidRDefault="003C02FD" w:rsidP="000800FC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994C2E">
              <w:rPr>
                <w:rFonts w:ascii="Times New Roman" w:eastAsia="Times New Roman" w:hAnsi="Times New Roman" w:cs="Times New Roman"/>
                <w:lang w:eastAsia="sk-SK"/>
              </w:rPr>
              <w:t>Neboli posudzované alternatívne riešenia.</w:t>
            </w:r>
          </w:p>
          <w:p w14:paraId="77A76992" w14:textId="77777777" w:rsidR="003C02FD" w:rsidRPr="00612E08" w:rsidRDefault="003C02FD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7E4D746" w14:textId="5B558D94" w:rsidR="003C02FD" w:rsidRDefault="001B23B7" w:rsidP="00D1649F">
            <w:pPr>
              <w:spacing w:after="120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14F63C01" w14:textId="73FC9106" w:rsidR="003C02FD" w:rsidRPr="003C02FD" w:rsidRDefault="003C02FD" w:rsidP="003C02F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994C2E">
              <w:rPr>
                <w:rFonts w:ascii="Times New Roman" w:eastAsia="Times New Roman" w:hAnsi="Times New Roman" w:cs="Times New Roman"/>
                <w:lang w:eastAsia="sk-SK"/>
              </w:rPr>
              <w:t>Nulový variant nie je možné realizovať, keďže ide o transpozíciu smernice v nutnom rozsahu a v prípade nesplnenia povinnosti transpozície Európska komisia začne voči Slovenskej republike konanie o porušení podľa Zmluvy o fungovaní Európskej únie.</w:t>
            </w:r>
          </w:p>
        </w:tc>
      </w:tr>
      <w:tr w:rsidR="00612E08" w:rsidRPr="00612E08" w14:paraId="328EE40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E2452F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0B7419D1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ECDEF4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2D6051E1" w14:textId="77777777" w:rsidR="001B23B7" w:rsidRPr="00612E08" w:rsidRDefault="009748C9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6331E03B" w14:textId="290AD990" w:rsidR="001B23B7" w:rsidRPr="00612E08" w:rsidRDefault="009748C9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640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399DF916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0F2D5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614BF25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7A84E9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C69888C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62F4F360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3A0BF81A" w14:textId="77777777">
              <w:trPr>
                <w:trHeight w:val="90"/>
              </w:trPr>
              <w:tc>
                <w:tcPr>
                  <w:tcW w:w="8643" w:type="dxa"/>
                </w:tcPr>
                <w:p w14:paraId="0EDC71F2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396107B2" w14:textId="77777777">
              <w:trPr>
                <w:trHeight w:val="296"/>
              </w:trPr>
              <w:tc>
                <w:tcPr>
                  <w:tcW w:w="8643" w:type="dxa"/>
                </w:tcPr>
                <w:p w14:paraId="7839D735" w14:textId="32B3C298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66403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5E01FD52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0D601061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3C85ECE2" w14:textId="77777777">
              <w:trPr>
                <w:trHeight w:val="296"/>
              </w:trPr>
              <w:tc>
                <w:tcPr>
                  <w:tcW w:w="8643" w:type="dxa"/>
                </w:tcPr>
                <w:p w14:paraId="5A7102D1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78DD759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5946ABC4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299BB0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B1D071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7386F9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5D159BCF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A4AE2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1FBAEB7C" w14:textId="04693E72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548D3F3B" w14:textId="67306BAC" w:rsidR="00F66403" w:rsidRDefault="00F66403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0E8C68B" w14:textId="32D5DE6D" w:rsidR="001B23B7" w:rsidRPr="00612E08" w:rsidRDefault="00F66403" w:rsidP="00F66403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71036">
              <w:rPr>
                <w:rFonts w:ascii="Times New Roman" w:eastAsia="Times New Roman" w:hAnsi="Times New Roman" w:cs="Times New Roman"/>
                <w:lang w:eastAsia="sk-SK"/>
              </w:rPr>
              <w:t>Preskúmanie účelnosti a účinnosti bude možné vykonať až po podaní prvých oznámení s informáciami na určenie dorovnávacej dane a daňových priznaní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 a uskutočnení prvej automatickej výmeny oznámení s informáciami na určenie dorovnávacej dane (najskôr v roku 2027)</w:t>
            </w:r>
            <w:r w:rsidRPr="00371036">
              <w:rPr>
                <w:rFonts w:ascii="Times New Roman" w:eastAsia="Times New Roman" w:hAnsi="Times New Roman" w:cs="Times New Roman"/>
                <w:lang w:eastAsia="sk-SK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 </w:t>
            </w:r>
            <w:r w:rsidRPr="00C33AA0">
              <w:rPr>
                <w:rFonts w:ascii="Times New Roman" w:eastAsia="Times New Roman" w:hAnsi="Times New Roman" w:cs="Times New Roman"/>
                <w:lang w:eastAsia="sk-SK"/>
              </w:rPr>
              <w:t xml:space="preserve">Kritériá preskúmania budú stanovené v spolupráci s 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>f</w:t>
            </w:r>
            <w:r w:rsidRPr="00C33AA0">
              <w:rPr>
                <w:rFonts w:ascii="Times New Roman" w:eastAsia="Times New Roman" w:hAnsi="Times New Roman" w:cs="Times New Roman"/>
                <w:lang w:eastAsia="sk-SK"/>
              </w:rPr>
              <w:t>inančnou správou na základe postupov využívania dát pre plnenie daňových povinností.</w:t>
            </w:r>
          </w:p>
        </w:tc>
      </w:tr>
      <w:tr w:rsidR="00612E08" w:rsidRPr="00612E08" w14:paraId="4DE65DED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10741D2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E74E52A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58847DC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6839A753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06D50448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3511EB90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B86D001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88E9D11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19AE235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Vybrané vplyvy  materiálu</w:t>
            </w:r>
          </w:p>
        </w:tc>
      </w:tr>
      <w:tr w:rsidR="00612E08" w:rsidRPr="00612E08" w14:paraId="365F810B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22C749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E80748F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410446E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C21B5AE" w14:textId="77777777" w:rsidR="001B23B7" w:rsidRPr="00612E08" w:rsidRDefault="00203EE3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443CE4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84D02CA" w14:textId="5A8BC2C4" w:rsidR="001B23B7" w:rsidRPr="00612E08" w:rsidRDefault="003A5D26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D70AB12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DD23828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8E662FC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097004D0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297559EF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607EC69" w14:textId="7E44FD77" w:rsidR="001B23B7" w:rsidRPr="00612E08" w:rsidRDefault="00BC5268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9052FAB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7027D73" w14:textId="5C4A77DE" w:rsidR="001B23B7" w:rsidRPr="00612E08" w:rsidRDefault="00BC5268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59385CF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78138A7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367526E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2780E289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4C1031D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BA14C4D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5F8D481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5FD2AFB" w14:textId="6EB0FCF3" w:rsidR="003145AE" w:rsidRPr="00612E08" w:rsidRDefault="003A5D26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C66E263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207A589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A66741A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AEE81F0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67F7A7D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338AC349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D7291FF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57D29B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7375E99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34E8B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2D0020E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BA38E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6D8A51E5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AFB97B3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0F77AC1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2D17F4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FCBD50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F77F74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4E1535D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808E7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03A79FE6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E749F12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B07708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7394D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8213093" w14:textId="690FE9F8" w:rsidR="007F587A" w:rsidRPr="00612E08" w:rsidRDefault="003A5D26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51740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BDC4D30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8A09D3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DE2C58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0ADEF8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BCAF7F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4989EF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E1765D0" w14:textId="003BDD5E" w:rsidR="007F587A" w:rsidRPr="00612E08" w:rsidRDefault="003A5D26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2A9AE9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29C6C8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5FCCA1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935BF6C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0FC0A3B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6C55448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1E32A67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829F32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C614482" w14:textId="280FA3A7" w:rsidR="007F587A" w:rsidRPr="00612E08" w:rsidRDefault="005A1060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A8DEAF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17B16D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A27F02D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A2570B1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DFD5A3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4B7BC55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64EFCD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459FB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0CF564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2EC2EF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DF94136" w14:textId="2EFC9709" w:rsidR="007F587A" w:rsidRPr="00612E08" w:rsidRDefault="003A5D26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78E2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C64CD82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961205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E21EAD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3A258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FBE5819" w14:textId="59CDCF6F" w:rsidR="007F587A" w:rsidRPr="00612E08" w:rsidRDefault="00C4253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46AFC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6D2CA3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A3DD1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FE461C1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22CE9A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00C045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0EFCDA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2073E70" w14:textId="0BB43588" w:rsidR="007F587A" w:rsidRPr="00612E08" w:rsidRDefault="003A5D26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F349A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25D1BA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F9BD6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994E63F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786F63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FA0724C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94DB10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8DA7E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6EDF2C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7472CD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764F7D1" w14:textId="136D43D6" w:rsidR="007F587A" w:rsidRPr="00612E08" w:rsidRDefault="003A5D26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3E27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008BB27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051DCF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F9801DF" w14:textId="72502A38" w:rsidR="007F587A" w:rsidRPr="00612E08" w:rsidRDefault="005A106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8C9CA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E63A2C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69089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B7B16D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291B4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5C1E8579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A0095C5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37E6ECB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46D65D8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3E8F24E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AA43DDB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9E5B1C8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BE21A79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77946C2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9F353FE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26E9F35E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782A2A8C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04AF2F0E" w14:textId="611A43FD" w:rsidR="000F2BE9" w:rsidRPr="00612E08" w:rsidRDefault="005A1060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FACD8AB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3500F4E2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00BF5700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F6EE9E8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29C5D51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13B4AD64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56C9B50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028F1892" w14:textId="26C40557" w:rsidR="000F2BE9" w:rsidRPr="00612E08" w:rsidRDefault="005A1060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6AE379C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249839B6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AC405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587644DC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D1026F3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FB2FE8F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DC9C52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A65F6F7" w14:textId="2DEA29EC" w:rsidR="00A340BB" w:rsidRPr="00612E08" w:rsidRDefault="005A1060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C04144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E9497E2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938C33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4C3C9EF0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3802853E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CAA300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631A11DB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589B12E1" w14:textId="77777777" w:rsidR="0098472E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6997FCD" w14:textId="65542256" w:rsidR="00E54313" w:rsidRPr="00176FA9" w:rsidRDefault="00E54313" w:rsidP="000800FC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76FA9">
              <w:rPr>
                <w:rFonts w:ascii="Times New Roman" w:eastAsia="Times New Roman" w:hAnsi="Times New Roman" w:cs="Times New Roman"/>
                <w:color w:val="000000"/>
              </w:rPr>
              <w:t>K</w:t>
            </w:r>
            <w:r w:rsidR="00176FA9">
              <w:rPr>
                <w:rFonts w:ascii="Times New Roman" w:eastAsia="Times New Roman" w:hAnsi="Times New Roman" w:cs="Times New Roman"/>
                <w:color w:val="000000"/>
              </w:rPr>
              <w:t xml:space="preserve"> predloženému </w:t>
            </w:r>
            <w:r w:rsidRPr="00176FA9">
              <w:rPr>
                <w:rFonts w:ascii="Times New Roman" w:eastAsia="Times New Roman" w:hAnsi="Times New Roman" w:cs="Times New Roman"/>
                <w:color w:val="000000"/>
              </w:rPr>
              <w:t>návrhu zákona boli identifikované nasledovné marginálne vplyvy:</w:t>
            </w:r>
          </w:p>
          <w:p w14:paraId="61477DE1" w14:textId="4522632C" w:rsidR="00E54313" w:rsidRPr="00176FA9" w:rsidRDefault="00E54313" w:rsidP="000800FC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76FA9">
              <w:rPr>
                <w:rFonts w:ascii="Times New Roman" w:eastAsia="Times New Roman" w:hAnsi="Times New Roman" w:cs="Times New Roman"/>
                <w:color w:val="000000"/>
              </w:rPr>
              <w:t xml:space="preserve">Navrhované zmeny v § 39 ods. 6 a 7 zavádzajú novú štruktúrovanú formu oznámenia prostredníctvom tlačiva určovaného Finančným riaditeľstvom SR. Táto zmena si vyžiada úpravu interných systémov a procesov dotknutých subjektov, zároveň však prinesie pre dotknuté subjekty prehľadnejšiu a užívateľsky prívetivejšiu formu oznámenia. </w:t>
            </w:r>
            <w:r w:rsidR="00085504">
              <w:rPr>
                <w:rFonts w:ascii="Times New Roman" w:eastAsia="Times New Roman" w:hAnsi="Times New Roman" w:cs="Times New Roman"/>
                <w:color w:val="000000"/>
              </w:rPr>
              <w:t>N</w:t>
            </w:r>
            <w:r w:rsidRPr="00176FA9">
              <w:rPr>
                <w:rFonts w:ascii="Times New Roman" w:eastAsia="Times New Roman" w:hAnsi="Times New Roman" w:cs="Times New Roman"/>
                <w:color w:val="000000"/>
              </w:rPr>
              <w:t xml:space="preserve">ávrhom </w:t>
            </w:r>
            <w:r w:rsidR="00085504">
              <w:rPr>
                <w:rFonts w:ascii="Times New Roman" w:eastAsia="Times New Roman" w:hAnsi="Times New Roman" w:cs="Times New Roman"/>
                <w:color w:val="000000"/>
              </w:rPr>
              <w:t xml:space="preserve">sa </w:t>
            </w:r>
            <w:r w:rsidRPr="00176FA9">
              <w:rPr>
                <w:rFonts w:ascii="Times New Roman" w:eastAsia="Times New Roman" w:hAnsi="Times New Roman" w:cs="Times New Roman"/>
                <w:color w:val="000000"/>
              </w:rPr>
              <w:t xml:space="preserve">zvyšuje aj právna istota daňovníkov v nadväznosti na </w:t>
            </w:r>
            <w:r w:rsidR="004C51CE">
              <w:rPr>
                <w:rFonts w:ascii="Times New Roman" w:eastAsia="Times New Roman" w:hAnsi="Times New Roman" w:cs="Times New Roman"/>
                <w:color w:val="000000"/>
              </w:rPr>
              <w:t xml:space="preserve">administratívne </w:t>
            </w:r>
            <w:r w:rsidRPr="00176FA9">
              <w:rPr>
                <w:rFonts w:ascii="Times New Roman" w:eastAsia="Times New Roman" w:hAnsi="Times New Roman" w:cs="Times New Roman"/>
                <w:color w:val="000000"/>
              </w:rPr>
              <w:t xml:space="preserve">usmernenia OECD, a to najmä pri aplikácii pravidiel týkajúcich sa </w:t>
            </w:r>
            <w:r w:rsidR="00085504">
              <w:rPr>
                <w:rFonts w:ascii="Times New Roman" w:eastAsia="Times New Roman" w:hAnsi="Times New Roman" w:cs="Times New Roman"/>
                <w:color w:val="000000"/>
              </w:rPr>
              <w:t xml:space="preserve">spôsobu určenia </w:t>
            </w:r>
            <w:r w:rsidRPr="00176FA9">
              <w:rPr>
                <w:rFonts w:ascii="Times New Roman" w:eastAsia="Times New Roman" w:hAnsi="Times New Roman" w:cs="Times New Roman"/>
                <w:color w:val="000000"/>
              </w:rPr>
              <w:t>daňovej transparentnosti</w:t>
            </w:r>
            <w:r w:rsidR="00085504">
              <w:rPr>
                <w:rFonts w:ascii="Times New Roman" w:eastAsia="Times New Roman" w:hAnsi="Times New Roman" w:cs="Times New Roman"/>
                <w:color w:val="000000"/>
              </w:rPr>
              <w:t xml:space="preserve"> subjektov</w:t>
            </w:r>
            <w:r w:rsidRPr="00176FA9">
              <w:rPr>
                <w:rFonts w:ascii="Times New Roman" w:eastAsia="Times New Roman" w:hAnsi="Times New Roman" w:cs="Times New Roman"/>
                <w:color w:val="000000"/>
              </w:rPr>
              <w:t>, ako aj sledovania a opätovného zahrnutia odložených daňových záväzkov. Zároveň sa</w:t>
            </w:r>
            <w:r w:rsidR="0065243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3630A" w:rsidRPr="00C3630A">
              <w:rPr>
                <w:rFonts w:ascii="Times New Roman" w:eastAsia="Times New Roman" w:hAnsi="Times New Roman" w:cs="Times New Roman"/>
                <w:color w:val="000000"/>
              </w:rPr>
              <w:t>zavádza výnimka z obmedzen</w:t>
            </w:r>
            <w:r w:rsidR="00C3630A">
              <w:rPr>
                <w:rFonts w:ascii="Times New Roman" w:eastAsia="Times New Roman" w:hAnsi="Times New Roman" w:cs="Times New Roman"/>
                <w:color w:val="000000"/>
              </w:rPr>
              <w:t>ia</w:t>
            </w:r>
            <w:r w:rsidR="00C3630A" w:rsidRPr="00C3630A">
              <w:rPr>
                <w:rFonts w:ascii="Times New Roman" w:eastAsia="Times New Roman" w:hAnsi="Times New Roman" w:cs="Times New Roman"/>
                <w:color w:val="000000"/>
              </w:rPr>
              <w:t xml:space="preserve"> pre priradenie </w:t>
            </w:r>
            <w:r w:rsidR="00C3630A">
              <w:rPr>
                <w:rFonts w:ascii="Times New Roman" w:eastAsia="Times New Roman" w:hAnsi="Times New Roman" w:cs="Times New Roman"/>
                <w:color w:val="000000"/>
              </w:rPr>
              <w:t xml:space="preserve">zahrnutých </w:t>
            </w:r>
            <w:r w:rsidR="00C3630A" w:rsidRPr="00C3630A">
              <w:rPr>
                <w:rFonts w:ascii="Times New Roman" w:eastAsia="Times New Roman" w:hAnsi="Times New Roman" w:cs="Times New Roman"/>
                <w:color w:val="000000"/>
              </w:rPr>
              <w:t>daní hybridným subjektom</w:t>
            </w:r>
            <w:r w:rsidR="00C3630A">
              <w:rPr>
                <w:rFonts w:ascii="Times New Roman" w:eastAsia="Times New Roman" w:hAnsi="Times New Roman" w:cs="Times New Roman"/>
                <w:color w:val="000000"/>
              </w:rPr>
              <w:t xml:space="preserve"> alebo reverzným hybridným subjektom</w:t>
            </w:r>
            <w:r w:rsidR="00C3630A" w:rsidRPr="00C3630A">
              <w:rPr>
                <w:rFonts w:ascii="Times New Roman" w:eastAsia="Times New Roman" w:hAnsi="Times New Roman" w:cs="Times New Roman"/>
                <w:color w:val="000000"/>
              </w:rPr>
              <w:t>, ak ide o daň z</w:t>
            </w:r>
            <w:r w:rsidR="00C3630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C3630A" w:rsidRPr="00C3630A">
              <w:rPr>
                <w:rFonts w:ascii="Times New Roman" w:eastAsia="Times New Roman" w:hAnsi="Times New Roman" w:cs="Times New Roman"/>
                <w:color w:val="000000"/>
              </w:rPr>
              <w:t>príjmov</w:t>
            </w:r>
            <w:r w:rsidR="00C3630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4C51CE">
              <w:rPr>
                <w:rFonts w:ascii="Times New Roman" w:eastAsia="Times New Roman" w:hAnsi="Times New Roman" w:cs="Times New Roman"/>
                <w:color w:val="000000"/>
              </w:rPr>
              <w:t>zo</w:t>
            </w:r>
            <w:r w:rsidR="00C3630A" w:rsidRPr="00C3630A">
              <w:rPr>
                <w:rFonts w:ascii="Times New Roman" w:eastAsia="Times New Roman" w:hAnsi="Times New Roman" w:cs="Times New Roman"/>
                <w:color w:val="000000"/>
              </w:rPr>
              <w:t xml:space="preserve"> zdrojov na území Slovenskej republiky, ktorú </w:t>
            </w:r>
            <w:r w:rsidR="004C51CE">
              <w:rPr>
                <w:rFonts w:ascii="Times New Roman" w:eastAsia="Times New Roman" w:hAnsi="Times New Roman" w:cs="Times New Roman"/>
                <w:color w:val="000000"/>
              </w:rPr>
              <w:t>uhradil</w:t>
            </w:r>
            <w:r w:rsidR="00C3630A" w:rsidRPr="00C3630A">
              <w:rPr>
                <w:rFonts w:ascii="Times New Roman" w:eastAsia="Times New Roman" w:hAnsi="Times New Roman" w:cs="Times New Roman"/>
                <w:color w:val="000000"/>
              </w:rPr>
              <w:t xml:space="preserve"> vlastník </w:t>
            </w:r>
            <w:r w:rsidR="00C3630A">
              <w:rPr>
                <w:rFonts w:ascii="Times New Roman" w:eastAsia="Times New Roman" w:hAnsi="Times New Roman" w:cs="Times New Roman"/>
                <w:color w:val="000000"/>
              </w:rPr>
              <w:t xml:space="preserve">hybridného subjektu </w:t>
            </w:r>
            <w:r w:rsidR="004C51CE">
              <w:rPr>
                <w:rFonts w:ascii="Times New Roman" w:eastAsia="Times New Roman" w:hAnsi="Times New Roman" w:cs="Times New Roman"/>
                <w:color w:val="000000"/>
              </w:rPr>
              <w:t xml:space="preserve">alebo reverzného </w:t>
            </w:r>
            <w:r w:rsidR="004C51C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hybridného subjektu </w:t>
            </w:r>
            <w:r w:rsidR="00C3630A" w:rsidRPr="00C3630A">
              <w:rPr>
                <w:rFonts w:ascii="Times New Roman" w:eastAsia="Times New Roman" w:hAnsi="Times New Roman" w:cs="Times New Roman"/>
                <w:color w:val="000000"/>
              </w:rPr>
              <w:t>podľa zákona o dani z</w:t>
            </w:r>
            <w:r w:rsidR="004C51C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C3630A" w:rsidRPr="00C3630A">
              <w:rPr>
                <w:rFonts w:ascii="Times New Roman" w:eastAsia="Times New Roman" w:hAnsi="Times New Roman" w:cs="Times New Roman"/>
                <w:color w:val="000000"/>
              </w:rPr>
              <w:t>príjmov</w:t>
            </w:r>
            <w:r w:rsidR="004C51CE">
              <w:rPr>
                <w:rFonts w:ascii="Times New Roman" w:eastAsia="Times New Roman" w:hAnsi="Times New Roman" w:cs="Times New Roman"/>
                <w:color w:val="000000"/>
              </w:rPr>
              <w:t>. Súčasne</w:t>
            </w:r>
            <w:r w:rsidR="005832C2">
              <w:rPr>
                <w:rFonts w:ascii="Times New Roman" w:eastAsia="Times New Roman" w:hAnsi="Times New Roman" w:cs="Times New Roman"/>
                <w:color w:val="000000"/>
              </w:rPr>
              <w:t xml:space="preserve"> sa na účely uplatnenia</w:t>
            </w:r>
            <w:r w:rsidR="00551E60">
              <w:rPr>
                <w:rFonts w:ascii="Times New Roman" w:eastAsia="Times New Roman" w:hAnsi="Times New Roman" w:cs="Times New Roman"/>
                <w:color w:val="000000"/>
              </w:rPr>
              <w:t xml:space="preserve"> existujúcej</w:t>
            </w:r>
            <w:r w:rsidR="005832C2">
              <w:rPr>
                <w:rFonts w:ascii="Times New Roman" w:eastAsia="Times New Roman" w:hAnsi="Times New Roman" w:cs="Times New Roman"/>
                <w:color w:val="000000"/>
              </w:rPr>
              <w:t xml:space="preserve"> výnimky pre výpočet </w:t>
            </w:r>
            <w:proofErr w:type="spellStart"/>
            <w:r w:rsidR="005832C2">
              <w:rPr>
                <w:rFonts w:ascii="Times New Roman" w:eastAsia="Times New Roman" w:hAnsi="Times New Roman" w:cs="Times New Roman"/>
                <w:color w:val="000000"/>
              </w:rPr>
              <w:t>dorovnávacej</w:t>
            </w:r>
            <w:proofErr w:type="spellEnd"/>
            <w:r w:rsidR="005832C2">
              <w:rPr>
                <w:rFonts w:ascii="Times New Roman" w:eastAsia="Times New Roman" w:hAnsi="Times New Roman" w:cs="Times New Roman"/>
                <w:color w:val="000000"/>
              </w:rPr>
              <w:t xml:space="preserve"> dane podľa § 32 </w:t>
            </w:r>
            <w:r w:rsidR="00551E60">
              <w:rPr>
                <w:rFonts w:ascii="Times New Roman" w:eastAsia="Times New Roman" w:hAnsi="Times New Roman" w:cs="Times New Roman"/>
                <w:color w:val="000000"/>
              </w:rPr>
              <w:t xml:space="preserve">spresňujú </w:t>
            </w:r>
            <w:r w:rsidR="005832C2">
              <w:rPr>
                <w:rFonts w:ascii="Times New Roman" w:eastAsia="Times New Roman" w:hAnsi="Times New Roman" w:cs="Times New Roman"/>
                <w:color w:val="000000"/>
              </w:rPr>
              <w:t xml:space="preserve">pravidlá pre výpočet sumy zjednodušených zahrnutých daní. </w:t>
            </w:r>
            <w:r w:rsidRPr="00176FA9">
              <w:rPr>
                <w:rFonts w:ascii="Times New Roman" w:eastAsia="Times New Roman" w:hAnsi="Times New Roman" w:cs="Times New Roman"/>
                <w:color w:val="000000"/>
              </w:rPr>
              <w:t xml:space="preserve"> V § 22t sa stanovuje povinnosť základnému subjektu určiť príslušné časti oznámenia, ktorým sa zašlú informácie v súlade s prístupom šírenia upraveného v § 22r ods. 1.  </w:t>
            </w:r>
          </w:p>
          <w:p w14:paraId="509ED510" w14:textId="77777777" w:rsidR="00CF1E31" w:rsidRDefault="00CF1E31" w:rsidP="00176FA9">
            <w:pPr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14:paraId="2D00E447" w14:textId="6F6D5690" w:rsidR="00176FA9" w:rsidRDefault="00CF1E31" w:rsidP="00176FA9">
            <w:pPr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>V</w:t>
            </w:r>
            <w:r w:rsidR="00176FA9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plyvy na podnikateľské subjekty </w:t>
            </w:r>
            <w:r w:rsidR="00176FA9" w:rsidRPr="00884A71">
              <w:rPr>
                <w:rFonts w:ascii="Times New Roman" w:eastAsia="Times New Roman" w:hAnsi="Times New Roman" w:cs="Times New Roman"/>
                <w:bCs/>
                <w:lang w:eastAsia="ar-SA"/>
              </w:rPr>
              <w:t>nadnárodných skupín podnikov a veľkých vnútroštátnych skupín</w:t>
            </w:r>
            <w:r w:rsidR="00176FA9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boli uvedené v analýze vplyvov na podnikateľské prostredie pri predložení zákona účinného od 31. 12. 2023 (LP/2023/477). </w:t>
            </w:r>
          </w:p>
          <w:p w14:paraId="50302C23" w14:textId="77777777"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0086A24E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A2BE1E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Kontakt na spracovateľa</w:t>
            </w:r>
          </w:p>
        </w:tc>
      </w:tr>
      <w:tr w:rsidR="00612E08" w:rsidRPr="00612E08" w14:paraId="4108CF37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B7B606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07E47653" w14:textId="77777777" w:rsidR="00BA314E" w:rsidRDefault="00BA314E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669627E" w14:textId="77777777" w:rsidR="00031DE3" w:rsidRDefault="00031DE3" w:rsidP="00031DE3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>Ing. Milada Kuceková</w:t>
            </w:r>
            <w:r w:rsidRPr="008C05EC">
              <w:rPr>
                <w:rFonts w:ascii="Times New Roman" w:eastAsia="Times New Roman" w:hAnsi="Times New Roman" w:cs="Times New Roman"/>
                <w:lang w:eastAsia="sk-SK"/>
              </w:rPr>
              <w:t>,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 </w:t>
            </w:r>
            <w:r w:rsidRPr="00292F7A">
              <w:rPr>
                <w:rFonts w:ascii="Times New Roman" w:eastAsia="Times New Roman" w:hAnsi="Times New Roman" w:cs="Times New Roman"/>
                <w:lang w:eastAsia="sk-SK"/>
              </w:rPr>
              <w:t>Ph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>D.,</w:t>
            </w:r>
            <w:r w:rsidRPr="008C05EC">
              <w:rPr>
                <w:rFonts w:ascii="Times New Roman" w:eastAsia="Times New Roman" w:hAnsi="Times New Roman" w:cs="Times New Roman"/>
                <w:lang w:eastAsia="sk-SK"/>
              </w:rPr>
              <w:t xml:space="preserve"> Ministerstvo financií SR, Oddelenie medzinárodných daňových vzťahov, Odbor priamych daní, Sekcia daňová a colná MF SR</w:t>
            </w:r>
          </w:p>
          <w:p w14:paraId="43F4631A" w14:textId="77777777" w:rsidR="00031DE3" w:rsidRDefault="00031DE3" w:rsidP="00031DE3">
            <w:pPr>
              <w:rPr>
                <w:rStyle w:val="Hypertextovprepojenie"/>
                <w:rFonts w:ascii="Times New Roman" w:hAnsi="Times New Roman" w:cs="Times New Roman"/>
                <w:i/>
                <w:sz w:val="20"/>
                <w:szCs w:val="20"/>
              </w:rPr>
            </w:pPr>
            <w:r w:rsidRPr="008C05EC">
              <w:rPr>
                <w:rFonts w:ascii="Times New Roman" w:eastAsia="Times New Roman" w:hAnsi="Times New Roman" w:cs="Times New Roman"/>
                <w:lang w:eastAsia="sk-SK"/>
              </w:rPr>
              <w:t xml:space="preserve"> e-mail:</w:t>
            </w:r>
            <w:r w:rsidRPr="00292F7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hyperlink r:id="rId9" w:history="1">
              <w:r w:rsidRPr="00292F7A">
                <w:rPr>
                  <w:rStyle w:val="Hypertextovprepojenie"/>
                  <w:rFonts w:ascii="Times New Roman" w:hAnsi="Times New Roman" w:cs="Times New Roman"/>
                  <w:i/>
                  <w:sz w:val="20"/>
                  <w:szCs w:val="20"/>
                </w:rPr>
                <w:t>milada.kucekova@mfsr.sk</w:t>
              </w:r>
            </w:hyperlink>
            <w:r>
              <w:rPr>
                <w:rStyle w:val="Hypertextovprepojenie"/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14:paraId="118AA282" w14:textId="77777777" w:rsidR="00031DE3" w:rsidRDefault="00031DE3" w:rsidP="00031DE3">
            <w:pPr>
              <w:rPr>
                <w:rStyle w:val="Hypertextovprepojenie"/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Style w:val="Hypertextovprepojenie"/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352CE4">
              <w:rPr>
                <w:rStyle w:val="Hypertextovprepojenie"/>
                <w:rFonts w:ascii="Times New Roman" w:hAnsi="Times New Roman" w:cs="Times New Roman"/>
                <w:i/>
                <w:sz w:val="20"/>
                <w:szCs w:val="20"/>
              </w:rPr>
              <w:t>Tel: +421 2 5958 3482</w:t>
            </w:r>
          </w:p>
          <w:p w14:paraId="2ABDC0AD" w14:textId="77777777" w:rsidR="00031DE3" w:rsidRDefault="00031DE3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2DF58F7" w14:textId="77777777" w:rsidR="00031DE3" w:rsidRDefault="00031DE3" w:rsidP="00031DE3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Ing. Elena Pekárová, </w:t>
            </w:r>
            <w:r w:rsidRPr="008C05EC">
              <w:rPr>
                <w:rFonts w:ascii="Times New Roman" w:eastAsia="Times New Roman" w:hAnsi="Times New Roman" w:cs="Times New Roman"/>
                <w:lang w:eastAsia="sk-SK"/>
              </w:rPr>
              <w:t>Ministerstvo financií SR, Oddelenie medzinárodných daňových vzťahov, Odbor priamych daní, Sekcia daňová a colná MF SR</w:t>
            </w:r>
          </w:p>
          <w:p w14:paraId="6D64CADA" w14:textId="77777777" w:rsidR="00031DE3" w:rsidRDefault="00031DE3" w:rsidP="00031DE3">
            <w:pPr>
              <w:rPr>
                <w:rStyle w:val="Hypertextovprepojenie"/>
                <w:rFonts w:ascii="Times New Roman" w:hAnsi="Times New Roman" w:cs="Times New Roman"/>
                <w:i/>
                <w:sz w:val="20"/>
                <w:szCs w:val="20"/>
              </w:rPr>
            </w:pPr>
            <w:r w:rsidRPr="008C05EC">
              <w:rPr>
                <w:rFonts w:ascii="Times New Roman" w:eastAsia="Times New Roman" w:hAnsi="Times New Roman" w:cs="Times New Roman"/>
                <w:lang w:eastAsia="sk-SK"/>
              </w:rPr>
              <w:t>e-mail:</w:t>
            </w:r>
            <w:r w:rsidRPr="00292F7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hyperlink r:id="rId10" w:history="1">
              <w:r w:rsidRPr="00744ED3">
                <w:rPr>
                  <w:rStyle w:val="Hypertextovprepojenie"/>
                  <w:rFonts w:ascii="Times New Roman" w:hAnsi="Times New Roman" w:cs="Times New Roman"/>
                  <w:i/>
                  <w:sz w:val="20"/>
                  <w:szCs w:val="20"/>
                </w:rPr>
                <w:t>elena.pekarova@mfsr.sk</w:t>
              </w:r>
            </w:hyperlink>
            <w:r>
              <w:rPr>
                <w:rStyle w:val="Hypertextovprepojenie"/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14:paraId="480D4B26" w14:textId="4EC70634" w:rsidR="00031DE3" w:rsidRPr="00612E08" w:rsidRDefault="00031DE3" w:rsidP="00031DE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Style w:val="Hypertextovprepojenie"/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352CE4">
              <w:rPr>
                <w:rStyle w:val="Hypertextovprepojenie"/>
                <w:rFonts w:ascii="Times New Roman" w:hAnsi="Times New Roman" w:cs="Times New Roman"/>
                <w:i/>
                <w:sz w:val="20"/>
                <w:szCs w:val="20"/>
              </w:rPr>
              <w:t>Tel: +421 2 5958 34</w:t>
            </w:r>
            <w:r>
              <w:rPr>
                <w:rStyle w:val="Hypertextovprepojenie"/>
                <w:rFonts w:ascii="Times New Roman" w:hAnsi="Times New Roman" w:cs="Times New Roman"/>
                <w:i/>
                <w:sz w:val="20"/>
                <w:szCs w:val="20"/>
              </w:rPr>
              <w:t>77</w:t>
            </w:r>
          </w:p>
        </w:tc>
      </w:tr>
      <w:tr w:rsidR="00612E08" w:rsidRPr="00612E08" w14:paraId="15F180F9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A02513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0720886A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ED7E76" w14:textId="3E764BE6" w:rsidR="001B23B7" w:rsidRDefault="001B23B7" w:rsidP="000800F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5B4A98EF" w14:textId="57D9F59E" w:rsidR="00031DE3" w:rsidRDefault="00031DE3" w:rsidP="000800F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6ABACB1" w14:textId="77777777" w:rsidR="00031DE3" w:rsidRPr="00F915ED" w:rsidRDefault="00031DE3" w:rsidP="00031DE3">
            <w:pPr>
              <w:jc w:val="both"/>
              <w:rPr>
                <w:rFonts w:ascii="Times New Roman" w:eastAsia="Calibri" w:hAnsi="Times New Roman" w:cs="Times New Roman"/>
              </w:rPr>
            </w:pPr>
            <w:r w:rsidRPr="00F915ED">
              <w:rPr>
                <w:rFonts w:ascii="Times New Roman" w:eastAsia="Times New Roman" w:hAnsi="Times New Roman" w:cs="Times New Roman"/>
                <w:lang w:eastAsia="sk-SK"/>
              </w:rPr>
              <w:t xml:space="preserve">Pri vypracovaní doložky vybraných vplyvov vychádzalo 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>m</w:t>
            </w:r>
            <w:r w:rsidRPr="00F915ED">
              <w:rPr>
                <w:rFonts w:ascii="Times New Roman" w:eastAsia="Times New Roman" w:hAnsi="Times New Roman" w:cs="Times New Roman"/>
                <w:lang w:eastAsia="sk-SK"/>
              </w:rPr>
              <w:t xml:space="preserve">inisterstvo </w:t>
            </w:r>
            <w:r w:rsidRPr="00F915ED">
              <w:rPr>
                <w:rFonts w:ascii="Times New Roman" w:eastAsia="Calibri" w:hAnsi="Times New Roman" w:cs="Times New Roman"/>
              </w:rPr>
              <w:t xml:space="preserve">z dostupných zdrojov Ministerstva financií Slovenskej republiky, z analýz </w:t>
            </w:r>
            <w:r w:rsidRPr="00F915ED">
              <w:rPr>
                <w:rFonts w:ascii="Times New Roman" w:hAnsi="Times New Roman" w:cs="Times New Roman"/>
              </w:rPr>
              <w:t>Finančného riaditeľstva SR</w:t>
            </w:r>
            <w:r w:rsidRPr="00F915ED">
              <w:rPr>
                <w:rFonts w:ascii="Times New Roman" w:eastAsia="Calibri" w:hAnsi="Times New Roman" w:cs="Times New Roman"/>
              </w:rPr>
              <w:t xml:space="preserve"> a analýz Inštitútu finančnej politiky.</w:t>
            </w:r>
          </w:p>
          <w:p w14:paraId="530CBC38" w14:textId="77777777" w:rsidR="00031DE3" w:rsidRPr="00F915ED" w:rsidRDefault="00031DE3" w:rsidP="00031DE3">
            <w:pPr>
              <w:jc w:val="both"/>
              <w:rPr>
                <w:rFonts w:ascii="Times New Roman" w:eastAsia="Calibri" w:hAnsi="Times New Roman" w:cs="Times New Roman"/>
              </w:rPr>
            </w:pPr>
          </w:p>
          <w:p w14:paraId="2A9D99D8" w14:textId="77777777" w:rsidR="00031DE3" w:rsidRPr="00F915ED" w:rsidRDefault="00031DE3" w:rsidP="00031DE3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F915ED">
              <w:rPr>
                <w:rFonts w:ascii="Times New Roman" w:eastAsia="Calibri" w:hAnsi="Times New Roman" w:cs="Times New Roman"/>
                <w:b/>
              </w:rPr>
              <w:t>OECD:</w:t>
            </w:r>
          </w:p>
          <w:p w14:paraId="7B23C3B7" w14:textId="77777777" w:rsidR="00031DE3" w:rsidRPr="00F915ED" w:rsidRDefault="00031DE3" w:rsidP="00031DE3">
            <w:pPr>
              <w:jc w:val="both"/>
              <w:rPr>
                <w:rFonts w:ascii="Times New Roman" w:hAnsi="Times New Roman" w:cs="Times New Roman"/>
              </w:rPr>
            </w:pPr>
            <w:r w:rsidRPr="00F915ED">
              <w:rPr>
                <w:rFonts w:ascii="Times New Roman" w:hAnsi="Times New Roman" w:cs="Times New Roman"/>
              </w:rPr>
              <w:t>Daňové výzvy vyplývajúce z digitalizácie hospodárstva – globálne modelové pravidlá proti narúšaniu základu dane (druhý pilier) schválené 14. decembra 2021 Inkluzívnym rámcom OECD/G20 k</w:t>
            </w:r>
            <w:r>
              <w:rPr>
                <w:rFonts w:ascii="Times New Roman" w:hAnsi="Times New Roman" w:cs="Times New Roman"/>
              </w:rPr>
              <w:t> </w:t>
            </w:r>
            <w:r w:rsidRPr="00F915ED">
              <w:rPr>
                <w:rFonts w:ascii="Times New Roman" w:hAnsi="Times New Roman" w:cs="Times New Roman"/>
              </w:rPr>
              <w:t>BEPS</w:t>
            </w:r>
            <w:r>
              <w:rPr>
                <w:rFonts w:ascii="Times New Roman" w:hAnsi="Times New Roman" w:cs="Times New Roman"/>
              </w:rPr>
              <w:t>:</w:t>
            </w:r>
          </w:p>
          <w:p w14:paraId="261831ED" w14:textId="77777777" w:rsidR="00031DE3" w:rsidRDefault="009748C9" w:rsidP="00031DE3">
            <w:pPr>
              <w:jc w:val="both"/>
              <w:rPr>
                <w:rFonts w:ascii="Times New Roman" w:hAnsi="Times New Roman" w:cs="Times New Roman"/>
              </w:rPr>
            </w:pPr>
            <w:hyperlink r:id="rId11" w:history="1">
              <w:r w:rsidR="00031DE3" w:rsidRPr="00F915ED">
                <w:rPr>
                  <w:rStyle w:val="Hypertextovprepojenie"/>
                  <w:rFonts w:ascii="Times New Roman" w:hAnsi="Times New Roman" w:cs="Times New Roman"/>
                </w:rPr>
                <w:t>https://</w:t>
              </w:r>
            </w:hyperlink>
            <w:hyperlink r:id="rId12" w:history="1">
              <w:r w:rsidR="00031DE3" w:rsidRPr="00F915ED">
                <w:rPr>
                  <w:rStyle w:val="Hypertextovprepojenie"/>
                  <w:rFonts w:ascii="Times New Roman" w:hAnsi="Times New Roman" w:cs="Times New Roman"/>
                </w:rPr>
                <w:t>www.oecd-ilibrary.org/taxation/tax-challenges-arising-from-digitalisation-of-the-economy-global-anti-base-erosion-model-rules-pillar-two_782bac33-en</w:t>
              </w:r>
            </w:hyperlink>
            <w:r w:rsidR="00031DE3" w:rsidRPr="00F915ED">
              <w:rPr>
                <w:rFonts w:ascii="Times New Roman" w:hAnsi="Times New Roman" w:cs="Times New Roman"/>
              </w:rPr>
              <w:tab/>
            </w:r>
          </w:p>
          <w:p w14:paraId="0940210D" w14:textId="77777777" w:rsidR="00031DE3" w:rsidRDefault="00031DE3" w:rsidP="00031DE3">
            <w:pPr>
              <w:jc w:val="both"/>
              <w:rPr>
                <w:rFonts w:ascii="Times New Roman" w:hAnsi="Times New Roman" w:cs="Times New Roman"/>
              </w:rPr>
            </w:pPr>
          </w:p>
          <w:p w14:paraId="7C409BED" w14:textId="77777777" w:rsidR="00031DE3" w:rsidRDefault="00031DE3" w:rsidP="00031DE3">
            <w:pPr>
              <w:jc w:val="both"/>
              <w:rPr>
                <w:rFonts w:ascii="Times New Roman" w:hAnsi="Times New Roman" w:cs="Times New Roman"/>
              </w:rPr>
            </w:pPr>
            <w:r w:rsidRPr="00F915ED">
              <w:rPr>
                <w:rFonts w:ascii="Times New Roman" w:hAnsi="Times New Roman" w:cs="Times New Roman"/>
              </w:rPr>
              <w:t>Daňové výzvy vyplývajúce z digitalizácie hospodárstva – komentár ku globálnym modelovým pravidlám proti narúšaniu základu dane (druhý pilier) schválené 11. marca 2022 Inkluzívnym rámcom OECD/G20 k</w:t>
            </w:r>
            <w:r>
              <w:rPr>
                <w:rFonts w:ascii="Times New Roman" w:hAnsi="Times New Roman" w:cs="Times New Roman"/>
              </w:rPr>
              <w:t> </w:t>
            </w:r>
            <w:r w:rsidRPr="00F915ED">
              <w:rPr>
                <w:rFonts w:ascii="Times New Roman" w:hAnsi="Times New Roman" w:cs="Times New Roman"/>
              </w:rPr>
              <w:t>BEPS</w:t>
            </w:r>
            <w:r>
              <w:rPr>
                <w:rFonts w:ascii="Times New Roman" w:hAnsi="Times New Roman" w:cs="Times New Roman"/>
              </w:rPr>
              <w:t>:</w:t>
            </w:r>
          </w:p>
          <w:p w14:paraId="55AAD9BE" w14:textId="77777777" w:rsidR="00031DE3" w:rsidRDefault="009748C9" w:rsidP="00031DE3">
            <w:pPr>
              <w:jc w:val="both"/>
            </w:pPr>
            <w:hyperlink r:id="rId13" w:history="1">
              <w:r w:rsidR="00031DE3" w:rsidRPr="00F915ED">
                <w:rPr>
                  <w:rStyle w:val="Hypertextovprepojenie"/>
                  <w:rFonts w:ascii="Times New Roman" w:hAnsi="Times New Roman" w:cs="Times New Roman"/>
                </w:rPr>
                <w:t>https://</w:t>
              </w:r>
            </w:hyperlink>
            <w:hyperlink r:id="rId14" w:history="1">
              <w:r w:rsidR="00031DE3" w:rsidRPr="00F915ED">
                <w:rPr>
                  <w:rStyle w:val="Hypertextovprepojenie"/>
                  <w:rFonts w:ascii="Times New Roman" w:hAnsi="Times New Roman" w:cs="Times New Roman"/>
                </w:rPr>
                <w:t>www.oecd-ilibrary.org/taxation/tax-challenges-arising-from-the-digitalisation-of-the-economy-commentary-to-the-global-anti-base-erosion-model-rules-pillar-two-first-edition_1e0e9cd8-en</w:t>
              </w:r>
            </w:hyperlink>
          </w:p>
          <w:p w14:paraId="1670379A" w14:textId="77777777" w:rsidR="00031DE3" w:rsidRPr="00F915ED" w:rsidRDefault="00031DE3" w:rsidP="00031DE3">
            <w:pPr>
              <w:jc w:val="both"/>
              <w:rPr>
                <w:rFonts w:ascii="Times New Roman" w:hAnsi="Times New Roman" w:cs="Times New Roman"/>
              </w:rPr>
            </w:pPr>
          </w:p>
          <w:p w14:paraId="6A11BFCC" w14:textId="77777777" w:rsidR="00031DE3" w:rsidRDefault="00031DE3" w:rsidP="00031DE3">
            <w:pPr>
              <w:jc w:val="both"/>
              <w:rPr>
                <w:rFonts w:ascii="Times New Roman" w:hAnsi="Times New Roman" w:cs="Times New Roman"/>
              </w:rPr>
            </w:pPr>
            <w:r w:rsidRPr="00F915ED">
              <w:rPr>
                <w:rFonts w:ascii="Times New Roman" w:hAnsi="Times New Roman" w:cs="Times New Roman"/>
              </w:rPr>
              <w:t>Administratívne usmernenie z júna 2024</w:t>
            </w:r>
            <w:r>
              <w:rPr>
                <w:rFonts w:ascii="Times New Roman" w:hAnsi="Times New Roman" w:cs="Times New Roman"/>
              </w:rPr>
              <w:t>:</w:t>
            </w:r>
          </w:p>
          <w:p w14:paraId="45F7DF6F" w14:textId="77777777" w:rsidR="00031DE3" w:rsidRPr="00F915ED" w:rsidRDefault="009748C9" w:rsidP="00031DE3">
            <w:pPr>
              <w:jc w:val="both"/>
              <w:rPr>
                <w:rFonts w:ascii="Times New Roman" w:hAnsi="Times New Roman" w:cs="Times New Roman"/>
              </w:rPr>
            </w:pPr>
            <w:hyperlink r:id="rId15" w:history="1">
              <w:r w:rsidR="00031DE3" w:rsidRPr="00F915ED">
                <w:rPr>
                  <w:rStyle w:val="Hypertextovprepojenie"/>
                  <w:rFonts w:ascii="Times New Roman" w:hAnsi="Times New Roman" w:cs="Times New Roman"/>
                </w:rPr>
                <w:t>https://www.oecd.org/content/dam/oecd/en/topics/policy-sub-issues/global-minimum-tax/administrative-guidance-global-anti-base-erosion-rules-pillar-two-june-2024.pdf</w:t>
              </w:r>
            </w:hyperlink>
          </w:p>
          <w:p w14:paraId="5143757F" w14:textId="6950B3D5" w:rsidR="00031DE3" w:rsidRDefault="00031DE3" w:rsidP="00031DE3">
            <w:pPr>
              <w:jc w:val="both"/>
              <w:rPr>
                <w:rFonts w:ascii="Times New Roman" w:hAnsi="Times New Roman" w:cs="Times New Roman"/>
              </w:rPr>
            </w:pPr>
          </w:p>
          <w:p w14:paraId="6A8E3181" w14:textId="31278BAE" w:rsidR="002F1C52" w:rsidRDefault="002F1C52" w:rsidP="002F1C52">
            <w:pPr>
              <w:jc w:val="both"/>
              <w:rPr>
                <w:rFonts w:ascii="Times New Roman" w:hAnsi="Times New Roman" w:cs="Times New Roman"/>
              </w:rPr>
            </w:pPr>
            <w:r w:rsidRPr="00F915ED">
              <w:rPr>
                <w:rFonts w:ascii="Times New Roman" w:hAnsi="Times New Roman" w:cs="Times New Roman"/>
              </w:rPr>
              <w:t>Administratívne usmernenie z j</w:t>
            </w:r>
            <w:r>
              <w:rPr>
                <w:rFonts w:ascii="Times New Roman" w:hAnsi="Times New Roman" w:cs="Times New Roman"/>
              </w:rPr>
              <w:t>anuára</w:t>
            </w:r>
            <w:r w:rsidRPr="00F915ED">
              <w:rPr>
                <w:rFonts w:ascii="Times New Roman" w:hAnsi="Times New Roman" w:cs="Times New Roman"/>
              </w:rPr>
              <w:t xml:space="preserve"> 202</w:t>
            </w:r>
            <w:r>
              <w:rPr>
                <w:rFonts w:ascii="Times New Roman" w:hAnsi="Times New Roman" w:cs="Times New Roman"/>
              </w:rPr>
              <w:t>5:</w:t>
            </w:r>
          </w:p>
          <w:p w14:paraId="580FD55C" w14:textId="63E40E19" w:rsidR="002F1C52" w:rsidRDefault="009748C9" w:rsidP="00031DE3">
            <w:pPr>
              <w:jc w:val="both"/>
              <w:rPr>
                <w:rFonts w:ascii="Times New Roman" w:hAnsi="Times New Roman" w:cs="Times New Roman"/>
              </w:rPr>
            </w:pPr>
            <w:hyperlink r:id="rId16" w:history="1">
              <w:r w:rsidR="000C5ED1" w:rsidRPr="002A0D44">
                <w:rPr>
                  <w:rStyle w:val="Hypertextovprepojenie"/>
                  <w:rFonts w:ascii="Times New Roman" w:hAnsi="Times New Roman" w:cs="Times New Roman"/>
                </w:rPr>
                <w:t>https://www.oecd.org/content/dam/oecd/en/topics/policy-sub-issues/global-minimum-tax/administrative-guidance-article-9-1-globe-rules-pillar-two-january-2025.pdf</w:t>
              </w:r>
            </w:hyperlink>
            <w:r w:rsidR="000C5ED1">
              <w:rPr>
                <w:rFonts w:ascii="Times New Roman" w:hAnsi="Times New Roman" w:cs="Times New Roman"/>
              </w:rPr>
              <w:t xml:space="preserve"> </w:t>
            </w:r>
          </w:p>
          <w:p w14:paraId="2757B381" w14:textId="77777777" w:rsidR="002F1C52" w:rsidRPr="00F915ED" w:rsidRDefault="002F1C52" w:rsidP="00031DE3">
            <w:pPr>
              <w:jc w:val="both"/>
              <w:rPr>
                <w:rFonts w:ascii="Times New Roman" w:hAnsi="Times New Roman" w:cs="Times New Roman"/>
              </w:rPr>
            </w:pPr>
          </w:p>
          <w:p w14:paraId="23FF709D" w14:textId="77777777" w:rsidR="00031DE3" w:rsidRPr="00F915ED" w:rsidRDefault="00031DE3" w:rsidP="00031DE3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F915ED">
              <w:rPr>
                <w:rFonts w:ascii="Times New Roman" w:hAnsi="Times New Roman" w:cs="Times New Roman"/>
                <w:b/>
              </w:rPr>
              <w:t>EÚ:</w:t>
            </w:r>
          </w:p>
          <w:p w14:paraId="19900AF5" w14:textId="77777777" w:rsidR="00031DE3" w:rsidRPr="00F915ED" w:rsidRDefault="00031DE3" w:rsidP="00031DE3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F915ED">
              <w:rPr>
                <w:rFonts w:ascii="Times New Roman" w:eastAsia="Times New Roman" w:hAnsi="Times New Roman" w:cs="Times New Roman"/>
                <w:lang w:eastAsia="sk-SK"/>
              </w:rPr>
              <w:t>Smernica Rady (EÚ) 2025/872 zo 14. apríla 2025, ktorou sa mení smernica 2011/16/EÚ o administratívnej spolupráci v oblasti daní (Ú. v. EÚ L, 2025/872, 6.5.2025)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>:</w:t>
            </w:r>
          </w:p>
          <w:p w14:paraId="46011D43" w14:textId="77777777" w:rsidR="00031DE3" w:rsidRPr="00F915ED" w:rsidRDefault="009748C9" w:rsidP="00031DE3">
            <w:pPr>
              <w:spacing w:after="120"/>
              <w:jc w:val="both"/>
              <w:rPr>
                <w:rFonts w:ascii="Times New Roman" w:hAnsi="Times New Roman" w:cs="Times New Roman"/>
                <w:bCs/>
              </w:rPr>
            </w:pPr>
            <w:hyperlink r:id="rId17" w:history="1">
              <w:r w:rsidR="00031DE3" w:rsidRPr="00F915ED">
                <w:rPr>
                  <w:rStyle w:val="Hypertextovprepojenie"/>
                  <w:rFonts w:ascii="Times New Roman" w:hAnsi="Times New Roman" w:cs="Times New Roman"/>
                  <w:bCs/>
                </w:rPr>
                <w:t>https://eur-lex.europa.eu/legal-content/SK/TXT/?uri=OJ:L_202500872</w:t>
              </w:r>
            </w:hyperlink>
            <w:r w:rsidR="00031DE3" w:rsidRPr="00F915ED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33CC7F63" w14:textId="77777777" w:rsidR="00031DE3" w:rsidRPr="00F915ED" w:rsidRDefault="00031DE3" w:rsidP="00031DE3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F915ED">
              <w:rPr>
                <w:rFonts w:ascii="Times New Roman" w:eastAsia="Times New Roman" w:hAnsi="Times New Roman" w:cs="Times New Roman"/>
                <w:lang w:eastAsia="sk-SK"/>
              </w:rPr>
              <w:t>Oznámenie Komisie: Rozhodnutie o odklade uplatňovania pravidla zahrnutia príjmov a pravidla pre nedostatočne zdanené zisky podľa článku 50 smernice o druhom pilieri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>:</w:t>
            </w:r>
            <w:r w:rsidRPr="00F915ED">
              <w:rPr>
                <w:rFonts w:ascii="Times New Roman" w:eastAsia="Times New Roman" w:hAnsi="Times New Roman" w:cs="Times New Roman"/>
                <w:lang w:eastAsia="sk-SK"/>
              </w:rPr>
              <w:t xml:space="preserve"> </w:t>
            </w:r>
          </w:p>
          <w:p w14:paraId="6E1962EF" w14:textId="29BC526F" w:rsidR="001B23B7" w:rsidRPr="00612E08" w:rsidRDefault="009748C9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hyperlink r:id="rId18" w:history="1">
              <w:r w:rsidR="00031DE3" w:rsidRPr="00F915ED">
                <w:rPr>
                  <w:rStyle w:val="Hypertextovprepojenie"/>
                  <w:rFonts w:ascii="Times New Roman" w:eastAsia="Times New Roman" w:hAnsi="Times New Roman" w:cs="Times New Roman"/>
                  <w:lang w:eastAsia="sk-SK"/>
                </w:rPr>
                <w:t>https://eur-lex.europa.eu/legal-content/EN/TXT/?</w:t>
              </w:r>
            </w:hyperlink>
            <w:hyperlink r:id="rId19" w:history="1">
              <w:r w:rsidR="00031DE3" w:rsidRPr="00F915ED">
                <w:rPr>
                  <w:rStyle w:val="Hypertextovprepojenie"/>
                  <w:rFonts w:ascii="Times New Roman" w:eastAsia="Times New Roman" w:hAnsi="Times New Roman" w:cs="Times New Roman"/>
                  <w:lang w:eastAsia="sk-SK"/>
                </w:rPr>
                <w:t>uri=OJ%3AC_202301536</w:t>
              </w:r>
            </w:hyperlink>
          </w:p>
          <w:p w14:paraId="5EF5649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3A6476E2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61E0DA6" w14:textId="021CAD3A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 PPK č.</w:t>
            </w:r>
            <w:r w:rsidR="00884A71">
              <w:rPr>
                <w:rFonts w:ascii="Times New Roman" w:eastAsia="Calibri" w:hAnsi="Times New Roman" w:cs="Times New Roman"/>
                <w:b/>
              </w:rPr>
              <w:t xml:space="preserve"> 084/2025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49FE4330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564C62FD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318BE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3D95D3E1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76D0E18D" w14:textId="77777777" w:rsidR="001B23B7" w:rsidRPr="00612E08" w:rsidRDefault="009748C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4669C6BF" w14:textId="77777777" w:rsidR="001B23B7" w:rsidRPr="00612E08" w:rsidRDefault="009748C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62FA7636" w14:textId="07B9817E" w:rsidR="001B23B7" w:rsidRPr="00612E08" w:rsidRDefault="009748C9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84A71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37EE258C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46233849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E236410" w14:textId="77777777" w:rsidR="00884A71" w:rsidRPr="00884A71" w:rsidRDefault="00884A71" w:rsidP="00884A71">
            <w:pPr>
              <w:spacing w:line="20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884A71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K doložke vybraných vplyvov</w:t>
            </w:r>
          </w:p>
          <w:p w14:paraId="2EC2C601" w14:textId="77777777" w:rsidR="00884A71" w:rsidRPr="00884A71" w:rsidRDefault="00884A71" w:rsidP="00884A71">
            <w:pPr>
              <w:spacing w:line="200" w:lineRule="atLeast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884A71">
              <w:rPr>
                <w:rFonts w:ascii="Times New Roman" w:eastAsia="Times New Roman" w:hAnsi="Times New Roman" w:cs="Times New Roman"/>
                <w:bCs/>
                <w:lang w:eastAsia="ar-SA"/>
              </w:rPr>
              <w:t>Komisia považuje za potrebné v bode 9. doložky (Vybrané vplyvy materiálu) krížikom („x“) označiť žiadne sociálne vplyvy.</w:t>
            </w:r>
          </w:p>
          <w:p w14:paraId="0132E883" w14:textId="0AF5B5C5" w:rsidR="00884A71" w:rsidRDefault="00884A71" w:rsidP="00884A71">
            <w:pPr>
              <w:spacing w:line="200" w:lineRule="atLeast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884A71">
              <w:rPr>
                <w:rFonts w:ascii="Times New Roman" w:eastAsia="Times New Roman" w:hAnsi="Times New Roman" w:cs="Times New Roman"/>
                <w:bCs/>
                <w:u w:val="single"/>
                <w:lang w:eastAsia="ar-SA"/>
              </w:rPr>
              <w:t>Odôvodnenie:</w:t>
            </w:r>
            <w:r w:rsidRPr="00884A71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Predkladacia správa aj všeobecná časť dôvodovej správy konštatujú, že návrh zákona by nemal sociálne vplyvy. V zmysle bodu 9. Jednotnej metodiky na posudzovanie vybraných vplyvov (Vplyvy navrhovaného materiálu), ak predkladaný materiál nemá žiadny z vybraných vplyvov alebo vplyv je marginálny, predkladateľ v doložke označí krížikom žiadny vplyv.</w:t>
            </w:r>
          </w:p>
          <w:p w14:paraId="4CCE6DFE" w14:textId="1B612E92" w:rsidR="00884A71" w:rsidRPr="00884A71" w:rsidRDefault="00884A71" w:rsidP="00884A71">
            <w:pPr>
              <w:spacing w:line="200" w:lineRule="atLeast"/>
              <w:rPr>
                <w:rFonts w:ascii="Times New Roman" w:eastAsia="Times New Roman" w:hAnsi="Times New Roman" w:cs="Times New Roman"/>
                <w:bCs/>
                <w:u w:val="single"/>
                <w:lang w:eastAsia="ar-SA"/>
              </w:rPr>
            </w:pPr>
            <w:r w:rsidRPr="00884A71">
              <w:rPr>
                <w:rFonts w:ascii="Times New Roman" w:eastAsia="Times New Roman" w:hAnsi="Times New Roman" w:cs="Times New Roman"/>
                <w:bCs/>
                <w:u w:val="single"/>
                <w:lang w:eastAsia="ar-SA"/>
              </w:rPr>
              <w:t>Vyhodnotenie</w:t>
            </w:r>
            <w:r>
              <w:rPr>
                <w:rFonts w:ascii="Times New Roman" w:eastAsia="Times New Roman" w:hAnsi="Times New Roman" w:cs="Times New Roman"/>
                <w:bCs/>
                <w:u w:val="single"/>
                <w:lang w:eastAsia="ar-SA"/>
              </w:rPr>
              <w:t xml:space="preserve"> pripomienky</w:t>
            </w:r>
            <w:r w:rsidRPr="00884A71">
              <w:rPr>
                <w:rFonts w:ascii="Times New Roman" w:eastAsia="Times New Roman" w:hAnsi="Times New Roman" w:cs="Times New Roman"/>
                <w:bCs/>
                <w:u w:val="single"/>
                <w:lang w:eastAsia="ar-SA"/>
              </w:rPr>
              <w:t>:</w:t>
            </w:r>
          </w:p>
          <w:p w14:paraId="0052C206" w14:textId="2D74D31D" w:rsidR="00884A71" w:rsidRPr="00884A71" w:rsidRDefault="00884A71" w:rsidP="00884A71">
            <w:pPr>
              <w:spacing w:line="200" w:lineRule="atLeast"/>
              <w:rPr>
                <w:rFonts w:ascii="Times New Roman" w:eastAsia="Times New Roman" w:hAnsi="Times New Roman" w:cs="Times New Roman"/>
                <w:bCs/>
                <w:u w:val="single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Pripomienka akceptovaná. V bode 9 doložky vyznačené žiadne sociálne vplyvy. </w:t>
            </w:r>
          </w:p>
          <w:p w14:paraId="190E9C65" w14:textId="77777777" w:rsidR="00884A71" w:rsidRPr="00884A71" w:rsidRDefault="00884A71" w:rsidP="00884A71">
            <w:pPr>
              <w:spacing w:line="20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14:paraId="60928803" w14:textId="77777777" w:rsidR="00884A71" w:rsidRPr="00884A71" w:rsidRDefault="00884A71" w:rsidP="00884A71">
            <w:pPr>
              <w:spacing w:line="20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884A71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K vplyvom na podnikateľské prostredie</w:t>
            </w:r>
          </w:p>
          <w:p w14:paraId="7078BEB4" w14:textId="77777777" w:rsidR="00884A71" w:rsidRPr="00884A71" w:rsidRDefault="00884A71" w:rsidP="00884A71">
            <w:pPr>
              <w:spacing w:line="200" w:lineRule="atLeast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884A71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Komisia žiada predkladateľa o vyznačenie vplyvov na podnikateľské prostredie </w:t>
            </w:r>
            <w:r w:rsidRPr="00884A71">
              <w:rPr>
                <w:rFonts w:ascii="Times New Roman" w:eastAsia="Times New Roman" w:hAnsi="Times New Roman" w:cs="Times New Roman"/>
                <w:bCs/>
                <w:lang w:eastAsia="ar-SA"/>
              </w:rPr>
              <w:br/>
              <w:t xml:space="preserve">v doložke vybraných vplyvov a vypracovanie Analýzy vplyvov na podnikateľské prostredie. </w:t>
            </w:r>
          </w:p>
          <w:p w14:paraId="6934D70F" w14:textId="64D6C550" w:rsidR="00884A71" w:rsidRDefault="00884A71" w:rsidP="00884A71">
            <w:pPr>
              <w:spacing w:line="200" w:lineRule="atLeast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884A71">
              <w:rPr>
                <w:rFonts w:ascii="Times New Roman" w:eastAsia="Times New Roman" w:hAnsi="Times New Roman" w:cs="Times New Roman"/>
                <w:bCs/>
                <w:u w:val="single"/>
                <w:lang w:eastAsia="ar-SA"/>
              </w:rPr>
              <w:t>Odôvodnenie:</w:t>
            </w:r>
            <w:r w:rsidRPr="00884A71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Návrh zákona zavádza vplyvy na subjekty nadnárodných skupín podnikov a veľkých vnútroštátnych skupín, ktoré je potrebné uviesť v príslušnej analýze vplyvov. Materiálom sa zvyšuje komplexnosť pri posudzovaní daňovej transparentnosti, pri priradení zahrnutých daní hybridným a reverzným hybridným subjektom. Zároveň sa zavádza výnimka pre daň z príjmov vybranú od vlastníka hybridného subjektu alebo reverzného hybridného subjektu z príjmov zo zdrojov na území SR podľa zákona o dani z príjmov. Ďalej sa zavádzajú komplexné pravidlá sledovania a opätovného zahrnutia odložených daňových záväzkov s možnosťou využitia metód FIFO alebo LIFO. Zavádza sa štruktúrovaný formulár a špecifické požiadavky na obsah oznamovacej povinnosti pre dotknuté subjekty. A v neposlednom rade nepriamy vplyv na dotknuté subjekty v súvislosti s administratívnou spoluprácou správcov dane pri opravách a presadzovaní pravidiel týkajúcich sa oznámení </w:t>
            </w:r>
            <w:r w:rsidRPr="00884A71">
              <w:rPr>
                <w:rFonts w:ascii="Times New Roman" w:eastAsia="Times New Roman" w:hAnsi="Times New Roman" w:cs="Times New Roman"/>
                <w:bCs/>
                <w:lang w:eastAsia="ar-SA"/>
              </w:rPr>
              <w:br/>
              <w:t xml:space="preserve">s informáciami na určenie dorovnávacej dane. V prípade potreby konzultácie </w:t>
            </w:r>
            <w:r w:rsidRPr="00884A71">
              <w:rPr>
                <w:rFonts w:ascii="Times New Roman" w:eastAsia="Times New Roman" w:hAnsi="Times New Roman" w:cs="Times New Roman"/>
                <w:bCs/>
                <w:lang w:eastAsia="ar-SA"/>
              </w:rPr>
              <w:br/>
              <w:t xml:space="preserve">a vypĺňania Analýzy vplyvov na podnikateľské prostredie tak môže predkladateľ urobiť prostredníctvom mailu </w:t>
            </w:r>
            <w:hyperlink r:id="rId20" w:history="1">
              <w:r w:rsidRPr="00884A71">
                <w:rPr>
                  <w:rFonts w:ascii="Times New Roman" w:eastAsia="Times New Roman" w:hAnsi="Times New Roman" w:cs="Times New Roman"/>
                  <w:bCs/>
                  <w:color w:val="0563C1" w:themeColor="hyperlink"/>
                  <w:u w:val="single"/>
                  <w:lang w:eastAsia="ar-SA"/>
                </w:rPr>
                <w:t>1in2out@mhsr.sk</w:t>
              </w:r>
            </w:hyperlink>
            <w:r w:rsidRPr="00884A71">
              <w:rPr>
                <w:rFonts w:ascii="Times New Roman" w:eastAsia="Times New Roman" w:hAnsi="Times New Roman" w:cs="Times New Roman"/>
                <w:bCs/>
                <w:lang w:eastAsia="ar-SA"/>
              </w:rPr>
              <w:t>.</w:t>
            </w:r>
          </w:p>
          <w:p w14:paraId="5CE219DE" w14:textId="6AC97B44" w:rsidR="00884A71" w:rsidRPr="00884A71" w:rsidRDefault="00884A71" w:rsidP="00884A71">
            <w:pPr>
              <w:spacing w:line="200" w:lineRule="atLeast"/>
              <w:jc w:val="both"/>
              <w:rPr>
                <w:rFonts w:ascii="Times New Roman" w:eastAsia="Times New Roman" w:hAnsi="Times New Roman" w:cs="Times New Roman"/>
                <w:bCs/>
                <w:u w:val="single"/>
                <w:lang w:eastAsia="ar-SA"/>
              </w:rPr>
            </w:pPr>
            <w:r w:rsidRPr="00884A71">
              <w:rPr>
                <w:rFonts w:ascii="Times New Roman" w:eastAsia="Times New Roman" w:hAnsi="Times New Roman" w:cs="Times New Roman"/>
                <w:bCs/>
                <w:u w:val="single"/>
                <w:lang w:eastAsia="ar-SA"/>
              </w:rPr>
              <w:t>Vyhodnotenie pripomienky:</w:t>
            </w:r>
          </w:p>
          <w:p w14:paraId="2743315D" w14:textId="77777777" w:rsidR="001159F8" w:rsidRDefault="00884A71" w:rsidP="00DC462F">
            <w:pPr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Pripomienka neakceptovaná. </w:t>
            </w:r>
          </w:p>
          <w:p w14:paraId="73F2FD75" w14:textId="45A2C5BF" w:rsidR="00C44777" w:rsidRDefault="00C44777" w:rsidP="00DC462F">
            <w:pPr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Vplyvy na podnikateľské subjekty </w:t>
            </w:r>
            <w:r w:rsidRPr="00884A71">
              <w:rPr>
                <w:rFonts w:ascii="Times New Roman" w:eastAsia="Times New Roman" w:hAnsi="Times New Roman" w:cs="Times New Roman"/>
                <w:bCs/>
                <w:lang w:eastAsia="ar-SA"/>
              </w:rPr>
              <w:t>nadnárodných skupín podnikov a veľkých vnútroštátnych skupín</w:t>
            </w: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boli uvedené v analýze vplyvov na podnikateľské prostredie pri predložení zákona účinného od 31. 12. 2023. </w:t>
            </w:r>
          </w:p>
          <w:p w14:paraId="5AB9A3C5" w14:textId="5F08A98F" w:rsidR="00E70AB9" w:rsidRPr="005F570D" w:rsidRDefault="00E70AB9" w:rsidP="00DC462F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  <w:lang w:eastAsia="ar-SA"/>
              </w:rPr>
            </w:pPr>
            <w:r w:rsidRPr="005F570D">
              <w:rPr>
                <w:rFonts w:ascii="Times New Roman" w:eastAsia="Times New Roman" w:hAnsi="Times New Roman" w:cs="Times New Roman"/>
                <w:bCs/>
                <w:u w:val="single"/>
                <w:lang w:eastAsia="ar-SA"/>
              </w:rPr>
              <w:t>K posudzovaniu daňovej transparentnosti, ustanoveniam týkajúcim sa hybridných a reverzných hybridných subjektov, sledovaniu a opätovnému zahrnutiu odložených daňových záväzkov:</w:t>
            </w:r>
          </w:p>
          <w:p w14:paraId="66F2D2F0" w14:textId="27C29489" w:rsidR="001159F8" w:rsidRDefault="00E70AB9" w:rsidP="00DC462F">
            <w:pPr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>Týmito</w:t>
            </w:r>
            <w:r w:rsidR="00884A71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úpravami </w:t>
            </w: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>sa</w:t>
            </w:r>
            <w:r w:rsidR="00884A71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 spresňujú už zavedené pravidlá v súlade s administratívnymi usmerneniami OECD</w:t>
            </w:r>
            <w:r w:rsidR="001159F8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, nedochádza k zvýšeniu komplexnosti, ale naopak </w:t>
            </w: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daňovníkom sa </w:t>
            </w:r>
            <w:r w:rsidR="00C67A0C">
              <w:rPr>
                <w:rFonts w:ascii="Times New Roman" w:eastAsia="Times New Roman" w:hAnsi="Times New Roman" w:cs="Times New Roman"/>
                <w:bCs/>
                <w:lang w:eastAsia="ar-SA"/>
              </w:rPr>
              <w:t>zvyšuje právna istota</w:t>
            </w:r>
            <w:r w:rsidR="001159F8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pri aplikáci</w:t>
            </w: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>i</w:t>
            </w:r>
            <w:r w:rsidR="001159F8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už zavedených pravidiel</w:t>
            </w:r>
            <w:r w:rsidR="00884A71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. </w:t>
            </w:r>
          </w:p>
          <w:p w14:paraId="0707191A" w14:textId="77777777" w:rsidR="001159F8" w:rsidRDefault="001159F8" w:rsidP="00DC462F">
            <w:pPr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14:paraId="282271C8" w14:textId="3D47B124" w:rsidR="001159F8" w:rsidRPr="005F570D" w:rsidRDefault="001159F8" w:rsidP="00DC462F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  <w:lang w:eastAsia="ar-SA"/>
              </w:rPr>
            </w:pPr>
            <w:r w:rsidRPr="005F570D">
              <w:rPr>
                <w:rFonts w:ascii="Times New Roman" w:eastAsia="Times New Roman" w:hAnsi="Times New Roman" w:cs="Times New Roman"/>
                <w:bCs/>
                <w:u w:val="single"/>
                <w:lang w:eastAsia="ar-SA"/>
              </w:rPr>
              <w:t>K štruktúrovanému formuláru:</w:t>
            </w:r>
          </w:p>
          <w:p w14:paraId="3D5AE64E" w14:textId="5C6FE490" w:rsidR="001159F8" w:rsidRDefault="008A22C0" w:rsidP="00DC462F">
            <w:pPr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>P</w:t>
            </w:r>
            <w:r w:rsidR="001159F8">
              <w:rPr>
                <w:rFonts w:ascii="Times New Roman" w:eastAsia="Times New Roman" w:hAnsi="Times New Roman" w:cs="Times New Roman"/>
                <w:bCs/>
                <w:lang w:eastAsia="ar-SA"/>
              </w:rPr>
              <w:t>ovinnosť podávania informácií vyplýva z</w:t>
            </w: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> platného a účinného</w:t>
            </w:r>
            <w:r w:rsidR="001159F8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zákona už v súčasnosti, pričom má formu všeobecného podania. Novelou sa zavádza štruktúrovaná forma tohto podania, čím sa </w:t>
            </w: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pre správcu dane </w:t>
            </w:r>
            <w:r w:rsidR="001159F8">
              <w:rPr>
                <w:rFonts w:ascii="Times New Roman" w:eastAsia="Times New Roman" w:hAnsi="Times New Roman" w:cs="Times New Roman"/>
                <w:bCs/>
                <w:lang w:eastAsia="ar-SA"/>
              </w:rPr>
              <w:t>zabezpečí efektívnejší zber a využívanie informácií.</w:t>
            </w: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Zároveň je štruktúrovaná forma podania užívateľsky prívetivá pre daňovníkov.</w:t>
            </w:r>
          </w:p>
          <w:p w14:paraId="104D98A5" w14:textId="77777777" w:rsidR="001159F8" w:rsidRDefault="001159F8" w:rsidP="00DC462F">
            <w:pPr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14:paraId="042D29DE" w14:textId="6CE2B935" w:rsidR="001159F8" w:rsidRPr="005F570D" w:rsidRDefault="001159F8" w:rsidP="00DC462F">
            <w:pPr>
              <w:jc w:val="both"/>
              <w:rPr>
                <w:rFonts w:ascii="Times New Roman" w:eastAsia="Times New Roman" w:hAnsi="Times New Roman" w:cs="Times New Roman"/>
                <w:bCs/>
                <w:u w:val="single"/>
                <w:lang w:eastAsia="ar-SA"/>
              </w:rPr>
            </w:pPr>
            <w:r w:rsidRPr="005F570D">
              <w:rPr>
                <w:rFonts w:ascii="Times New Roman" w:eastAsia="Times New Roman" w:hAnsi="Times New Roman" w:cs="Times New Roman"/>
                <w:bCs/>
                <w:u w:val="single"/>
                <w:lang w:eastAsia="ar-SA"/>
              </w:rPr>
              <w:lastRenderedPageBreak/>
              <w:t>K súčinnosti daňovníka pri oprave chýb:</w:t>
            </w:r>
          </w:p>
          <w:p w14:paraId="7171F25B" w14:textId="50B797C0" w:rsidR="001159F8" w:rsidRDefault="008A22C0" w:rsidP="00DC462F">
            <w:pPr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>Komisiou predpokladaná z</w:t>
            </w:r>
            <w:r w:rsidR="001159F8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áťaž nie je </w:t>
            </w:r>
            <w:r w:rsidR="00E70AB9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spôsobená </w:t>
            </w: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>návrhom zákona</w:t>
            </w:r>
            <w:r w:rsidR="00E70AB9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, ale nesprávnou aplikáciou ustanovení zákona zo strany daňovníka. Ak bude daňovník postupovať v súlade s legislatívou, nevznikne </w:t>
            </w:r>
            <w:r w:rsidR="00C67A0C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mu </w:t>
            </w:r>
            <w:r w:rsidR="00E70AB9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žiadna dodatočná záťaž. </w:t>
            </w:r>
          </w:p>
          <w:p w14:paraId="54395026" w14:textId="77777777" w:rsidR="005765E6" w:rsidRDefault="005765E6" w:rsidP="00DC462F">
            <w:pPr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14:paraId="50332CD9" w14:textId="673D8F73" w:rsidR="001B23B7" w:rsidRPr="00612E08" w:rsidRDefault="00DC462F" w:rsidP="00E70AB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612E08" w:rsidRPr="00612E08" w14:paraId="4994A3C9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4B7E5BC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6BED8118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665C277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6BFD8BD9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7862EB13" w14:textId="77777777" w:rsidR="001B23B7" w:rsidRPr="00612E08" w:rsidRDefault="009748C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05E138DC" w14:textId="77777777" w:rsidR="001B23B7" w:rsidRPr="00612E08" w:rsidRDefault="009748C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2C4EF443" w14:textId="77777777" w:rsidR="001B23B7" w:rsidRPr="00612E08" w:rsidRDefault="009748C9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8EAF80B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93AB3B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C0D0E6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117E581A" w14:textId="77777777" w:rsidR="00725CD3" w:rsidRPr="00612E08" w:rsidRDefault="00725CD3"/>
    <w:sectPr w:rsidR="00725CD3" w:rsidRPr="00612E08" w:rsidSect="001E3562">
      <w:headerReference w:type="default" r:id="rId21"/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B3887" w14:textId="77777777" w:rsidR="00D03D5E" w:rsidRDefault="00D03D5E" w:rsidP="001B23B7">
      <w:pPr>
        <w:spacing w:after="0" w:line="240" w:lineRule="auto"/>
      </w:pPr>
      <w:r>
        <w:separator/>
      </w:r>
    </w:p>
  </w:endnote>
  <w:endnote w:type="continuationSeparator" w:id="0">
    <w:p w14:paraId="5D87E5C1" w14:textId="77777777" w:rsidR="00D03D5E" w:rsidRDefault="00D03D5E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ABA57A1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2E0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9C0715D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6A7D6" w14:textId="77777777" w:rsidR="00D03D5E" w:rsidRDefault="00D03D5E" w:rsidP="001B23B7">
      <w:pPr>
        <w:spacing w:after="0" w:line="240" w:lineRule="auto"/>
      </w:pPr>
      <w:r>
        <w:separator/>
      </w:r>
    </w:p>
  </w:footnote>
  <w:footnote w:type="continuationSeparator" w:id="0">
    <w:p w14:paraId="3DD3AF63" w14:textId="77777777" w:rsidR="00D03D5E" w:rsidRDefault="00D03D5E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818A9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4EF70F31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985938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31DE3"/>
    <w:rsid w:val="00043706"/>
    <w:rsid w:val="00085504"/>
    <w:rsid w:val="00097069"/>
    <w:rsid w:val="000C5ED1"/>
    <w:rsid w:val="000D348F"/>
    <w:rsid w:val="000F2BE9"/>
    <w:rsid w:val="00113AE4"/>
    <w:rsid w:val="001159F8"/>
    <w:rsid w:val="0015394C"/>
    <w:rsid w:val="00156064"/>
    <w:rsid w:val="00176FA9"/>
    <w:rsid w:val="00187182"/>
    <w:rsid w:val="001B23B7"/>
    <w:rsid w:val="001C5F35"/>
    <w:rsid w:val="001E1213"/>
    <w:rsid w:val="001E3562"/>
    <w:rsid w:val="001F2CF7"/>
    <w:rsid w:val="00203EE3"/>
    <w:rsid w:val="002243BB"/>
    <w:rsid w:val="0023360B"/>
    <w:rsid w:val="00243652"/>
    <w:rsid w:val="002F1C52"/>
    <w:rsid w:val="002F6ADB"/>
    <w:rsid w:val="003145AE"/>
    <w:rsid w:val="00345F5F"/>
    <w:rsid w:val="003553ED"/>
    <w:rsid w:val="003A057B"/>
    <w:rsid w:val="003A381E"/>
    <w:rsid w:val="003A5D26"/>
    <w:rsid w:val="003C02FD"/>
    <w:rsid w:val="00411898"/>
    <w:rsid w:val="004140B2"/>
    <w:rsid w:val="00440577"/>
    <w:rsid w:val="00492A1F"/>
    <w:rsid w:val="0049476D"/>
    <w:rsid w:val="004A0349"/>
    <w:rsid w:val="004A4383"/>
    <w:rsid w:val="004C51CE"/>
    <w:rsid w:val="004C6831"/>
    <w:rsid w:val="00546193"/>
    <w:rsid w:val="00551E60"/>
    <w:rsid w:val="005765E6"/>
    <w:rsid w:val="005832C2"/>
    <w:rsid w:val="00591EC6"/>
    <w:rsid w:val="00591ED3"/>
    <w:rsid w:val="005A1060"/>
    <w:rsid w:val="005F570D"/>
    <w:rsid w:val="00612E08"/>
    <w:rsid w:val="00615035"/>
    <w:rsid w:val="00652437"/>
    <w:rsid w:val="006C04E5"/>
    <w:rsid w:val="006F33D9"/>
    <w:rsid w:val="006F678E"/>
    <w:rsid w:val="006F6B62"/>
    <w:rsid w:val="00720322"/>
    <w:rsid w:val="00725CD3"/>
    <w:rsid w:val="0075197E"/>
    <w:rsid w:val="00755968"/>
    <w:rsid w:val="00761208"/>
    <w:rsid w:val="007712DE"/>
    <w:rsid w:val="007756BE"/>
    <w:rsid w:val="0078375A"/>
    <w:rsid w:val="007B40C1"/>
    <w:rsid w:val="007C5312"/>
    <w:rsid w:val="007D6F2C"/>
    <w:rsid w:val="007F587A"/>
    <w:rsid w:val="0080042A"/>
    <w:rsid w:val="00827E27"/>
    <w:rsid w:val="00865E81"/>
    <w:rsid w:val="008801B5"/>
    <w:rsid w:val="00881E07"/>
    <w:rsid w:val="00884A71"/>
    <w:rsid w:val="008A1E08"/>
    <w:rsid w:val="008A22C0"/>
    <w:rsid w:val="008B222D"/>
    <w:rsid w:val="008C79B7"/>
    <w:rsid w:val="009431E3"/>
    <w:rsid w:val="009475F5"/>
    <w:rsid w:val="00950942"/>
    <w:rsid w:val="009717F5"/>
    <w:rsid w:val="009748C9"/>
    <w:rsid w:val="0098472E"/>
    <w:rsid w:val="009A4D0C"/>
    <w:rsid w:val="009C424C"/>
    <w:rsid w:val="009E09F7"/>
    <w:rsid w:val="009F4832"/>
    <w:rsid w:val="00A340BB"/>
    <w:rsid w:val="00A60413"/>
    <w:rsid w:val="00A7788F"/>
    <w:rsid w:val="00AC30D6"/>
    <w:rsid w:val="00AD657A"/>
    <w:rsid w:val="00B00B6E"/>
    <w:rsid w:val="00B33288"/>
    <w:rsid w:val="00B4040D"/>
    <w:rsid w:val="00B547F5"/>
    <w:rsid w:val="00B77A50"/>
    <w:rsid w:val="00B84F87"/>
    <w:rsid w:val="00BA2BF4"/>
    <w:rsid w:val="00BA314E"/>
    <w:rsid w:val="00BC5268"/>
    <w:rsid w:val="00C3630A"/>
    <w:rsid w:val="00C42533"/>
    <w:rsid w:val="00C44777"/>
    <w:rsid w:val="00C67A0C"/>
    <w:rsid w:val="00C736DA"/>
    <w:rsid w:val="00C86714"/>
    <w:rsid w:val="00C94E4E"/>
    <w:rsid w:val="00CB08AE"/>
    <w:rsid w:val="00CD6E04"/>
    <w:rsid w:val="00CE6AAE"/>
    <w:rsid w:val="00CF1A25"/>
    <w:rsid w:val="00CF1E31"/>
    <w:rsid w:val="00D03D5E"/>
    <w:rsid w:val="00D1649F"/>
    <w:rsid w:val="00D2313B"/>
    <w:rsid w:val="00D50F1E"/>
    <w:rsid w:val="00DC462F"/>
    <w:rsid w:val="00DF357C"/>
    <w:rsid w:val="00DF7FD0"/>
    <w:rsid w:val="00E073CE"/>
    <w:rsid w:val="00E440B4"/>
    <w:rsid w:val="00E54313"/>
    <w:rsid w:val="00E70AB9"/>
    <w:rsid w:val="00ED165A"/>
    <w:rsid w:val="00ED1AC0"/>
    <w:rsid w:val="00F50A84"/>
    <w:rsid w:val="00F66403"/>
    <w:rsid w:val="00F87681"/>
    <w:rsid w:val="00FA02DB"/>
    <w:rsid w:val="00FD0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F3328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lnywebov">
    <w:name w:val="Normal (Web)"/>
    <w:basedOn w:val="Normlny"/>
    <w:uiPriority w:val="99"/>
    <w:unhideWhenUsed/>
    <w:rsid w:val="00492A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BA314E"/>
    <w:rPr>
      <w:color w:val="0563C1" w:themeColor="hyperlink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0C5ED1"/>
    <w:rPr>
      <w:color w:val="954F72" w:themeColor="followed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0C5ED1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E543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oecd-ilibrary.org/taxation/tax-challenges-arising-from-the-digitalisation-of-the-economy-commentary-to-the-global-anti-base-erosion-model-rules-pillar-two-first-edition_1e0e9cd8-en" TargetMode="External"/><Relationship Id="rId18" Type="http://schemas.openxmlformats.org/officeDocument/2006/relationships/hyperlink" Target="https://eur-lex.europa.eu/legal-content/EN/TXT/?uri=OJ%3AC_202301536" TargetMode="External"/><Relationship Id="rId3" Type="http://schemas.openxmlformats.org/officeDocument/2006/relationships/numbering" Target="numbering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https://www.oecd-ilibrary.org/taxation/tax-challenges-arising-from-digitalisation-of-the-economy-global-anti-base-erosion-model-rules-pillar-two_782bac33-en" TargetMode="External"/><Relationship Id="rId17" Type="http://schemas.openxmlformats.org/officeDocument/2006/relationships/hyperlink" Target="https://eur-lex.europa.eu/legal-content/SK/TXT/?uri=OJ:L_202500872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oecd.org/content/dam/oecd/en/topics/policy-sub-issues/global-minimum-tax/administrative-guidance-article-9-1-globe-rules-pillar-two-january-2025.pdf" TargetMode="External"/><Relationship Id="rId20" Type="http://schemas.openxmlformats.org/officeDocument/2006/relationships/hyperlink" Target="mailto:1in2out@mhsr.s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oecd-ilibrary.org/taxation/tax-challenges-arising-from-digitalisation-of-the-economy-global-anti-base-erosion-model-rules-pillar-two_782bac33-en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oecd.org/content/dam/oecd/en/topics/policy-sub-issues/global-minimum-tax/administrative-guidance-global-anti-base-erosion-rules-pillar-two-june-2024.pdf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elena.pekarova@mfsr.sk" TargetMode="External"/><Relationship Id="rId19" Type="http://schemas.openxmlformats.org/officeDocument/2006/relationships/hyperlink" Target="https://eur-lex.europa.eu/legal-content/EN/TXT/?uri=OJ%3AC_202301536" TargetMode="External"/><Relationship Id="rId4" Type="http://schemas.openxmlformats.org/officeDocument/2006/relationships/styles" Target="styles.xml"/><Relationship Id="rId9" Type="http://schemas.openxmlformats.org/officeDocument/2006/relationships/hyperlink" Target="mailto:milada.kucekova@mfsr.sk" TargetMode="External"/><Relationship Id="rId14" Type="http://schemas.openxmlformats.org/officeDocument/2006/relationships/hyperlink" Target="https://www.oecd-ilibrary.org/taxation/tax-challenges-arising-from-the-digitalisation-of-the-economy-commentary-to-the-global-anti-base-erosion-model-rules-pillar-two-first-edition_1e0e9cd8-en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DF836FA-8205-4FB5-BB14-B4B7ED06A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2702</Words>
  <Characters>15404</Characters>
  <Application>Microsoft Office Word</Application>
  <DocSecurity>0</DocSecurity>
  <Lines>128</Lines>
  <Paragraphs>36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18070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Pekarova Elena</cp:lastModifiedBy>
  <cp:revision>3</cp:revision>
  <cp:lastPrinted>2025-05-29T07:02:00Z</cp:lastPrinted>
  <dcterms:created xsi:type="dcterms:W3CDTF">2025-07-15T14:13:00Z</dcterms:created>
  <dcterms:modified xsi:type="dcterms:W3CDTF">2025-07-15T14:14:00Z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