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4892B" w14:textId="77777777" w:rsidR="006C51EC" w:rsidRPr="007860FA" w:rsidRDefault="006C51EC" w:rsidP="006C51EC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bookmarkStart w:id="0" w:name="content"/>
      <w:bookmarkStart w:id="1" w:name="wrapper"/>
      <w:r w:rsidRPr="007860FA">
        <w:rPr>
          <w:rFonts w:ascii="Times New Roman" w:hAnsi="Times New Roman"/>
          <w:sz w:val="24"/>
          <w:szCs w:val="24"/>
        </w:rPr>
        <w:t>(Návrh)</w:t>
      </w:r>
    </w:p>
    <w:p w14:paraId="274F310E" w14:textId="77777777" w:rsidR="006C51EC" w:rsidRPr="007860FA" w:rsidRDefault="006C51EC" w:rsidP="006C51EC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7860FA">
        <w:rPr>
          <w:rFonts w:ascii="Times New Roman" w:hAnsi="Times New Roman"/>
          <w:b/>
          <w:sz w:val="24"/>
          <w:szCs w:val="24"/>
        </w:rPr>
        <w:t>VYHLÁŠKA</w:t>
      </w:r>
    </w:p>
    <w:p w14:paraId="2419B86F" w14:textId="77777777" w:rsidR="006C51EC" w:rsidRPr="007860FA" w:rsidRDefault="006C51EC" w:rsidP="006C51EC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7860FA">
        <w:rPr>
          <w:rFonts w:ascii="Times New Roman" w:hAnsi="Times New Roman"/>
          <w:b/>
          <w:sz w:val="24"/>
          <w:szCs w:val="24"/>
        </w:rPr>
        <w:t>Ministerstva zdravotníctva Slovenskej republiky</w:t>
      </w:r>
    </w:p>
    <w:p w14:paraId="09C545B5" w14:textId="77777777" w:rsidR="006C51EC" w:rsidRPr="007860FA" w:rsidRDefault="006C51EC" w:rsidP="006C51EC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7860FA">
        <w:rPr>
          <w:rFonts w:ascii="Times New Roman" w:hAnsi="Times New Roman"/>
          <w:b/>
          <w:sz w:val="24"/>
          <w:szCs w:val="24"/>
        </w:rPr>
        <w:t>z ... 2026,</w:t>
      </w:r>
    </w:p>
    <w:p w14:paraId="700FD9E3" w14:textId="77777777" w:rsidR="006C51EC" w:rsidRPr="007860FA" w:rsidRDefault="006C51EC" w:rsidP="006C51EC">
      <w:pPr>
        <w:spacing w:before="240" w:after="240"/>
        <w:jc w:val="center"/>
        <w:rPr>
          <w:rFonts w:ascii="Times New Roman" w:hAnsi="Times New Roman"/>
          <w:b/>
          <w:bCs/>
          <w:sz w:val="24"/>
          <w:szCs w:val="24"/>
        </w:rPr>
      </w:pPr>
      <w:r w:rsidRPr="007860FA">
        <w:rPr>
          <w:rFonts w:ascii="Times New Roman" w:hAnsi="Times New Roman"/>
          <w:b/>
          <w:bCs/>
          <w:sz w:val="24"/>
          <w:szCs w:val="24"/>
        </w:rPr>
        <w:t>ktorou</w:t>
      </w:r>
      <w:r w:rsidRPr="0040049C">
        <w:rPr>
          <w:rFonts w:ascii="Times New Roman" w:hAnsi="Times New Roman"/>
          <w:b/>
          <w:bCs/>
          <w:sz w:val="24"/>
          <w:szCs w:val="24"/>
        </w:rPr>
        <w:t xml:space="preserve"> sa mení a dopĺňa vyhláška Ministerstva zdravotníctva Slovenskej republiky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Pr="0040049C">
        <w:rPr>
          <w:rFonts w:ascii="Times New Roman" w:hAnsi="Times New Roman"/>
          <w:b/>
          <w:bCs/>
          <w:sz w:val="24"/>
          <w:szCs w:val="24"/>
        </w:rPr>
        <w:t>č. 298/2022 Z. z., ktorou sa ustanovujú podrobnosti výpočtu príslušného násobku hrubého domáceho produktu pre stanovenie prahovej hodnoty posudzovaného lieku</w:t>
      </w:r>
    </w:p>
    <w:p w14:paraId="2B26CEF4" w14:textId="77777777" w:rsidR="006C51EC" w:rsidRPr="007860FA" w:rsidRDefault="006C51EC" w:rsidP="006C51EC">
      <w:pPr>
        <w:spacing w:before="600" w:after="600"/>
        <w:ind w:firstLine="708"/>
        <w:jc w:val="both"/>
        <w:rPr>
          <w:rFonts w:ascii="Times New Roman" w:hAnsi="Times New Roman"/>
          <w:sz w:val="24"/>
          <w:szCs w:val="24"/>
        </w:rPr>
      </w:pPr>
      <w:r w:rsidRPr="007860FA">
        <w:rPr>
          <w:rFonts w:ascii="Times New Roman" w:hAnsi="Times New Roman"/>
          <w:sz w:val="24"/>
          <w:szCs w:val="24"/>
        </w:rPr>
        <w:t>Ministerstvo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049C">
        <w:rPr>
          <w:rFonts w:ascii="Times New Roman" w:hAnsi="Times New Roman"/>
          <w:sz w:val="24"/>
          <w:szCs w:val="24"/>
        </w:rPr>
        <w:t xml:space="preserve">zdravotníctva Slovenskej republiky podľa § 7 ods. 3 zákona č. 363/2011 Z. z. o rozsahu a podmienkach úhrady liekov, zdravotníckych pomôcok a dietetických potravín na základe verejného zdravotného poistenia a o zmene a doplnení niektorých zákonov v znení neskorších predpisov </w:t>
      </w:r>
      <w:r w:rsidRPr="007860FA">
        <w:rPr>
          <w:rFonts w:ascii="Times New Roman" w:hAnsi="Times New Roman"/>
          <w:sz w:val="24"/>
          <w:szCs w:val="24"/>
        </w:rPr>
        <w:t>(ďalej len „zákon“) ustanovuje:</w:t>
      </w:r>
    </w:p>
    <w:p w14:paraId="641E1E25" w14:textId="2FAA6373" w:rsidR="00280821" w:rsidRPr="007860FA" w:rsidRDefault="00280821" w:rsidP="0028082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6775A4F8" w14:textId="36B5F2C4" w:rsidR="00280821" w:rsidRPr="006C51EC" w:rsidRDefault="00280821" w:rsidP="006C51EC">
      <w:pPr>
        <w:pStyle w:val="Odsekzoznamu"/>
        <w:autoSpaceDE w:val="0"/>
        <w:autoSpaceDN w:val="0"/>
        <w:spacing w:before="120" w:after="120" w:line="240" w:lineRule="auto"/>
        <w:ind w:left="360"/>
        <w:contextualSpacing w:val="0"/>
        <w:jc w:val="center"/>
        <w:rPr>
          <w:rFonts w:ascii="Times New Roman" w:hAnsi="Times New Roman"/>
          <w:sz w:val="24"/>
        </w:rPr>
      </w:pPr>
      <w:r w:rsidRPr="006C51EC">
        <w:rPr>
          <w:rFonts w:ascii="Times New Roman" w:hAnsi="Times New Roman"/>
          <w:sz w:val="24"/>
        </w:rPr>
        <w:t>§ 1</w:t>
      </w:r>
    </w:p>
    <w:p w14:paraId="2746B801" w14:textId="151266A7" w:rsidR="00280821" w:rsidRDefault="00280821" w:rsidP="006C51EC">
      <w:pPr>
        <w:pStyle w:val="isselectedend"/>
        <w:jc w:val="both"/>
      </w:pPr>
      <w:r w:rsidRPr="006C51EC">
        <w:t xml:space="preserve">Násobok hrubého domáceho produktu Slovenskej republiky na obyvateľa podľa </w:t>
      </w:r>
      <w:r w:rsidRPr="00B91EEB">
        <w:rPr>
          <w:color w:val="FF0000"/>
        </w:rPr>
        <w:t xml:space="preserve">§ 7 ods. 3 zákona </w:t>
      </w:r>
      <w:r w:rsidRPr="006C51EC">
        <w:t>je</w:t>
      </w:r>
    </w:p>
    <w:p w14:paraId="5F0DC625" w14:textId="443A8686" w:rsidR="00280821" w:rsidRPr="00B91EEB" w:rsidRDefault="00280821" w:rsidP="00280821">
      <w:pPr>
        <w:pStyle w:val="isselectedend"/>
        <w:jc w:val="both"/>
        <w:rPr>
          <w:color w:val="FF0000"/>
        </w:rPr>
      </w:pPr>
      <w:r w:rsidRPr="00B91EEB">
        <w:rPr>
          <w:color w:val="FF0000"/>
        </w:rPr>
        <w:t xml:space="preserve">a) jedna celá dvadsaťpäť stotín, ak rozdiel medzi získaným rokom života štandardizovanej kvality pri použití posudzovaného lieku a získaným rokom života štandardizovanej kvality pri použití relevantného </w:t>
      </w:r>
      <w:proofErr w:type="spellStart"/>
      <w:r w:rsidRPr="00B91EEB">
        <w:rPr>
          <w:color w:val="FF0000"/>
        </w:rPr>
        <w:t>komparátora</w:t>
      </w:r>
      <w:proofErr w:type="spellEnd"/>
      <w:r w:rsidRPr="00B91EEB">
        <w:rPr>
          <w:color w:val="FF0000"/>
        </w:rPr>
        <w:t xml:space="preserve"> je väčší ako 0 a menší ako 0,20,</w:t>
      </w:r>
    </w:p>
    <w:p w14:paraId="2E7753BB" w14:textId="29C1407F" w:rsidR="00280821" w:rsidRPr="00B91EEB" w:rsidRDefault="00280821" w:rsidP="006C51EC">
      <w:pPr>
        <w:pStyle w:val="isselectedend"/>
        <w:jc w:val="both"/>
        <w:rPr>
          <w:color w:val="FF0000"/>
        </w:rPr>
      </w:pPr>
      <w:r>
        <w:t>b</w:t>
      </w:r>
      <w:r w:rsidRPr="006C51EC">
        <w:t xml:space="preserve">) dva, ak rozdiel medzi získaným rokom života štandardizovanej kvality pri použití posudzovaného lieku a získaným rokom života štandardizovanej kvality pri použití </w:t>
      </w:r>
      <w:r w:rsidRPr="00B91EEB">
        <w:rPr>
          <w:color w:val="FF0000"/>
        </w:rPr>
        <w:t xml:space="preserve">relevantného </w:t>
      </w:r>
      <w:proofErr w:type="spellStart"/>
      <w:r w:rsidRPr="00B91EEB">
        <w:rPr>
          <w:color w:val="FF0000"/>
        </w:rPr>
        <w:t>komparátora</w:t>
      </w:r>
      <w:proofErr w:type="spellEnd"/>
      <w:r w:rsidRPr="00B91EEB">
        <w:rPr>
          <w:color w:val="FF0000"/>
        </w:rPr>
        <w:t xml:space="preserve"> je 0,20 a viac a menší ako 0,50,</w:t>
      </w:r>
    </w:p>
    <w:p w14:paraId="32D4020E" w14:textId="4EA55A18" w:rsidR="00280821" w:rsidRPr="00B91EEB" w:rsidRDefault="00280821" w:rsidP="006C51EC">
      <w:pPr>
        <w:pStyle w:val="Normlnywebov"/>
        <w:jc w:val="both"/>
        <w:rPr>
          <w:color w:val="FF0000"/>
        </w:rPr>
      </w:pPr>
      <w:r w:rsidRPr="00B91EEB">
        <w:rPr>
          <w:color w:val="FF0000"/>
        </w:rPr>
        <w:t>c) dve celé tri desatiny</w:t>
      </w:r>
      <w:r w:rsidRPr="006C51EC">
        <w:t xml:space="preserve">, ak rozdiel medzi získaným rokom života štandardizovanej kvality pri použití posudzovaného lieku a získaným rokom života štandardizovanej kvality pri použití </w:t>
      </w:r>
      <w:r w:rsidRPr="00B91EEB">
        <w:rPr>
          <w:color w:val="FF0000"/>
        </w:rPr>
        <w:t xml:space="preserve">relevantného </w:t>
      </w:r>
      <w:proofErr w:type="spellStart"/>
      <w:r w:rsidRPr="00B91EEB">
        <w:rPr>
          <w:color w:val="FF0000"/>
        </w:rPr>
        <w:t>komparátora</w:t>
      </w:r>
      <w:proofErr w:type="spellEnd"/>
      <w:r w:rsidRPr="00B91EEB">
        <w:rPr>
          <w:color w:val="FF0000"/>
        </w:rPr>
        <w:t xml:space="preserve"> je 0,50 a viac.</w:t>
      </w:r>
    </w:p>
    <w:p w14:paraId="0FB3FD3A" w14:textId="40170847" w:rsidR="00280821" w:rsidRPr="00B91EEB" w:rsidRDefault="00280821" w:rsidP="00280821">
      <w:pPr>
        <w:pStyle w:val="Normlnywebov"/>
        <w:jc w:val="center"/>
        <w:rPr>
          <w:color w:val="FF0000"/>
        </w:rPr>
      </w:pPr>
      <w:r w:rsidRPr="00B91EEB">
        <w:rPr>
          <w:color w:val="FF0000"/>
        </w:rPr>
        <w:t>§ 2</w:t>
      </w:r>
    </w:p>
    <w:p w14:paraId="070650B2" w14:textId="77777777" w:rsidR="00280821" w:rsidRPr="00B91EEB" w:rsidRDefault="00280821" w:rsidP="00280821">
      <w:pPr>
        <w:pStyle w:val="isselectedend"/>
        <w:jc w:val="both"/>
        <w:rPr>
          <w:color w:val="FF0000"/>
        </w:rPr>
      </w:pPr>
      <w:r w:rsidRPr="00B91EEB">
        <w:rPr>
          <w:color w:val="FF0000"/>
        </w:rPr>
        <w:t>Ak je predmetom posúdenia liek na ojedinelé ochorenie1), liek na pediatrickú indikáciu alebo liek na inovatívnu liečbu2), násobok hrubého domáceho produktu Slovenskej republiky na obyvateľa podľa § 7 ods. 3 zákona je</w:t>
      </w:r>
    </w:p>
    <w:p w14:paraId="1852801A" w14:textId="560241FD" w:rsidR="00280821" w:rsidRDefault="00280821" w:rsidP="006C51EC">
      <w:pPr>
        <w:pStyle w:val="isselectedend"/>
        <w:jc w:val="both"/>
      </w:pPr>
      <w:r w:rsidRPr="00B91EEB">
        <w:rPr>
          <w:color w:val="FF0000"/>
        </w:rPr>
        <w:t>a) štyri</w:t>
      </w:r>
      <w:r w:rsidRPr="006C51EC">
        <w:t xml:space="preserve">, ak rozdiel medzi získaným rokom života štandardizovanej kvality pri použití posudzovaného lieku a získaným rokom života štandardizovanej kvality pri použití </w:t>
      </w:r>
      <w:r w:rsidRPr="00B91EEB">
        <w:rPr>
          <w:color w:val="FF0000"/>
        </w:rPr>
        <w:t xml:space="preserve">relevantného </w:t>
      </w:r>
      <w:proofErr w:type="spellStart"/>
      <w:r w:rsidRPr="00B91EEB">
        <w:rPr>
          <w:color w:val="FF0000"/>
        </w:rPr>
        <w:t>komparátora</w:t>
      </w:r>
      <w:proofErr w:type="spellEnd"/>
      <w:r w:rsidRPr="00B91EEB">
        <w:rPr>
          <w:color w:val="FF0000"/>
        </w:rPr>
        <w:t xml:space="preserve"> je väčší ako 0 a menší ako 0,50,</w:t>
      </w:r>
    </w:p>
    <w:p w14:paraId="30092B34" w14:textId="0DECF1BB" w:rsidR="00280821" w:rsidRPr="00B91EEB" w:rsidRDefault="00280821" w:rsidP="006C51EC">
      <w:pPr>
        <w:pStyle w:val="Normlnywebov"/>
        <w:jc w:val="both"/>
        <w:rPr>
          <w:color w:val="FF0000"/>
        </w:rPr>
      </w:pPr>
      <w:r w:rsidRPr="00B91EEB">
        <w:rPr>
          <w:color w:val="FF0000"/>
        </w:rPr>
        <w:lastRenderedPageBreak/>
        <w:t xml:space="preserve">b) osem, </w:t>
      </w:r>
      <w:r w:rsidRPr="006C51EC">
        <w:t xml:space="preserve">ak rozdiel medzi získaným rokom života štandardizovanej kvality pri použití posudzovaného lieku a získaným rokom života štandardizovanej kvality pri použití </w:t>
      </w:r>
      <w:r w:rsidRPr="00B91EEB">
        <w:rPr>
          <w:color w:val="FF0000"/>
        </w:rPr>
        <w:t xml:space="preserve">relevantného </w:t>
      </w:r>
      <w:proofErr w:type="spellStart"/>
      <w:r w:rsidRPr="00B91EEB">
        <w:rPr>
          <w:color w:val="FF0000"/>
        </w:rPr>
        <w:t>komparátora</w:t>
      </w:r>
      <w:proofErr w:type="spellEnd"/>
      <w:r w:rsidRPr="00B91EEB">
        <w:rPr>
          <w:color w:val="FF0000"/>
        </w:rPr>
        <w:t xml:space="preserve"> je 0,50 a viac.</w:t>
      </w:r>
    </w:p>
    <w:p w14:paraId="1390477F" w14:textId="408C72A5" w:rsidR="00280821" w:rsidRPr="00B91EEB" w:rsidRDefault="00280821" w:rsidP="00280821">
      <w:pPr>
        <w:pStyle w:val="Normlnywebov"/>
        <w:jc w:val="center"/>
        <w:rPr>
          <w:color w:val="FF0000"/>
        </w:rPr>
      </w:pPr>
      <w:r w:rsidRPr="00B91EEB">
        <w:rPr>
          <w:color w:val="FF0000"/>
        </w:rPr>
        <w:t>§ 2a</w:t>
      </w:r>
    </w:p>
    <w:p w14:paraId="211389C3" w14:textId="77777777" w:rsidR="00280821" w:rsidRPr="00B91EEB" w:rsidRDefault="00280821" w:rsidP="00280821">
      <w:pPr>
        <w:pStyle w:val="Normlnywebov"/>
        <w:jc w:val="both"/>
        <w:rPr>
          <w:color w:val="FF0000"/>
        </w:rPr>
      </w:pPr>
      <w:r w:rsidRPr="00B91EEB">
        <w:rPr>
          <w:color w:val="FF0000"/>
        </w:rPr>
        <w:t>Referenčná hodnota HDP podľa § 7 ods. 3 zákona je hodnota hrubého domáceho produktu podľa § 7 ods. 4 zákona za rok 2024 vo výške 24 013,40 eura na obyvateľa.</w:t>
      </w:r>
    </w:p>
    <w:p w14:paraId="0598C147" w14:textId="77777777" w:rsidR="00280821" w:rsidRPr="00B91EEB" w:rsidRDefault="00280821" w:rsidP="00280821">
      <w:pPr>
        <w:pStyle w:val="Normlnywebov"/>
        <w:jc w:val="center"/>
        <w:rPr>
          <w:color w:val="FF0000"/>
        </w:rPr>
      </w:pPr>
      <w:r w:rsidRPr="00B91EEB">
        <w:rPr>
          <w:color w:val="FF0000"/>
        </w:rPr>
        <w:t>§ 2b</w:t>
      </w:r>
    </w:p>
    <w:p w14:paraId="503B868D" w14:textId="5CD8FB46" w:rsidR="00280821" w:rsidRPr="00B91EEB" w:rsidRDefault="00280821" w:rsidP="00280821">
      <w:pPr>
        <w:pStyle w:val="Normlnywebov"/>
        <w:jc w:val="both"/>
        <w:rPr>
          <w:color w:val="FF0000"/>
        </w:rPr>
      </w:pPr>
      <w:r w:rsidRPr="00B91EEB">
        <w:rPr>
          <w:color w:val="FF0000"/>
        </w:rPr>
        <w:t>Referenčná hodnota HDP uvedená v § 2a sa nemení počas obdobia troch rokov od nadobudnutia účinnosti tejto vyhlášky; po uplynutí tohto obdobia Ministerstvo zdravotníctva Slovenskej republiky referenčnú hodnotu HDP aktualizuje všeobecne záväzným právnym predpisom.</w:t>
      </w:r>
    </w:p>
    <w:p w14:paraId="16A5AD30" w14:textId="77777777" w:rsidR="00280821" w:rsidRPr="007860FA" w:rsidRDefault="00280821" w:rsidP="00280821">
      <w:pPr>
        <w:spacing w:before="120" w:after="120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2" w:name="_Hlk215062762"/>
    </w:p>
    <w:bookmarkEnd w:id="2"/>
    <w:p w14:paraId="0FC7DA6D" w14:textId="3573C2FA" w:rsidR="00280821" w:rsidRPr="006C51EC" w:rsidRDefault="00280821" w:rsidP="006C51EC">
      <w:pPr>
        <w:spacing w:before="120" w:after="120"/>
        <w:jc w:val="both"/>
        <w:rPr>
          <w:rFonts w:ascii="Times New Roman" w:hAnsi="Times New Roman"/>
          <w:sz w:val="24"/>
        </w:rPr>
      </w:pPr>
      <w:r w:rsidRPr="006C51EC">
        <w:rPr>
          <w:rFonts w:ascii="Times New Roman" w:hAnsi="Times New Roman"/>
          <w:sz w:val="24"/>
        </w:rPr>
        <w:t xml:space="preserve">Táto vyhláška nadobúda účinnosť </w:t>
      </w:r>
      <w:r w:rsidRPr="00B91EEB">
        <w:rPr>
          <w:rFonts w:ascii="Times New Roman" w:hAnsi="Times New Roman"/>
          <w:color w:val="FF0000"/>
          <w:sz w:val="24"/>
        </w:rPr>
        <w:t xml:space="preserve">1. </w:t>
      </w:r>
      <w:bookmarkStart w:id="3" w:name="predpis"/>
      <w:bookmarkStart w:id="4" w:name="poznamky"/>
      <w:bookmarkEnd w:id="3"/>
      <w:r w:rsidRPr="00B91EEB">
        <w:rPr>
          <w:rFonts w:ascii="Times New Roman" w:hAnsi="Times New Roman"/>
          <w:color w:val="FF0000"/>
          <w:sz w:val="24"/>
        </w:rPr>
        <w:t xml:space="preserve">decembra </w:t>
      </w:r>
      <w:r w:rsidRPr="00B91EEB">
        <w:rPr>
          <w:rFonts w:ascii="Times New Roman" w:eastAsia="Times New Roman" w:hAnsi="Times New Roman"/>
          <w:bCs/>
          <w:noProof/>
          <w:color w:val="FF0000"/>
          <w:sz w:val="24"/>
          <w:szCs w:val="24"/>
        </w:rPr>
        <w:t>2026.</w:t>
      </w:r>
    </w:p>
    <w:bookmarkEnd w:id="0"/>
    <w:bookmarkEnd w:id="1"/>
    <w:bookmarkEnd w:id="4"/>
    <w:p w14:paraId="01134412" w14:textId="77777777" w:rsidR="00280821" w:rsidRPr="007860FA" w:rsidRDefault="00280821" w:rsidP="00280821">
      <w:pPr>
        <w:jc w:val="both"/>
        <w:rPr>
          <w:rFonts w:ascii="Times New Roman" w:hAnsi="Times New Roman"/>
          <w:sz w:val="24"/>
          <w:szCs w:val="24"/>
        </w:rPr>
      </w:pPr>
    </w:p>
    <w:p w14:paraId="75FCEBAF" w14:textId="77777777" w:rsidR="006C51EC" w:rsidRDefault="006C51EC" w:rsidP="006C51EC">
      <w:pPr>
        <w:spacing w:after="0"/>
        <w:ind w:left="120"/>
      </w:pPr>
      <w:bookmarkStart w:id="5" w:name="iri"/>
      <w:bookmarkStart w:id="6" w:name="poznamky.poznamka-1.oznacenie"/>
      <w:bookmarkStart w:id="7" w:name="poznamky.poznamka-1"/>
      <w:bookmarkEnd w:id="5"/>
      <w:r>
        <w:rPr>
          <w:rFonts w:ascii="Times New Roman" w:hAnsi="Times New Roman"/>
          <w:color w:val="000000"/>
        </w:rPr>
        <w:t xml:space="preserve">1) </w:t>
      </w:r>
      <w:bookmarkStart w:id="8" w:name="poznamky.poznamka-1.text"/>
      <w:bookmarkEnd w:id="6"/>
      <w:r>
        <w:rPr>
          <w:rFonts w:ascii="Times New Roman" w:hAnsi="Times New Roman"/>
          <w:color w:val="000000"/>
        </w:rPr>
        <w:t xml:space="preserve">Čl. 2 písm. b) nariadenia Európskeho parlamentu a rady (ES) č. 141/2000 zo 16. decembra 1999 o liekoch na ojedinelé ochorenia (Ú. v. ES L 18, 22. 1. 2000). </w:t>
      </w:r>
      <w:bookmarkEnd w:id="8"/>
    </w:p>
    <w:p w14:paraId="02EA7FE8" w14:textId="77777777" w:rsidR="006C51EC" w:rsidRDefault="006C51EC" w:rsidP="006C51EC">
      <w:pPr>
        <w:spacing w:after="0"/>
        <w:ind w:left="120"/>
      </w:pPr>
      <w:bookmarkStart w:id="9" w:name="poznamky.poznamka-2"/>
      <w:bookmarkEnd w:id="7"/>
      <w:r>
        <w:rPr>
          <w:rFonts w:ascii="Times New Roman" w:hAnsi="Times New Roman"/>
          <w:color w:val="000000"/>
        </w:rPr>
        <w:t xml:space="preserve"> </w:t>
      </w:r>
      <w:bookmarkStart w:id="10" w:name="poznamky.poznamka-2.oznacenie"/>
      <w:r>
        <w:rPr>
          <w:rFonts w:ascii="Times New Roman" w:hAnsi="Times New Roman"/>
          <w:color w:val="000000"/>
        </w:rPr>
        <w:t xml:space="preserve">2) </w:t>
      </w:r>
      <w:bookmarkStart w:id="11" w:name="poznamky.poznamka-2.text"/>
      <w:bookmarkEnd w:id="10"/>
      <w:r>
        <w:rPr>
          <w:rFonts w:ascii="Times New Roman" w:hAnsi="Times New Roman"/>
          <w:color w:val="000000"/>
        </w:rPr>
        <w:t xml:space="preserve">Čl. 2 nariadenia Európskeho parlamentu a Rady (ES) č. 1394/2007 z 13. novembra 2007 o liekoch na inovatívnu liečbu, ktorým sa mení a dopĺňa smernica 2001/83/ES a nariadenie (ES) č. 726/2004 (Ú. v. EÚ L 324, 10. 12. 2007). </w:t>
      </w:r>
      <w:bookmarkEnd w:id="11"/>
    </w:p>
    <w:bookmarkEnd w:id="9"/>
    <w:p w14:paraId="160F4213" w14:textId="77777777" w:rsidR="00B043B3" w:rsidRDefault="00B043B3" w:rsidP="006C51EC"/>
    <w:sectPr w:rsidR="00B043B3" w:rsidSect="006C51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C82BC1"/>
    <w:multiLevelType w:val="hybridMultilevel"/>
    <w:tmpl w:val="04BABC84"/>
    <w:lvl w:ilvl="0" w:tplc="BF48DBF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22005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221"/>
    <w:rsid w:val="0009790E"/>
    <w:rsid w:val="00224DDB"/>
    <w:rsid w:val="00280821"/>
    <w:rsid w:val="004C1C07"/>
    <w:rsid w:val="00651221"/>
    <w:rsid w:val="006C51EC"/>
    <w:rsid w:val="007508E6"/>
    <w:rsid w:val="007530E2"/>
    <w:rsid w:val="00B043B3"/>
    <w:rsid w:val="00B91EEB"/>
    <w:rsid w:val="00C17D15"/>
    <w:rsid w:val="00D8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0EF8F"/>
  <w15:chartTrackingRefBased/>
  <w15:docId w15:val="{30F94EEE-DED5-40AE-8EE0-2CAC4973E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17D1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C17D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C17D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C17D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C17D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651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651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651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651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651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651221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Nadpis2Char">
    <w:name w:val="Nadpis 2 Char"/>
    <w:basedOn w:val="Predvolenpsmoodseku"/>
    <w:link w:val="Nadpis2"/>
    <w:uiPriority w:val="9"/>
    <w:rsid w:val="00651221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Nadpis3Char">
    <w:name w:val="Nadpis 3 Char"/>
    <w:basedOn w:val="Predvolenpsmoodseku"/>
    <w:link w:val="Nadpis3"/>
    <w:uiPriority w:val="9"/>
    <w:rsid w:val="00651221"/>
    <w:rPr>
      <w:rFonts w:ascii="Calibri" w:eastAsiaTheme="majorEastAsia" w:hAnsi="Calibri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Nadpis4Char">
    <w:name w:val="Nadpis 4 Char"/>
    <w:basedOn w:val="Predvolenpsmoodseku"/>
    <w:link w:val="Nadpis4"/>
    <w:uiPriority w:val="9"/>
    <w:rsid w:val="00651221"/>
    <w:rPr>
      <w:rFonts w:ascii="Calibri" w:eastAsiaTheme="majorEastAsia" w:hAnsi="Calibri" w:cstheme="majorBidi"/>
      <w:i/>
      <w:iCs/>
      <w:color w:val="0F4761" w:themeColor="accent1" w:themeShade="BF"/>
      <w:kern w:val="0"/>
      <w:sz w:val="22"/>
      <w:szCs w:val="22"/>
      <w14:ligatures w14:val="none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5122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65122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5122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65122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65122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17D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651221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17D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651221"/>
    <w:rPr>
      <w:rFonts w:ascii="Calibri" w:eastAsiaTheme="majorEastAsia" w:hAnsi="Calibr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cia">
    <w:name w:val="Quote"/>
    <w:basedOn w:val="Normlny"/>
    <w:next w:val="Normlny"/>
    <w:link w:val="CitciaChar"/>
    <w:uiPriority w:val="29"/>
    <w:qFormat/>
    <w:rsid w:val="00651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651221"/>
    <w:rPr>
      <w:i/>
      <w:iCs/>
      <w:color w:val="404040" w:themeColor="text1" w:themeTint="BF"/>
    </w:rPr>
  </w:style>
  <w:style w:type="paragraph" w:styleId="Odsekzoznamu">
    <w:name w:val="List Paragraph"/>
    <w:aliases w:val="body,Odsek zoznamu2,Odsek"/>
    <w:basedOn w:val="Normlny"/>
    <w:link w:val="OdsekzoznamuChar"/>
    <w:uiPriority w:val="34"/>
    <w:qFormat/>
    <w:rsid w:val="00651221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651221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651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651221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651221"/>
    <w:rPr>
      <w:b/>
      <w:bCs/>
      <w:smallCaps/>
      <w:color w:val="0F4761" w:themeColor="accent1" w:themeShade="BF"/>
      <w:spacing w:val="5"/>
    </w:rPr>
  </w:style>
  <w:style w:type="character" w:customStyle="1" w:styleId="OdsekzoznamuChar">
    <w:name w:val="Odsek zoznamu Char"/>
    <w:aliases w:val="body Char,Odsek zoznamu2 Char,Odsek Char"/>
    <w:link w:val="Odsekzoznamu"/>
    <w:uiPriority w:val="34"/>
    <w:locked/>
    <w:rsid w:val="00280821"/>
  </w:style>
  <w:style w:type="paragraph" w:customStyle="1" w:styleId="isselectedend">
    <w:name w:val="isselectedend"/>
    <w:basedOn w:val="Normlny"/>
    <w:rsid w:val="002808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2808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C17D1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val="en-US"/>
    </w:rPr>
  </w:style>
  <w:style w:type="character" w:customStyle="1" w:styleId="HlavikaChar">
    <w:name w:val="Hlavička Char"/>
    <w:basedOn w:val="Predvolenpsmoodseku"/>
    <w:link w:val="Hlavika"/>
    <w:uiPriority w:val="99"/>
    <w:rsid w:val="00C17D15"/>
    <w:rPr>
      <w:kern w:val="0"/>
      <w:sz w:val="22"/>
      <w:szCs w:val="22"/>
      <w:lang w:val="en-US"/>
      <w14:ligatures w14:val="none"/>
    </w:rPr>
  </w:style>
  <w:style w:type="paragraph" w:styleId="Normlnysozarkami">
    <w:name w:val="Normal Indent"/>
    <w:basedOn w:val="Normlny"/>
    <w:uiPriority w:val="99"/>
    <w:unhideWhenUsed/>
    <w:rsid w:val="00C17D15"/>
    <w:pPr>
      <w:ind w:left="720"/>
    </w:pPr>
    <w:rPr>
      <w:rFonts w:asciiTheme="minorHAnsi" w:eastAsiaTheme="minorHAnsi" w:hAnsiTheme="minorHAnsi" w:cstheme="minorBidi"/>
      <w:lang w:val="en-US"/>
    </w:rPr>
  </w:style>
  <w:style w:type="character" w:styleId="Zvraznenie">
    <w:name w:val="Emphasis"/>
    <w:basedOn w:val="Predvolenpsmoodseku"/>
    <w:uiPriority w:val="20"/>
    <w:qFormat/>
    <w:rsid w:val="00C17D15"/>
    <w:rPr>
      <w:i/>
      <w:iCs/>
    </w:rPr>
  </w:style>
  <w:style w:type="character" w:styleId="Hypertextovprepojenie">
    <w:name w:val="Hyperlink"/>
    <w:basedOn w:val="Predvolenpsmoodseku"/>
    <w:uiPriority w:val="99"/>
    <w:unhideWhenUsed/>
    <w:rsid w:val="00C17D15"/>
    <w:rPr>
      <w:color w:val="467886" w:themeColor="hyperlink"/>
      <w:u w:val="single"/>
    </w:rPr>
  </w:style>
  <w:style w:type="table" w:styleId="Mriekatabuky">
    <w:name w:val="Table Grid"/>
    <w:basedOn w:val="Normlnatabuka"/>
    <w:uiPriority w:val="59"/>
    <w:rsid w:val="00C17D15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C17D15"/>
    <w:pPr>
      <w:spacing w:line="240" w:lineRule="auto"/>
    </w:pPr>
    <w:rPr>
      <w:rFonts w:asciiTheme="minorHAnsi" w:eastAsiaTheme="minorHAnsi" w:hAnsiTheme="minorHAnsi" w:cstheme="minorBidi"/>
      <w:b/>
      <w:bCs/>
      <w:color w:val="156082" w:themeColor="accent1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441</Words>
  <Characters>2515</Characters>
  <Application>Microsoft Office Word</Application>
  <DocSecurity>0</DocSecurity>
  <Lines>20</Lines>
  <Paragraphs>5</Paragraphs>
  <ScaleCrop>false</ScaleCrop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Grega Dominik</dc:creator>
  <cp:keywords/>
  <dc:description/>
  <cp:lastModifiedBy>Kidala Viktor</cp:lastModifiedBy>
  <cp:revision>4</cp:revision>
  <dcterms:created xsi:type="dcterms:W3CDTF">2026-10-07T12:24:00Z</dcterms:created>
  <dcterms:modified xsi:type="dcterms:W3CDTF">2026-10-08T11:03:00Z</dcterms:modified>
</cp:coreProperties>
</file>