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AF40C" w14:textId="58495741" w:rsidR="00883F04" w:rsidRDefault="00883F04" w:rsidP="00883F04">
      <w:pPr>
        <w:pStyle w:val="Title"/>
        <w:jc w:val="right"/>
        <w:rPr>
          <w:rFonts w:ascii="Cambria" w:hAnsi="Cambria"/>
          <w:sz w:val="22"/>
          <w:szCs w:val="22"/>
        </w:rPr>
      </w:pPr>
    </w:p>
    <w:p w14:paraId="40A07BCB" w14:textId="15665DD8" w:rsidR="00776D72" w:rsidRDefault="00A64FA0" w:rsidP="00776D72">
      <w:pPr>
        <w:pStyle w:val="Title"/>
        <w:jc w:val="left"/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t>NÁRODNÁ BANKA SLOVENSKA</w:t>
      </w:r>
    </w:p>
    <w:p w14:paraId="380BA3A5" w14:textId="2EA12AA6" w:rsidR="00A64FA0" w:rsidRPr="00776D72" w:rsidRDefault="00776D72" w:rsidP="00776D72">
      <w:pPr>
        <w:pStyle w:val="Title"/>
        <w:jc w:val="left"/>
        <w:rPr>
          <w:rFonts w:asciiTheme="majorHAnsi" w:hAnsiTheme="majorHAnsi"/>
          <w:b w:val="0"/>
          <w:bCs w:val="0"/>
          <w:sz w:val="22"/>
          <w:szCs w:val="22"/>
        </w:rPr>
      </w:pPr>
      <w:r w:rsidRPr="00776D72">
        <w:rPr>
          <w:rFonts w:asciiTheme="majorHAnsi" w:hAnsiTheme="majorHAnsi"/>
          <w:b w:val="0"/>
          <w:bCs w:val="0"/>
          <w:sz w:val="22"/>
          <w:szCs w:val="22"/>
        </w:rPr>
        <w:t>Úsek dohľadu a finančnej stability</w:t>
      </w:r>
      <w:r w:rsidRPr="00776D72">
        <w:rPr>
          <w:rFonts w:asciiTheme="majorHAnsi" w:hAnsiTheme="majorHAnsi"/>
          <w:sz w:val="22"/>
          <w:szCs w:val="22"/>
        </w:rPr>
        <w:t xml:space="preserve"> </w:t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</w:p>
    <w:p w14:paraId="198029F4" w14:textId="16B8C595" w:rsidR="00544A5A" w:rsidRPr="003F119B" w:rsidRDefault="00776D72" w:rsidP="00544A5A">
      <w:pPr>
        <w:ind w:right="440"/>
        <w:rPr>
          <w:szCs w:val="22"/>
        </w:rPr>
      </w:pPr>
      <w:r w:rsidRPr="00776D72">
        <w:rPr>
          <w:rFonts w:asciiTheme="majorHAnsi" w:hAnsiTheme="majorHAnsi"/>
          <w:sz w:val="22"/>
          <w:szCs w:val="22"/>
        </w:rPr>
        <w:t xml:space="preserve">Odbor dohľadu nad bankovníctvom </w:t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 w:rsidRPr="00776D72"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 w:rsidR="00F27A99" w:rsidRPr="00544A5A">
        <w:rPr>
          <w:rFonts w:asciiTheme="majorHAnsi" w:hAnsiTheme="majorHAnsi"/>
          <w:sz w:val="22"/>
          <w:szCs w:val="22"/>
        </w:rPr>
        <w:t>Č</w:t>
      </w:r>
      <w:r w:rsidRPr="00544A5A">
        <w:rPr>
          <w:rFonts w:asciiTheme="majorHAnsi" w:hAnsiTheme="majorHAnsi"/>
          <w:sz w:val="22"/>
          <w:szCs w:val="22"/>
        </w:rPr>
        <w:t xml:space="preserve">. sp.: </w:t>
      </w:r>
      <w:r w:rsidR="00544A5A" w:rsidRPr="00544A5A">
        <w:rPr>
          <w:szCs w:val="22"/>
        </w:rPr>
        <w:t>NBS1-000-12</w:t>
      </w:r>
      <w:r w:rsidR="000A41F3">
        <w:rPr>
          <w:szCs w:val="22"/>
        </w:rPr>
        <w:t>4</w:t>
      </w:r>
      <w:r w:rsidR="00544A5A" w:rsidRPr="00544A5A">
        <w:rPr>
          <w:szCs w:val="22"/>
        </w:rPr>
        <w:t>-</w:t>
      </w:r>
      <w:r w:rsidR="000A41F3">
        <w:rPr>
          <w:szCs w:val="22"/>
        </w:rPr>
        <w:t>506</w:t>
      </w:r>
    </w:p>
    <w:p w14:paraId="7E08E7C7" w14:textId="7523D66A" w:rsidR="00A64FA0" w:rsidRDefault="00A64FA0" w:rsidP="00294C11">
      <w:pPr>
        <w:pStyle w:val="BodyText2"/>
        <w:rPr>
          <w:rFonts w:ascii="Cambria" w:hAnsi="Cambria"/>
          <w:sz w:val="22"/>
          <w:szCs w:val="22"/>
        </w:rPr>
      </w:pPr>
    </w:p>
    <w:p w14:paraId="7AE59565" w14:textId="77777777" w:rsidR="007A13B1" w:rsidRPr="007A13B1" w:rsidRDefault="007A13B1" w:rsidP="00294C11">
      <w:pPr>
        <w:pStyle w:val="BodyText2"/>
        <w:rPr>
          <w:rFonts w:ascii="Cambria" w:hAnsi="Cambria"/>
          <w:sz w:val="22"/>
          <w:szCs w:val="22"/>
        </w:rPr>
      </w:pPr>
    </w:p>
    <w:p w14:paraId="3E208EBB" w14:textId="77777777" w:rsidR="00A64FA0" w:rsidRPr="007A13B1" w:rsidRDefault="00A64FA0" w:rsidP="00294C11">
      <w:pPr>
        <w:pStyle w:val="BodyText2"/>
        <w:rPr>
          <w:rFonts w:ascii="Cambria" w:hAnsi="Cambria"/>
          <w:sz w:val="22"/>
          <w:szCs w:val="22"/>
        </w:rPr>
      </w:pPr>
    </w:p>
    <w:p w14:paraId="49FF1B92" w14:textId="77777777" w:rsidR="00A64FA0" w:rsidRPr="007A13B1" w:rsidRDefault="00A64FA0" w:rsidP="00294C11">
      <w:pPr>
        <w:pStyle w:val="BodyText2"/>
        <w:rPr>
          <w:rFonts w:ascii="Cambria" w:hAnsi="Cambria"/>
          <w:sz w:val="22"/>
          <w:szCs w:val="22"/>
        </w:rPr>
      </w:pPr>
    </w:p>
    <w:p w14:paraId="6A407A3C" w14:textId="021064FE" w:rsidR="001E0CFD" w:rsidRPr="007A13B1" w:rsidRDefault="002E6307" w:rsidP="00294C11">
      <w:pPr>
        <w:pStyle w:val="BodyText2"/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t>Materiál na medzirezortné pripom</w:t>
      </w:r>
      <w:r w:rsidR="00DA48B3" w:rsidRPr="007A13B1">
        <w:rPr>
          <w:rFonts w:ascii="Cambria" w:hAnsi="Cambria"/>
          <w:sz w:val="22"/>
          <w:szCs w:val="22"/>
        </w:rPr>
        <w:t>i</w:t>
      </w:r>
      <w:r w:rsidRPr="007A13B1">
        <w:rPr>
          <w:rFonts w:ascii="Cambria" w:hAnsi="Cambria"/>
          <w:sz w:val="22"/>
          <w:szCs w:val="22"/>
        </w:rPr>
        <w:t>enkové konanie</w:t>
      </w:r>
    </w:p>
    <w:p w14:paraId="54184237" w14:textId="77777777" w:rsidR="001E0CFD" w:rsidRPr="007A13B1" w:rsidRDefault="001E0CFD" w:rsidP="00A64FA0">
      <w:pPr>
        <w:pStyle w:val="BodyText2"/>
        <w:rPr>
          <w:rFonts w:ascii="Cambria" w:hAnsi="Cambria"/>
          <w:sz w:val="22"/>
          <w:szCs w:val="22"/>
        </w:rPr>
      </w:pPr>
    </w:p>
    <w:p w14:paraId="088F83A6" w14:textId="6E799357" w:rsidR="00C82D94" w:rsidRPr="00FB3A15" w:rsidRDefault="006A114D" w:rsidP="00C82D94">
      <w:pPr>
        <w:jc w:val="center"/>
        <w:rPr>
          <w:rFonts w:ascii="Verdana" w:hAnsi="Verdana"/>
          <w:b/>
          <w:bCs/>
        </w:rPr>
      </w:pPr>
      <w:r w:rsidRPr="007A13B1">
        <w:rPr>
          <w:rFonts w:ascii="Verdana" w:hAnsi="Verdana"/>
          <w:b/>
          <w:bCs/>
        </w:rPr>
        <w:t>Návrh</w:t>
      </w:r>
      <w:r w:rsidRPr="007A13B1">
        <w:rPr>
          <w:rFonts w:ascii="Verdana" w:hAnsi="Verdana"/>
          <w:b/>
          <w:bCs/>
        </w:rPr>
        <w:br/>
      </w:r>
      <w:r w:rsidRPr="007A13B1">
        <w:rPr>
          <w:rFonts w:ascii="Verdana" w:hAnsi="Verdana"/>
          <w:b/>
          <w:bCs/>
        </w:rPr>
        <w:br/>
        <w:t>Opatrenie</w:t>
      </w:r>
      <w:r w:rsidRPr="007A13B1">
        <w:rPr>
          <w:rFonts w:ascii="Verdana" w:hAnsi="Verdana"/>
          <w:b/>
          <w:bCs/>
        </w:rPr>
        <w:br/>
      </w:r>
      <w:r w:rsidRPr="007A13B1">
        <w:rPr>
          <w:rFonts w:ascii="Verdana" w:hAnsi="Verdana"/>
          <w:b/>
          <w:bCs/>
        </w:rPr>
        <w:br/>
        <w:t>z ... 202</w:t>
      </w:r>
      <w:r w:rsidR="00FB3A15">
        <w:rPr>
          <w:rFonts w:ascii="Verdana" w:hAnsi="Verdana"/>
          <w:b/>
          <w:bCs/>
        </w:rPr>
        <w:t>6</w:t>
      </w:r>
      <w:r w:rsidRPr="007A13B1">
        <w:rPr>
          <w:rFonts w:ascii="Verdana" w:hAnsi="Verdana"/>
          <w:b/>
          <w:bCs/>
        </w:rPr>
        <w:br/>
      </w:r>
      <w:r w:rsidRPr="007A13B1">
        <w:rPr>
          <w:rFonts w:ascii="Verdana" w:hAnsi="Verdana"/>
          <w:b/>
          <w:bCs/>
        </w:rPr>
        <w:br/>
      </w:r>
      <w:r w:rsidR="00C82D94" w:rsidRPr="00D1028E">
        <w:rPr>
          <w:rFonts w:ascii="Verdana" w:hAnsi="Verdana"/>
          <w:b/>
          <w:bCs/>
        </w:rPr>
        <w:t xml:space="preserve">ktorým sa mení opatrenie Národnej banky </w:t>
      </w:r>
      <w:r w:rsidR="00C82D94" w:rsidRPr="00FB3A15">
        <w:rPr>
          <w:rFonts w:ascii="Verdana" w:hAnsi="Verdana"/>
          <w:b/>
          <w:bCs/>
        </w:rPr>
        <w:t xml:space="preserve">Slovenska </w:t>
      </w:r>
      <w:bookmarkStart w:id="0" w:name="_Hlk166156677"/>
      <w:r w:rsidR="00F7013B">
        <w:rPr>
          <w:rFonts w:ascii="Verdana" w:hAnsi="Verdana"/>
          <w:b/>
          <w:bCs/>
        </w:rPr>
        <w:t>z 12. decembra 2017</w:t>
      </w:r>
      <w:r w:rsidR="00F7013B">
        <w:rPr>
          <w:rFonts w:ascii="Verdana" w:hAnsi="Verdana"/>
          <w:b/>
          <w:bCs/>
        </w:rPr>
        <w:br/>
      </w:r>
      <w:r w:rsidR="00F7013B">
        <w:rPr>
          <w:rFonts w:ascii="Verdana" w:hAnsi="Verdana"/>
          <w:b/>
          <w:bCs/>
          <w:szCs w:val="22"/>
        </w:rPr>
        <w:t>č.</w:t>
      </w:r>
      <w:r w:rsidR="00F7013B" w:rsidRPr="00FB3A15">
        <w:rPr>
          <w:rFonts w:ascii="Verdana" w:hAnsi="Verdana"/>
          <w:b/>
          <w:bCs/>
          <w:szCs w:val="22"/>
        </w:rPr>
        <w:t xml:space="preserve"> 13/2017</w:t>
      </w:r>
      <w:r w:rsidR="00F7013B">
        <w:rPr>
          <w:rFonts w:ascii="Verdana" w:hAnsi="Verdana"/>
          <w:b/>
          <w:bCs/>
          <w:szCs w:val="22"/>
        </w:rPr>
        <w:t xml:space="preserve"> </w:t>
      </w:r>
      <w:r w:rsidR="00FB3A15" w:rsidRPr="00FB3A15">
        <w:rPr>
          <w:rFonts w:ascii="Verdana" w:hAnsi="Verdana"/>
          <w:b/>
          <w:bCs/>
          <w:color w:val="000000" w:themeColor="text1"/>
        </w:rPr>
        <w:t xml:space="preserve">o predkladaní výkazov, hlásení a iných správ bankami a pobočkami zahraničných bánk na účely vykonávania dohľadu </w:t>
      </w:r>
      <w:r w:rsidR="00FB3A15" w:rsidRPr="00FB3A15">
        <w:rPr>
          <w:rFonts w:ascii="Verdana" w:hAnsi="Verdana"/>
          <w:b/>
          <w:bCs/>
          <w:szCs w:val="22"/>
        </w:rPr>
        <w:t>v znení neskorších predpisov</w:t>
      </w:r>
      <w:r w:rsidR="00FB3A15" w:rsidRPr="00FB3A15">
        <w:rPr>
          <w:rFonts w:ascii="Verdana" w:hAnsi="Verdana"/>
          <w:b/>
          <w:bCs/>
        </w:rPr>
        <w:t xml:space="preserve"> </w:t>
      </w:r>
      <w:bookmarkEnd w:id="0"/>
    </w:p>
    <w:p w14:paraId="142FD55E" w14:textId="77777777" w:rsidR="001E0CFD" w:rsidRPr="007A13B1" w:rsidRDefault="001E0CFD">
      <w:pPr>
        <w:pStyle w:val="BodyText2"/>
        <w:ind w:left="60"/>
        <w:rPr>
          <w:rFonts w:ascii="Cambria" w:hAnsi="Cambria"/>
          <w:b/>
          <w:bCs/>
          <w:sz w:val="22"/>
          <w:szCs w:val="22"/>
        </w:rPr>
      </w:pPr>
      <w:r w:rsidRPr="007A13B1">
        <w:rPr>
          <w:rFonts w:ascii="Cambria" w:hAnsi="Cambria"/>
          <w:b/>
          <w:bCs/>
          <w:sz w:val="22"/>
          <w:szCs w:val="22"/>
        </w:rPr>
        <w:t>___________________________________________________________</w:t>
      </w:r>
    </w:p>
    <w:p w14:paraId="4BA88F2D" w14:textId="2E392069" w:rsidR="001E0CFD" w:rsidRDefault="001E0CFD" w:rsidP="004D4B30">
      <w:pPr>
        <w:pStyle w:val="BodyText2"/>
        <w:rPr>
          <w:rFonts w:ascii="Cambria" w:hAnsi="Cambria"/>
          <w:sz w:val="22"/>
          <w:szCs w:val="22"/>
        </w:rPr>
      </w:pPr>
    </w:p>
    <w:p w14:paraId="609D1E74" w14:textId="06A63ED5" w:rsidR="007A13B1" w:rsidRDefault="007A13B1" w:rsidP="004D4B30">
      <w:pPr>
        <w:pStyle w:val="BodyText2"/>
        <w:rPr>
          <w:rFonts w:ascii="Cambria" w:hAnsi="Cambria"/>
          <w:sz w:val="22"/>
          <w:szCs w:val="22"/>
        </w:rPr>
      </w:pPr>
    </w:p>
    <w:p w14:paraId="32C51A11" w14:textId="4E85C9DA" w:rsidR="007A13B1" w:rsidRDefault="007A13B1" w:rsidP="004D4B30">
      <w:pPr>
        <w:pStyle w:val="BodyText2"/>
        <w:rPr>
          <w:rFonts w:ascii="Cambria" w:hAnsi="Cambria"/>
          <w:sz w:val="22"/>
          <w:szCs w:val="22"/>
        </w:rPr>
      </w:pPr>
    </w:p>
    <w:p w14:paraId="7D9D9B90" w14:textId="2265EEAE" w:rsidR="007A13B1" w:rsidRDefault="007A13B1" w:rsidP="004D4B30">
      <w:pPr>
        <w:pStyle w:val="BodyText2"/>
        <w:rPr>
          <w:rFonts w:ascii="Cambria" w:hAnsi="Cambria"/>
          <w:sz w:val="22"/>
          <w:szCs w:val="22"/>
        </w:rPr>
      </w:pPr>
    </w:p>
    <w:p w14:paraId="3B825D5B" w14:textId="1344453A" w:rsidR="007A13B1" w:rsidRDefault="007A13B1" w:rsidP="004D4B30">
      <w:pPr>
        <w:pStyle w:val="BodyText2"/>
        <w:rPr>
          <w:rFonts w:ascii="Cambria" w:hAnsi="Cambria"/>
          <w:sz w:val="22"/>
          <w:szCs w:val="22"/>
        </w:rPr>
      </w:pPr>
    </w:p>
    <w:p w14:paraId="3D207B64" w14:textId="77777777" w:rsidR="007A13B1" w:rsidRPr="007A13B1" w:rsidRDefault="007A13B1" w:rsidP="004D4B30">
      <w:pPr>
        <w:pStyle w:val="BodyText2"/>
        <w:rPr>
          <w:rFonts w:ascii="Cambria" w:hAnsi="Cambria"/>
          <w:sz w:val="22"/>
          <w:szCs w:val="22"/>
        </w:rPr>
      </w:pPr>
    </w:p>
    <w:tbl>
      <w:tblPr>
        <w:tblStyle w:val="TableGrid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7A13B1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7A13B1" w:rsidRDefault="00A56B40" w:rsidP="00A56B40">
            <w:pPr>
              <w:pStyle w:val="BodyText2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7A13B1" w:rsidRDefault="00A56B40" w:rsidP="00A56B40">
            <w:pPr>
              <w:pStyle w:val="BodyText2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  <w:u w:val="single"/>
              </w:rPr>
              <w:t>Obsah materiálu:</w:t>
            </w:r>
          </w:p>
        </w:tc>
      </w:tr>
      <w:tr w:rsidR="00A56B40" w:rsidRPr="007A13B1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39D19CED" w:rsidR="00A56B40" w:rsidRPr="007A13B1" w:rsidRDefault="006A114D" w:rsidP="006A114D">
            <w:pPr>
              <w:pStyle w:val="BodyText2"/>
              <w:ind w:right="885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</w:rPr>
              <w:t>iniciatívny materiál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31"/>
            </w:tblGrid>
            <w:tr w:rsidR="006A114D" w:rsidRPr="007A13B1" w14:paraId="33B54C94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20ADB8" w14:textId="73233EA3" w:rsidR="006A114D" w:rsidRPr="007A13B1" w:rsidRDefault="006A114D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1. </w:t>
                  </w:r>
                  <w:r w:rsidR="00C82D94"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predkladacia správa </w:t>
                  </w:r>
                </w:p>
              </w:tc>
            </w:tr>
            <w:tr w:rsidR="006A114D" w:rsidRPr="007A13B1" w14:paraId="4D798437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D479059" w14:textId="2A26F06C" w:rsidR="006A114D" w:rsidRPr="007A13B1" w:rsidRDefault="006A114D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2. </w:t>
                  </w:r>
                  <w:r w:rsidR="00C82D94" w:rsidRPr="007A13B1">
                    <w:rPr>
                      <w:rFonts w:ascii="Cambria" w:hAnsi="Cambria"/>
                      <w:sz w:val="22"/>
                      <w:szCs w:val="22"/>
                    </w:rPr>
                    <w:t>vlastný materiál</w:t>
                  </w:r>
                </w:p>
              </w:tc>
            </w:tr>
            <w:tr w:rsidR="006A114D" w:rsidRPr="007A13B1" w14:paraId="1D890185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9D222AC" w14:textId="0599F40A" w:rsidR="006A114D" w:rsidRPr="007A13B1" w:rsidRDefault="006A114D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3. dôvodová správa - všeobecná </w:t>
                  </w:r>
                  <w:r w:rsidR="00776D72">
                    <w:rPr>
                      <w:rFonts w:ascii="Cambria" w:hAnsi="Cambria"/>
                      <w:sz w:val="22"/>
                      <w:szCs w:val="22"/>
                    </w:rPr>
                    <w:t xml:space="preserve">a osobitná </w:t>
                  </w: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časť</w:t>
                  </w:r>
                </w:p>
              </w:tc>
            </w:tr>
            <w:tr w:rsidR="006A114D" w:rsidRPr="007A13B1" w14:paraId="6485148B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0C0769" w14:textId="280996F4" w:rsidR="006A114D" w:rsidRPr="007A13B1" w:rsidRDefault="006A114D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4. </w:t>
                  </w:r>
                  <w:r w:rsidR="00776D72" w:rsidRPr="007A13B1">
                    <w:rPr>
                      <w:rFonts w:ascii="Cambria" w:hAnsi="Cambria"/>
                      <w:sz w:val="22"/>
                      <w:szCs w:val="22"/>
                    </w:rPr>
                    <w:t>doložka</w:t>
                  </w:r>
                  <w:r w:rsidR="00C82D94">
                    <w:rPr>
                      <w:rFonts w:ascii="Cambria" w:hAnsi="Cambria"/>
                      <w:sz w:val="22"/>
                      <w:szCs w:val="22"/>
                    </w:rPr>
                    <w:t xml:space="preserve"> vybraných</w:t>
                  </w:r>
                  <w:r w:rsidR="00776D72"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 vplyvov</w:t>
                  </w:r>
                </w:p>
              </w:tc>
            </w:tr>
            <w:tr w:rsidR="006A114D" w:rsidRPr="007A13B1" w14:paraId="1210D4E3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0720AAF" w14:textId="559F528B" w:rsidR="006A114D" w:rsidRPr="007A13B1" w:rsidRDefault="006A114D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5. </w:t>
                  </w:r>
                  <w:r w:rsidR="00776D72" w:rsidRPr="007A13B1">
                    <w:rPr>
                      <w:rFonts w:ascii="Cambria" w:hAnsi="Cambria"/>
                      <w:sz w:val="22"/>
                      <w:szCs w:val="22"/>
                    </w:rPr>
                    <w:t>doložka zlučiteľnosti</w:t>
                  </w:r>
                </w:p>
              </w:tc>
            </w:tr>
            <w:tr w:rsidR="006A114D" w:rsidRPr="007A13B1" w14:paraId="327DF92E" w14:textId="77777777" w:rsidTr="004F7EFE">
              <w:trPr>
                <w:divId w:val="1250382843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AC3BEDD" w14:textId="33BD457D" w:rsidR="006A114D" w:rsidRPr="007A13B1" w:rsidRDefault="00F7013B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6</w:t>
                  </w:r>
                  <w:r w:rsidR="006A114D"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776D72" w:rsidRPr="007A13B1">
                    <w:rPr>
                      <w:rFonts w:ascii="Cambria" w:hAnsi="Cambria"/>
                      <w:sz w:val="22"/>
                      <w:szCs w:val="22"/>
                    </w:rPr>
                    <w:t>správa o účasti verejnosti</w:t>
                  </w:r>
                </w:p>
              </w:tc>
            </w:tr>
            <w:tr w:rsidR="00776D72" w:rsidRPr="007A13B1" w14:paraId="4B176737" w14:textId="77777777" w:rsidTr="004F7EFE">
              <w:trPr>
                <w:divId w:val="1250382843"/>
                <w:trHeight w:val="25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CD2BD6" w14:textId="7A794B18" w:rsidR="00917355" w:rsidRPr="007A13B1" w:rsidRDefault="00F7013B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7</w:t>
                  </w:r>
                  <w:r w:rsidR="00776D72"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776D72">
                    <w:rPr>
                      <w:rFonts w:ascii="Cambria" w:hAnsi="Cambria"/>
                      <w:sz w:val="22"/>
                      <w:szCs w:val="22"/>
                    </w:rPr>
                    <w:t>oznámenie o vydaní opatrenia</w:t>
                  </w:r>
                </w:p>
              </w:tc>
            </w:tr>
            <w:tr w:rsidR="00776D72" w:rsidRPr="007A13B1" w14:paraId="787BAD5A" w14:textId="77777777" w:rsidTr="004F7EFE">
              <w:trPr>
                <w:divId w:val="1250382843"/>
                <w:trHeight w:val="258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58633BD" w14:textId="11A14857" w:rsidR="00776D72" w:rsidRPr="007A13B1" w:rsidRDefault="00F7013B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8</w:t>
                  </w:r>
                  <w:r w:rsidR="00917355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 w:rsidR="00182C45">
                    <w:rPr>
                      <w:rFonts w:ascii="Cambria" w:hAnsi="Cambria"/>
                      <w:sz w:val="22"/>
                      <w:szCs w:val="22"/>
                    </w:rPr>
                    <w:t xml:space="preserve">informatívne </w:t>
                  </w:r>
                  <w:r w:rsidR="005B3411">
                    <w:rPr>
                      <w:rFonts w:ascii="Cambria" w:hAnsi="Cambria"/>
                      <w:sz w:val="22"/>
                      <w:szCs w:val="22"/>
                    </w:rPr>
                    <w:t xml:space="preserve">konsolidované </w:t>
                  </w:r>
                  <w:r w:rsidR="00917355">
                    <w:rPr>
                      <w:rFonts w:ascii="Cambria" w:hAnsi="Cambria"/>
                      <w:sz w:val="22"/>
                      <w:szCs w:val="22"/>
                    </w:rPr>
                    <w:t>znenie</w:t>
                  </w:r>
                </w:p>
              </w:tc>
            </w:tr>
          </w:tbl>
          <w:p w14:paraId="6CC1771C" w14:textId="520278CE" w:rsidR="00A56B40" w:rsidRPr="007A13B1" w:rsidRDefault="00A56B40" w:rsidP="006A114D">
            <w:pPr>
              <w:pStyle w:val="BodyText2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29563560" w14:textId="77777777" w:rsidR="007A13B1" w:rsidRDefault="007A13B1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736D86B9" w14:textId="77777777" w:rsidR="00F7013B" w:rsidRDefault="00F7013B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7A92012A" w14:textId="77777777" w:rsidR="00F7013B" w:rsidRDefault="00F7013B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42C5BE5A" w14:textId="77777777" w:rsidR="00F7013B" w:rsidRPr="007A13B1" w:rsidRDefault="00F7013B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1851C728" w14:textId="77777777" w:rsidR="00A64FA0" w:rsidRPr="007A13B1" w:rsidRDefault="00A64FA0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2ADF4AD2" w14:textId="77777777" w:rsidR="00A64FA0" w:rsidRPr="007A13B1" w:rsidRDefault="00A64FA0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587D3055" w14:textId="14520D92" w:rsidR="001E0CFD" w:rsidRPr="007A13B1" w:rsidRDefault="001E0CFD" w:rsidP="004A0CFC">
      <w:pPr>
        <w:pStyle w:val="BodyText2"/>
        <w:jc w:val="both"/>
        <w:rPr>
          <w:rFonts w:ascii="Cambria" w:hAnsi="Cambria"/>
          <w:sz w:val="22"/>
          <w:szCs w:val="22"/>
          <w:u w:val="single"/>
        </w:rPr>
      </w:pPr>
      <w:r w:rsidRPr="007A13B1">
        <w:rPr>
          <w:rFonts w:ascii="Cambria" w:hAnsi="Cambria"/>
          <w:sz w:val="22"/>
          <w:szCs w:val="22"/>
          <w:u w:val="single"/>
        </w:rPr>
        <w:t>Predkladá:</w:t>
      </w:r>
    </w:p>
    <w:p w14:paraId="0E03DE6C" w14:textId="77777777" w:rsidR="00294C11" w:rsidRPr="007A13B1" w:rsidRDefault="00294C11" w:rsidP="004A0CFC">
      <w:pPr>
        <w:pStyle w:val="BodyText2"/>
        <w:jc w:val="both"/>
        <w:rPr>
          <w:rFonts w:ascii="Cambria" w:hAnsi="Cambria"/>
          <w:sz w:val="22"/>
          <w:szCs w:val="22"/>
        </w:rPr>
      </w:pPr>
    </w:p>
    <w:p w14:paraId="690B09D9" w14:textId="77777777" w:rsidR="00294C11" w:rsidRPr="007A13B1" w:rsidRDefault="009D7004" w:rsidP="006C4BE9">
      <w:pPr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fldChar w:fldCharType="begin"/>
      </w:r>
      <w:r w:rsidRPr="007A13B1">
        <w:rPr>
          <w:rFonts w:ascii="Cambria" w:hAnsi="Cambria"/>
          <w:sz w:val="22"/>
          <w:szCs w:val="22"/>
        </w:rPr>
        <w:instrText xml:space="preserve"> DOCPROPERTY  FSC#SKEDITIONSLOVLEX@103.510:</w:instrText>
      </w:r>
      <w:r w:rsidR="0057706E" w:rsidRPr="007A13B1">
        <w:rPr>
          <w:rFonts w:ascii="Cambria" w:hAnsi="Cambria"/>
          <w:sz w:val="22"/>
          <w:szCs w:val="22"/>
        </w:rPr>
        <w:instrText>predkladateliaObalSD</w:instrText>
      </w:r>
      <w:r w:rsidRPr="007A13B1">
        <w:rPr>
          <w:rFonts w:ascii="Cambria" w:hAnsi="Cambria"/>
          <w:sz w:val="22"/>
          <w:szCs w:val="22"/>
        </w:rPr>
        <w:instrText xml:space="preserve">\* MERGEFORMAT </w:instrText>
      </w:r>
      <w:r w:rsidRPr="007A13B1">
        <w:rPr>
          <w:rFonts w:ascii="Cambria" w:hAnsi="Cambria"/>
          <w:sz w:val="22"/>
          <w:szCs w:val="22"/>
        </w:rPr>
        <w:fldChar w:fldCharType="separate"/>
      </w:r>
      <w:r w:rsidR="00294C11" w:rsidRPr="007A13B1">
        <w:rPr>
          <w:rFonts w:ascii="Cambria" w:hAnsi="Cambria"/>
          <w:sz w:val="22"/>
          <w:szCs w:val="22"/>
        </w:rPr>
        <w:t>Ing. Peter Kažimír</w:t>
      </w:r>
    </w:p>
    <w:p w14:paraId="284604DA" w14:textId="041C0B4D" w:rsidR="009D7004" w:rsidRDefault="00294C11" w:rsidP="006C4BE9">
      <w:pPr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t>guvernér NBS</w:t>
      </w:r>
      <w:r w:rsidR="009D7004" w:rsidRPr="007A13B1">
        <w:rPr>
          <w:rFonts w:ascii="Cambria" w:hAnsi="Cambria"/>
          <w:sz w:val="22"/>
          <w:szCs w:val="22"/>
        </w:rPr>
        <w:fldChar w:fldCharType="end"/>
      </w:r>
    </w:p>
    <w:p w14:paraId="382240E2" w14:textId="77777777" w:rsidR="00883F04" w:rsidRDefault="00883F04" w:rsidP="006C4BE9">
      <w:pPr>
        <w:rPr>
          <w:rFonts w:ascii="Cambria" w:hAnsi="Cambria"/>
          <w:sz w:val="22"/>
          <w:szCs w:val="22"/>
        </w:rPr>
      </w:pPr>
    </w:p>
    <w:p w14:paraId="04C87DA0" w14:textId="77777777" w:rsidR="00883F04" w:rsidRDefault="00883F04" w:rsidP="006C4BE9">
      <w:pPr>
        <w:rPr>
          <w:rFonts w:ascii="Cambria" w:hAnsi="Cambria"/>
          <w:sz w:val="22"/>
          <w:szCs w:val="22"/>
        </w:rPr>
      </w:pPr>
    </w:p>
    <w:p w14:paraId="726D5CE4" w14:textId="63804967" w:rsidR="00883F04" w:rsidRPr="007A13B1" w:rsidRDefault="00182C45" w:rsidP="00883F04">
      <w:pPr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august</w:t>
      </w:r>
      <w:r w:rsidR="00883F04">
        <w:rPr>
          <w:rFonts w:ascii="Cambria" w:hAnsi="Cambria"/>
          <w:sz w:val="22"/>
          <w:szCs w:val="22"/>
        </w:rPr>
        <w:t xml:space="preserve"> 2026</w:t>
      </w:r>
    </w:p>
    <w:sectPr w:rsidR="00883F04" w:rsidRPr="007A13B1" w:rsidSect="007A13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851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A27E7" w14:textId="77777777" w:rsidR="00D07C86" w:rsidRDefault="00D07C86" w:rsidP="00AF1D48">
      <w:r>
        <w:separator/>
      </w:r>
    </w:p>
  </w:endnote>
  <w:endnote w:type="continuationSeparator" w:id="0">
    <w:p w14:paraId="7284B4D6" w14:textId="77777777" w:rsidR="00D07C86" w:rsidRDefault="00D07C86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2DF7" w14:textId="77777777" w:rsidR="00294C11" w:rsidRDefault="00294C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BA5D" w14:textId="77777777" w:rsidR="00AF1D48" w:rsidRPr="00294C11" w:rsidRDefault="00AF1D48" w:rsidP="00294C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33FE4" w14:textId="77777777" w:rsidR="00294C11" w:rsidRDefault="00294C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63136" w14:textId="77777777" w:rsidR="00D07C86" w:rsidRDefault="00D07C86" w:rsidP="00AF1D48">
      <w:r>
        <w:separator/>
      </w:r>
    </w:p>
  </w:footnote>
  <w:footnote w:type="continuationSeparator" w:id="0">
    <w:p w14:paraId="631D2A26" w14:textId="77777777" w:rsidR="00D07C86" w:rsidRDefault="00D07C86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7365E" w14:textId="77777777" w:rsidR="00294C11" w:rsidRDefault="00294C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B9EA7" w14:textId="77777777" w:rsidR="00294C11" w:rsidRDefault="00294C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3807E" w14:textId="77777777" w:rsidR="00294C11" w:rsidRDefault="00294C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05CDC"/>
    <w:rsid w:val="00011521"/>
    <w:rsid w:val="00020E9E"/>
    <w:rsid w:val="00036E2E"/>
    <w:rsid w:val="0005650A"/>
    <w:rsid w:val="00061CCF"/>
    <w:rsid w:val="00092758"/>
    <w:rsid w:val="000A41F3"/>
    <w:rsid w:val="000B0CB2"/>
    <w:rsid w:val="000C2162"/>
    <w:rsid w:val="000C6688"/>
    <w:rsid w:val="000D1334"/>
    <w:rsid w:val="000E6767"/>
    <w:rsid w:val="000F344B"/>
    <w:rsid w:val="000F3E0C"/>
    <w:rsid w:val="001125AC"/>
    <w:rsid w:val="00115D12"/>
    <w:rsid w:val="00122CD3"/>
    <w:rsid w:val="0012409A"/>
    <w:rsid w:val="0015458E"/>
    <w:rsid w:val="00160088"/>
    <w:rsid w:val="001630FB"/>
    <w:rsid w:val="00170FAA"/>
    <w:rsid w:val="001725A4"/>
    <w:rsid w:val="00182C45"/>
    <w:rsid w:val="00192935"/>
    <w:rsid w:val="00194157"/>
    <w:rsid w:val="001B7FE0"/>
    <w:rsid w:val="001C66E6"/>
    <w:rsid w:val="001D79DA"/>
    <w:rsid w:val="001E0CFD"/>
    <w:rsid w:val="001F674F"/>
    <w:rsid w:val="00213F9D"/>
    <w:rsid w:val="00220306"/>
    <w:rsid w:val="00225397"/>
    <w:rsid w:val="00236E26"/>
    <w:rsid w:val="00242294"/>
    <w:rsid w:val="002436E8"/>
    <w:rsid w:val="00260C66"/>
    <w:rsid w:val="00273EDB"/>
    <w:rsid w:val="002924C3"/>
    <w:rsid w:val="0029466C"/>
    <w:rsid w:val="00294C11"/>
    <w:rsid w:val="002B0B5D"/>
    <w:rsid w:val="002B45DC"/>
    <w:rsid w:val="002B6B6C"/>
    <w:rsid w:val="002D4123"/>
    <w:rsid w:val="002E4F49"/>
    <w:rsid w:val="002E6307"/>
    <w:rsid w:val="002F185A"/>
    <w:rsid w:val="00307FC9"/>
    <w:rsid w:val="0033171B"/>
    <w:rsid w:val="00352BBA"/>
    <w:rsid w:val="00372AA4"/>
    <w:rsid w:val="0039227D"/>
    <w:rsid w:val="003B2E79"/>
    <w:rsid w:val="003D115D"/>
    <w:rsid w:val="003D77A9"/>
    <w:rsid w:val="003E06B1"/>
    <w:rsid w:val="003E5D3C"/>
    <w:rsid w:val="00414C1D"/>
    <w:rsid w:val="00424324"/>
    <w:rsid w:val="00427B3B"/>
    <w:rsid w:val="00432107"/>
    <w:rsid w:val="0044273A"/>
    <w:rsid w:val="00451EBA"/>
    <w:rsid w:val="00466CAB"/>
    <w:rsid w:val="004802A9"/>
    <w:rsid w:val="00496EFB"/>
    <w:rsid w:val="004A0CFC"/>
    <w:rsid w:val="004A1369"/>
    <w:rsid w:val="004A4BC6"/>
    <w:rsid w:val="004C27B0"/>
    <w:rsid w:val="004D3726"/>
    <w:rsid w:val="004D4B30"/>
    <w:rsid w:val="004D7EDB"/>
    <w:rsid w:val="004F15FB"/>
    <w:rsid w:val="004F50BC"/>
    <w:rsid w:val="004F7EFE"/>
    <w:rsid w:val="00515DB8"/>
    <w:rsid w:val="00526A1F"/>
    <w:rsid w:val="00544A5A"/>
    <w:rsid w:val="0055330D"/>
    <w:rsid w:val="0056032D"/>
    <w:rsid w:val="00575A51"/>
    <w:rsid w:val="0057706E"/>
    <w:rsid w:val="005A2E35"/>
    <w:rsid w:val="005A45F1"/>
    <w:rsid w:val="005B1217"/>
    <w:rsid w:val="005B3411"/>
    <w:rsid w:val="005B7FF4"/>
    <w:rsid w:val="005D335A"/>
    <w:rsid w:val="005F5CC5"/>
    <w:rsid w:val="00601389"/>
    <w:rsid w:val="006023E2"/>
    <w:rsid w:val="0060763C"/>
    <w:rsid w:val="00623BAD"/>
    <w:rsid w:val="00627C51"/>
    <w:rsid w:val="006434BC"/>
    <w:rsid w:val="00671F01"/>
    <w:rsid w:val="00676CE7"/>
    <w:rsid w:val="00676DCD"/>
    <w:rsid w:val="006771B9"/>
    <w:rsid w:val="00685081"/>
    <w:rsid w:val="0069637B"/>
    <w:rsid w:val="006A114D"/>
    <w:rsid w:val="006B2EFB"/>
    <w:rsid w:val="006B36F8"/>
    <w:rsid w:val="006B3DF6"/>
    <w:rsid w:val="006B4F2E"/>
    <w:rsid w:val="006B6372"/>
    <w:rsid w:val="006C4BE9"/>
    <w:rsid w:val="006E7967"/>
    <w:rsid w:val="00714FA1"/>
    <w:rsid w:val="0074520D"/>
    <w:rsid w:val="00747349"/>
    <w:rsid w:val="00747BC1"/>
    <w:rsid w:val="0075754B"/>
    <w:rsid w:val="00757AEB"/>
    <w:rsid w:val="0076658A"/>
    <w:rsid w:val="00776D72"/>
    <w:rsid w:val="0078171E"/>
    <w:rsid w:val="0078451E"/>
    <w:rsid w:val="0079512E"/>
    <w:rsid w:val="007A13B1"/>
    <w:rsid w:val="007A6D98"/>
    <w:rsid w:val="007B2D69"/>
    <w:rsid w:val="008073E3"/>
    <w:rsid w:val="00821793"/>
    <w:rsid w:val="008377C1"/>
    <w:rsid w:val="00855D5A"/>
    <w:rsid w:val="00861CC6"/>
    <w:rsid w:val="00876B4A"/>
    <w:rsid w:val="00883F04"/>
    <w:rsid w:val="008A4A21"/>
    <w:rsid w:val="008D0891"/>
    <w:rsid w:val="008E4F14"/>
    <w:rsid w:val="00907265"/>
    <w:rsid w:val="00917355"/>
    <w:rsid w:val="00922E66"/>
    <w:rsid w:val="00946CED"/>
    <w:rsid w:val="00947EDC"/>
    <w:rsid w:val="009C6528"/>
    <w:rsid w:val="009D7004"/>
    <w:rsid w:val="009E7AFC"/>
    <w:rsid w:val="009E7FEF"/>
    <w:rsid w:val="00A216CD"/>
    <w:rsid w:val="00A27B5F"/>
    <w:rsid w:val="00A56B40"/>
    <w:rsid w:val="00A64FA0"/>
    <w:rsid w:val="00A71802"/>
    <w:rsid w:val="00AA0C58"/>
    <w:rsid w:val="00AF1D48"/>
    <w:rsid w:val="00B03250"/>
    <w:rsid w:val="00B17B60"/>
    <w:rsid w:val="00B42E84"/>
    <w:rsid w:val="00B463AB"/>
    <w:rsid w:val="00B61867"/>
    <w:rsid w:val="00B9213F"/>
    <w:rsid w:val="00BC2EE5"/>
    <w:rsid w:val="00BE174E"/>
    <w:rsid w:val="00BE43B4"/>
    <w:rsid w:val="00C1127B"/>
    <w:rsid w:val="00C20E66"/>
    <w:rsid w:val="00C632CF"/>
    <w:rsid w:val="00C656C8"/>
    <w:rsid w:val="00C82D94"/>
    <w:rsid w:val="00C86CAD"/>
    <w:rsid w:val="00CA55A7"/>
    <w:rsid w:val="00CC25B0"/>
    <w:rsid w:val="00CF6E1B"/>
    <w:rsid w:val="00D02444"/>
    <w:rsid w:val="00D07C86"/>
    <w:rsid w:val="00D43A10"/>
    <w:rsid w:val="00D54852"/>
    <w:rsid w:val="00D54C03"/>
    <w:rsid w:val="00D90022"/>
    <w:rsid w:val="00DA1D25"/>
    <w:rsid w:val="00DA48B3"/>
    <w:rsid w:val="00E11820"/>
    <w:rsid w:val="00E21F79"/>
    <w:rsid w:val="00E30D52"/>
    <w:rsid w:val="00E335AA"/>
    <w:rsid w:val="00E37D9C"/>
    <w:rsid w:val="00E61EC5"/>
    <w:rsid w:val="00E63A5C"/>
    <w:rsid w:val="00E74698"/>
    <w:rsid w:val="00E811AD"/>
    <w:rsid w:val="00E87968"/>
    <w:rsid w:val="00EA7A62"/>
    <w:rsid w:val="00EC6B42"/>
    <w:rsid w:val="00EE4DDD"/>
    <w:rsid w:val="00F21D23"/>
    <w:rsid w:val="00F23D08"/>
    <w:rsid w:val="00F27A99"/>
    <w:rsid w:val="00F5337B"/>
    <w:rsid w:val="00F552C7"/>
    <w:rsid w:val="00F60102"/>
    <w:rsid w:val="00F7013B"/>
    <w:rsid w:val="00F83F06"/>
    <w:rsid w:val="00F85828"/>
    <w:rsid w:val="00FB3A15"/>
    <w:rsid w:val="00FD53A6"/>
    <w:rsid w:val="00FF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eader">
    <w:name w:val="header"/>
    <w:basedOn w:val="Normal"/>
    <w:link w:val="Head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TableGrid">
    <w:name w:val="Table Grid"/>
    <w:basedOn w:val="TableNormal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99"/>
    <w:qFormat/>
    <w:rsid w:val="00A64FA0"/>
    <w:pPr>
      <w:autoSpaceDE/>
      <w:autoSpaceDN/>
      <w:jc w:val="center"/>
    </w:pPr>
    <w:rPr>
      <w:rFonts w:eastAsia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A64FA0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5B3411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4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C1A79EDB-0EA5-43BF-AFB0-5F6C189C2D1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7D4F83B293D5D74A980A4CE74D486F79" ma:contentTypeVersion="" ma:contentTypeDescription="" ma:contentTypeScope="" ma:versionID="0a25eb4ff5506d29a00288cba4fe608e">
  <xsd:schema xmlns:xsd="http://www.w3.org/2001/XMLSchema" xmlns:xs="http://www.w3.org/2001/XMLSchema" xmlns:p="http://schemas.microsoft.com/office/2006/metadata/properties" xmlns:ns1="http://schemas.microsoft.com/sharepoint/v3" xmlns:ns3="C1A79EDB-0EA5-43BF-AFB0-5F6C189C2D17" targetNamespace="http://schemas.microsoft.com/office/2006/metadata/properties" ma:root="true" ma:fieldsID="4bbf54a0d993b6e2dde5c72ada4ad779" ns1:_="" ns3:_="">
    <xsd:import namespace="http://schemas.microsoft.com/sharepoint/v3"/>
    <xsd:import namespace="C1A79EDB-0EA5-43BF-AFB0-5F6C189C2D1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79EDB-0EA5-43BF-AFB0-5F6C189C2D1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0.5.2022 9:05:05"/>
    <f:field ref="objchangedby" par="" text="Administrator, System"/>
    <f:field ref="objmodifiedat" par="" text="20.5.2022 9:05:09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2BE50F28-7BF2-483A-AF74-6FE4721CDE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1A79EDB-0EA5-43BF-AFB0-5F6C189C2D17"/>
  </ds:schemaRefs>
</ds:datastoreItem>
</file>

<file path=customXml/itemProps2.xml><?xml version="1.0" encoding="utf-8"?>
<ds:datastoreItem xmlns:ds="http://schemas.openxmlformats.org/officeDocument/2006/customXml" ds:itemID="{ECB5F0EB-AC41-4A4F-893C-EAEC2FE7CB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A79EDB-0EA5-43BF-AFB0-5F6C189C2D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Mačuga Martin</cp:lastModifiedBy>
  <cp:revision>6</cp:revision>
  <cp:lastPrinted>2001-08-01T11:42:00Z</cp:lastPrinted>
  <dcterms:created xsi:type="dcterms:W3CDTF">2026-07-24T08:59:00Z</dcterms:created>
  <dcterms:modified xsi:type="dcterms:W3CDTF">2026-07-30T07:39:00Z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COO.2145.1000.3.4961378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Medzirezortné pripomienkové konanie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Jana Šulíková</vt:lpwstr>
  </property>
  <property fmtid="{D5CDD505-2E9C-101B-9397-08002B2CF9AE}" pid="11" name="FSC#SKEDITIONSLOVLEX@103.510:zodppredkladatel">
    <vt:lpwstr>Ing. Peter Kažimír</vt:lpwstr>
  </property>
  <property fmtid="{D5CDD505-2E9C-101B-9397-08002B2CF9AE}" pid="12" name="FSC#SKEDITIONSLOVLEX@103.510:nazovpredpis">
    <vt:lpwstr> o predkladaní výkazov obchodníkmi s cennými papiermi na účely zabezpečenia zberu údajov podľa osobitného predpisu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Národná banka Slovenska</vt:lpwstr>
  </property>
  <property fmtid="{D5CDD505-2E9C-101B-9397-08002B2CF9AE}" pid="15" name="FSC#SKEDITIONSLOVLEX@103.510:pripomienkovatelia">
    <vt:lpwstr>Národná banka Slovenska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Opatrenie Národnej banky Slovenska o predkladaní výkazov obchodníkmi s cennými papiermi na účely zabezpečenia zberu údajov podľa osobitného predpisu</vt:lpwstr>
  </property>
  <property fmtid="{D5CDD505-2E9C-101B-9397-08002B2CF9AE}" pid="19" name="FSC#SKEDITIONSLOVLEX@103.510:rezortcislopredpis">
    <vt:lpwstr>100-000-346-502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LP/2022/279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- čl. 114 Zmluvy o fungovaní Európskej únie (konsolidované znenie) (Ú. v. EÚ C 202, 7. 6. 2016) v platnom znení</vt:lpwstr>
  </property>
  <property fmtid="{D5CDD505-2E9C-101B-9397-08002B2CF9AE}" pid="39" name="FSC#SKEDITIONSLOVLEX@103.510:AttrStrListDocPropSekundarneLegPravoPO">
    <vt:lpwstr>- nariadenie Európskeho parlamentu a Rady (EÚ) č. 575/2013 z  26. júna 2013 o prudenciálnych požiadavkách na úverové inštitúcie a investičné spoločnosti a o zmene nariadenia (EÚ) č. 648/2012 (Ú. v. EÚ L 176, 27.6.2013) v platnom znení, gestor: MF SR, NBS;_x000d_
- nariadenie Európskeho parlamentu a Rady (EÚ) 2019/2033 z 27. novembra 2019 o prudenciálnych požiadavkách na investičné spoločnosti a o zmene nariadení (EÚ) č. 1093/2010, (EÚ) č. 575/2013, (EÚ) č. 600/2014 a (EÚ) č. 806/2014 (Ú. v. EÚ L 314, 5.12.2019), gestor: MF SR, NBS;_x000d_
- vykonávacie nariadenie Komisie (EÚ) 2021/2284 zo 10. decembra 2021, ktorým sa stanovujú vykonávacie technické predpisy na uplatňovanie nariadenia Európskeho parlamentu a Rady (EÚ) 2019/2033, pokiaľ ide o predkladanie správ a zverejňovanie informácií investičnými spoločnosťami na účely dohľadu (Ú. v. EÚ L 458, 22.12.2021) (pozn.: k dnešnému dňu ešte nebolo  určené uznesením vlády SR gestorstvo konkrétneho ministerstva, resp. iného ústredného orgánu štátnej správy zodpovedného za aplikáciu a prijatie opatrení na vnútroštátnej úrovni k tomuto vykonávaciemu nariadeniu EÚ)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</vt:lpwstr>
  </property>
  <property fmtid="{D5CDD505-2E9C-101B-9397-08002B2CF9AE}" pid="44" name="FSC#SKEDITIONSLOVLEX@103.510:AttrStrListDocPropLehotaPrebratieSmernice">
    <vt:lpwstr>bezpredmetné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bezpredmetné</vt:lpwstr>
  </property>
  <property fmtid="{D5CDD505-2E9C-101B-9397-08002B2CF9AE}" pid="47" name="FSC#SKEDITIONSLOVLEX@103.510:AttrStrListDocPropInfoUzPreberanePP">
    <vt:lpwstr>bezpredmetné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&lt;p&gt;&lt;em&gt;Povinnosť predkladania výkazov je ustanovená v&amp;nbsp;platnom právne záväznom akte EÚ. Návrh opatrenia ustanovuje iba spôsob predkladania výkazov, a&amp;nbsp;to prostredníctvom informačného systému NBS Štatistický zberový portál. Tento informačný systém sa štandardne používa dohliadanými subjektami, vrátane obchodníkov s&amp;nbsp;cennými papiermi, na predkladanie výkazov. Na základe toho sa usudzuje, že vplyvy návrhu opatrenia sú ako je uvedené v&amp;nbsp;bode 9. &lt;/em&gt;&lt;/p&gt;</vt:lpwstr>
  </property>
  <property fmtid="{D5CDD505-2E9C-101B-9397-08002B2CF9AE}" pid="58" name="FSC#SKEDITIONSLOVLEX@103.510:AttrStrListDocPropAltRiesenia">
    <vt:lpwstr>Nie sú.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justify;"&gt;Návrh opatrenia Národnej banky Slovenska o&amp;nbsp;predkladaní výkazov obchodníkmi s&amp;nbsp;cennými papiermi na účely zabezpečenia zberu údajov podľa osobitného predpisu (ďalej len „opatrenie“) je vypracovaný na základe splnomocňovacieho ustanovenia § 77 ods. 7 zákona č. 566/2001 Z. z. o&amp;nbsp;cenných papieroch a&amp;nbsp;investičných službách a o zmene a doplnení niektorých zákonov (zákon o cenných papieroch) v&amp;nbsp;znení neskorších predpisov a § 35 ods. 2 zákona č. 747/2004 Z. z. o dohľade nad finančným trhom a o zmene a doplnení niektorých zákonov v znení neskorších predpisov.&lt;/p&gt;&lt;p style="text-align: justify;"&gt;Cieľom návrhu opatrenia je ustanovenie spôsobu zberu výkazov podľa článku 54 nariadenia Európskeho parlamentu a&amp;nbsp;Rady (EÚ) 2019/2033 z 27. novembra 2019 o prudenciálnych požiadavkách na investičné spoločnosti a o zmene nariadení (EÚ) č. 1093/2010, (EÚ) č. 575/2013, (EÚ) č. 600/2014 a (EÚ) č. 806/2014 (Ú. v. EÚ L 314, 5.12.2019) a&amp;nbsp;vykonávacieho nariadenia Komisie (EÚ) 2021/2284 z 10. decembra 2021, ktorým sa stanovujú vykonávacie technické predpisy na uplatňovanie nariadenia Európskeho parlamentu a Rady (EÚ) 2019/2033, pokiaľ ide o predkladanie správ a zverejňovanie informácií investičnými spoločnosťami na účely dohľadu (Ú. v. EÚ L 458, 22.12.2021) (ďalej len „vykonávacie nariadenie (EÚ) 2021/2284“).&lt;/p&gt;&lt;p style="text-align: justify;"&gt;Predmetné osobitné predpisy ustanovujú vzory výkazov na poskytovanie komplexných a&amp;nbsp;porovnateľných informácií o&amp;nbsp;zložení a&amp;nbsp;kvalite vlastných zdrojov a&amp;nbsp;rovnako určujú aj referenčné dátumy na predkladanie správ a&amp;nbsp;dátumy zasielania výkazov. Vzhľadom na skutočnosť, že uvedené osobitné predpisy upravujú iba obsah, formát a&amp;nbsp;frekvenciu zasielanie výkazov, návrh opatrenia má upraviť konkrétny spôsob predkladania predmetných výkazov prostredníctvom informačného systému Národnej banky Slovenka Štatistický zberový portál. Vo vzťahu k&amp;nbsp;formátu a&amp;nbsp;frekvencii podávania hlásení obchodníkmi s&amp;nbsp;cennými papiermi návrh opatrenia odkazuje na vykonávacie nariadenie (EÚ) 2021/2284.&lt;/p&gt;&lt;p style="text-align: justify;"&gt;Návrh opatrenia nie je potrebné konzultovať s Európskou centrálnou bankou podľa rozhodnutia Rady z&amp;nbsp;29. júna 1998 o&amp;nbsp;poradení sa s&amp;nbsp;Európskou centrálnou bankou vnútroštátnymi orgánmi ohľadom návrhov právnych predpisov (98/415/ES) (Ú. v. ES L 189, 3.7.1998; Mimoriadne vydanie Ú. v. EÚ, kap. 01/zv. 01).&lt;/p&gt;&lt;p style="text-align: justify;"&gt;Účinnosť opatrenia sa navrhuje dňom jeho vyhlásenia v&amp;nbsp;záujme jeho najskoršej možnej aplikácie pri predkladaní výkazov obchodníkmi s&amp;nbsp;cennými papiermi.&lt;/p&gt;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guvernér NBS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Peter Kažimír_x000d_
guvernér NBS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guvernérovi NBS</vt:lpwstr>
  </property>
  <property fmtid="{D5CDD505-2E9C-101B-9397-08002B2CF9AE}" pid="140" name="FSC#SKEDITIONSLOVLEX@103.510:funkciaZodpPredDativ">
    <vt:lpwstr>guvernéra NBS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justify;"&gt;Návrh opatrenia Národnej banky Slovenska z ... 2022 o predkladaní výkazov obchodníkmi s cennými papiermi na účely zabezpečenia zberu údajov podľa osobitného predpisu bol v&amp;nbsp;čase od 7.&amp;nbsp;&amp;nbsp;&amp;nbsp; marca 2022 do 18. marca 2022 zverejnený vo forme predbežnej informácie v informačnom systéme verejnej správy Slov-Lex (PI/2022/46), čím bola verejnosť informovaná o&amp;nbsp;príprave návrhu opatrenia.&amp;nbsp; &amp;nbsp;&amp;nbsp; &amp;nbsp; &amp;nbsp; &amp;nbsp;&amp;nbsp;&amp;nbsp;&amp;nbsp;&lt;/p&gt;&lt;p style="text-align: justify;"&gt;K predbežnej informácii k predmetnému návrhu opatrenia nebolo vznesené žiadne vyjadrenie zo strany verejnosti.&lt;/p&gt;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20. 5. 2022</vt:lpwstr>
  </property>
  <property fmtid="{D5CDD505-2E9C-101B-9397-08002B2CF9AE}" pid="153" name="ContentTypeId">
    <vt:lpwstr>0x010100F5CEA94C78EB42B7A3BD7D634CEE81BF007D4F83B293D5D74A980A4CE74D486F79</vt:lpwstr>
  </property>
</Properties>
</file>