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poslanca Národnej rady Slovenskej republiky Romana MALATINCA na vydanie zákona, ktorým sa mení a dopĺňa zákon č. 284/2014 Z. z. o Fonde na podporu umenia a o zmene a doplnení zákona č. 434/2010 Z. z. o poskytovaní dotácií v pôsobnosti Ministerstva kultúry Slovenskej republiky v znení zákona č. 79/2013 Z. z. v znení neskorších predpisov (tlač 1245)</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LP/2026/503</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10/0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0</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0</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predložiť aktuálnu verziu Doložky vybraných vplyvov v súlade s platnou Jednotnou metodikou na posudzovanie vybraných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Predkladateľom predložená Doložka vybraných vplyvov nie je v súlade s aktuálne platnou Jednotnou metodikou na posudzovanie vybraných vplyvov účinnou od 1.10.2023. Aktuálne platné formuláre sprievodných dokumentov sú k dispozícii na webovom sídle: https://www.economy.gov.sk/podnikatelske-prostredie/jednotna-metodika/posudzovanie-vplyvov-pre-predkladatelov/dokumenty?csrt=15428989065935973543.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k bodu č. 21</w:t>
              <w:br/>
            </w:r>
            <w:r>
              <w:rPr>
                <w:b w:val="off"/>
                <w:color w:val="000000"/>
                <w:rFonts w:ascii="Times New Roman" w:hAnsi="Times New Roman" w:cs="Times New Roman" w:eastAsia="Times New Roman"/>
                <w:sz w:val="24"/>
              </w:rPr>
              <w:t xml:space="preserve">Rozhodnutie riaditeľa podľa odseku 8 fond zverejní v súlade s § 26 na svojom webovom sídle. Odporúčanie odbornej komisie je pre riaditeľa záväzné. V rozhodnutí podľa odseku 8 písm. b) sa uvedú dôvody neposkytnutia finančných prostriedkov. Proti rozhodnutiu podľa odseku 8 sa nemožno odvolať.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So zmenou slova rada na riaditeľ súhlasíme, ale kľúčovú úlohu pri posudzovaní projektov budú mať odborné komisie. Nie je jasné, čo presne táto úloha znamená. Budú sa ich rozhodnutiami musieť riaditeľ riadiť, alebo ich bude môcť pozmeniť, prípadne úplne ignorovať? Je nevyhnutné určiť, akú váhu budú mať stanoviská odborných komisií, preto navrhujeme znenie:  Odporúčanie odbornej komisie je pre riaditeľa záväzné.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k bodu č. 30</w:t>
              <w:br/>
            </w:r>
            <w:r>
              <w:rPr>
                <w:b w:val="off"/>
                <w:color w:val="000000"/>
                <w:rFonts w:ascii="Times New Roman" w:hAnsi="Times New Roman" w:cs="Times New Roman" w:eastAsia="Times New Roman"/>
                <w:sz w:val="24"/>
              </w:rPr>
              <w:t xml:space="preserve">Navrhujeme ponechať pôvodné znenie a nedopĺňať slová „ktorá obmedzuje realizáciu umeleckých aktivít, kultúry a kreatívneho priemyslu“. </w:t>
              <w:br/>
            </w:r>
            <w:r>
              <w:rPr>
                <w:b w:val="off"/>
                <w:color w:val="000000"/>
                <w:rFonts w:ascii="Times New Roman" w:hAnsi="Times New Roman" w:cs="Times New Roman" w:eastAsia="Times New Roman"/>
                <w:sz w:val="24"/>
              </w:rPr>
              <w:t>Pôvodné znenie: Na finančné prostriedky poskytované fondom na riešenie dôsledkov krízovej situácie sa nevzťahujú ustanovenia § 18 ods. 6, § 19 ods. 2 písm. a), b), d) až g), § 21 a § 22 ods. 9 a 12; ustanovenie § 20 ods. 2 sa v takom prípade použije primerane. Ustanovenia § 18 ods. 6, § 19 ods. 2 písm. a), b), d) až g) a § 22 ods. 9 a 12 sa nevzťahujú ani na finančné prostriedky poskytované fondom na základe žiadosti, ktorú na základe inej výzvy na predkladanie žiadostí zverejnenej fondom v čase krízovej situácie alebo do šiestich mesiacov po skončení krízovej situácie predložil žiadateľ z územia zasiahnutého krízovou situáciou alebo ak sa projekt realizuje na území zasiahnutom krízovou situáciou; ustanovenie § 20 ods. 2 sa v takom prípade použije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Zrušenie predkladania kópií účtovných dokladov, ako aj xerokópií príloh vecného vyhodnotenia, ktoré sa do súčasnosti stále nevyžadujú, bol dobrým krokom nielen z hľadiska krízy, ale aj vzhľadom na byrokratickú záťaž a životné prostredie. Vyhotovovanie zbytočných xerokópií všetkých dokladov nie je potrebné, nakoľko FPU ako aj všetky ostatné kontrolné orgány majú právo kedykoľvek skontrolovať pravosť originálnych účtovných dokladov a výstupov projektov prijímateľov dotácií. V prípade, že by bolo opätovne po novelizácii potrebné predkladať kópie účtovných dokladov, bolo by najvhodnejšie umožniť prijímateľovi dotácie nahrať ich výlučne v elektronickej podobe do administratívneho systému FPU, čím by sa predišlo zbytočnej tlači a zvýšeným nákladom na poštovné.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10 (10o, 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3</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