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2BB4A" w14:textId="6B2B72C4" w:rsidR="000005C6" w:rsidRPr="005A4A49" w:rsidRDefault="009A6E97" w:rsidP="000005C6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sk-SK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sk-SK"/>
        </w:rPr>
        <w:t>Predbežné</w:t>
      </w:r>
      <w:r w:rsidR="00094978">
        <w:rPr>
          <w:rFonts w:ascii="Times New Roman" w:eastAsia="Times New Roman" w:hAnsi="Times New Roman"/>
          <w:b/>
          <w:bCs/>
          <w:sz w:val="26"/>
          <w:szCs w:val="26"/>
          <w:lang w:eastAsia="sk-SK"/>
        </w:rPr>
        <w:t xml:space="preserve"> stanovisko </w:t>
      </w:r>
    </w:p>
    <w:p w14:paraId="0DCC9C5E" w14:textId="77777777" w:rsidR="0059331A" w:rsidRDefault="0059331A" w:rsidP="000005C6">
      <w:pPr>
        <w:spacing w:after="0" w:line="240" w:lineRule="auto"/>
        <w:ind w:left="1080" w:hanging="1080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7D97765F" w14:textId="77777777" w:rsidR="000005C6" w:rsidRPr="005A4A49" w:rsidRDefault="000005C6" w:rsidP="00247318">
      <w:pPr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sk-SK"/>
        </w:rPr>
        <w:t>VŠEOBECNÁ ČASŤ</w:t>
      </w:r>
    </w:p>
    <w:p w14:paraId="36A50B81" w14:textId="77777777" w:rsidR="000005C6" w:rsidRDefault="000005C6" w:rsidP="00247318">
      <w:pPr>
        <w:tabs>
          <w:tab w:val="left" w:pos="284"/>
        </w:tabs>
        <w:spacing w:after="0" w:line="240" w:lineRule="auto"/>
        <w:ind w:left="720" w:hanging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74B72A67" w14:textId="77777777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Názov</w:t>
      </w:r>
    </w:p>
    <w:p w14:paraId="2FF791EE" w14:textId="681EFB53" w:rsidR="00273FB5" w:rsidRDefault="008C6F92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C6F92">
        <w:rPr>
          <w:rFonts w:ascii="Times New Roman" w:hAnsi="Times New Roman"/>
          <w:sz w:val="24"/>
          <w:szCs w:val="24"/>
        </w:rPr>
        <w:t>Návrh SMERNICA EURÓPSKEHO PARLAMENTU A RADY, ktorou sa mení smernica 2007/2/ES, pokiaľ ide o zjednodušenie určitých požiadaviek na zriadenie Infraštruktúry pre priestorové informácie v</w:t>
      </w:r>
      <w:r>
        <w:rPr>
          <w:rFonts w:ascii="Times New Roman" w:hAnsi="Times New Roman"/>
          <w:sz w:val="24"/>
          <w:szCs w:val="24"/>
        </w:rPr>
        <w:t> </w:t>
      </w:r>
      <w:r w:rsidRPr="008C6F92">
        <w:rPr>
          <w:rFonts w:ascii="Times New Roman" w:hAnsi="Times New Roman"/>
          <w:sz w:val="24"/>
          <w:szCs w:val="24"/>
        </w:rPr>
        <w:t>Únii</w:t>
      </w:r>
    </w:p>
    <w:p w14:paraId="1882D05C" w14:textId="77777777" w:rsidR="008C6F92" w:rsidRPr="005232A0" w:rsidRDefault="008C6F92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43B9B6EF" w14:textId="53756623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Číslo a</w:t>
      </w:r>
      <w:r w:rsidR="00B04EA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dátum zverejnenia dokumentu EK</w:t>
      </w: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(prí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padne číslo a dátum zverejnenia </w:t>
      </w: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dokumentu Rady EÚ)</w:t>
      </w:r>
    </w:p>
    <w:p w14:paraId="478A54CD" w14:textId="7DBA0701" w:rsidR="00273FB5" w:rsidRPr="00273FB5" w:rsidRDefault="008C6F92" w:rsidP="00273FB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6F92">
        <w:rPr>
          <w:rFonts w:ascii="Times New Roman" w:eastAsia="Times New Roman" w:hAnsi="Times New Roman"/>
          <w:sz w:val="24"/>
          <w:szCs w:val="24"/>
          <w:lang w:eastAsia="sk-SK"/>
        </w:rPr>
        <w:t>COM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C6F92">
        <w:rPr>
          <w:rFonts w:ascii="Times New Roman" w:eastAsia="Times New Roman" w:hAnsi="Times New Roman"/>
          <w:sz w:val="24"/>
          <w:szCs w:val="24"/>
          <w:lang w:eastAsia="sk-SK"/>
        </w:rPr>
        <w:t>(2025)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C6F92">
        <w:rPr>
          <w:rFonts w:ascii="Times New Roman" w:eastAsia="Times New Roman" w:hAnsi="Times New Roman"/>
          <w:sz w:val="24"/>
          <w:szCs w:val="24"/>
          <w:lang w:eastAsia="sk-SK"/>
        </w:rPr>
        <w:t xml:space="preserve">985 </w:t>
      </w:r>
      <w:r w:rsidR="00273FB5" w:rsidRPr="008C6F92">
        <w:rPr>
          <w:rFonts w:ascii="Times New Roman" w:eastAsia="Times New Roman" w:hAnsi="Times New Roman"/>
          <w:sz w:val="24"/>
          <w:szCs w:val="24"/>
          <w:lang w:eastAsia="sk-SK"/>
        </w:rPr>
        <w:t xml:space="preserve">zo dňa </w:t>
      </w:r>
      <w:r w:rsidRPr="008C6F92">
        <w:rPr>
          <w:rFonts w:ascii="Times New Roman" w:eastAsia="Times New Roman" w:hAnsi="Times New Roman"/>
          <w:sz w:val="24"/>
          <w:szCs w:val="24"/>
          <w:lang w:eastAsia="sk-SK"/>
        </w:rPr>
        <w:t>02.02.2026</w:t>
      </w:r>
    </w:p>
    <w:p w14:paraId="49DE952B" w14:textId="77777777" w:rsidR="005232A0" w:rsidRDefault="005232A0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7B0D66C3" w14:textId="77777777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Označenie výboru alebo pracovnej skupiny</w:t>
      </w:r>
    </w:p>
    <w:p w14:paraId="48067829" w14:textId="1821C137" w:rsidR="00273FB5" w:rsidRPr="00273FB5" w:rsidRDefault="00273FB5" w:rsidP="00273FB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73FB5">
        <w:rPr>
          <w:rFonts w:ascii="Times New Roman" w:eastAsia="Times New Roman" w:hAnsi="Times New Roman"/>
          <w:sz w:val="24"/>
          <w:szCs w:val="24"/>
          <w:lang w:eastAsia="sk-SK"/>
        </w:rPr>
        <w:t xml:space="preserve">Pracovná skupina </w:t>
      </w:r>
      <w:proofErr w:type="spellStart"/>
      <w:r w:rsidRPr="00273FB5">
        <w:rPr>
          <w:rFonts w:ascii="Times New Roman" w:eastAsia="Times New Roman" w:hAnsi="Times New Roman"/>
          <w:sz w:val="24"/>
          <w:szCs w:val="24"/>
          <w:lang w:eastAsia="sk-SK"/>
        </w:rPr>
        <w:t>Antici</w:t>
      </w:r>
      <w:proofErr w:type="spellEnd"/>
      <w:r w:rsidRPr="00273FB5">
        <w:rPr>
          <w:rFonts w:ascii="Times New Roman" w:eastAsia="Times New Roman" w:hAnsi="Times New Roman"/>
          <w:sz w:val="24"/>
          <w:szCs w:val="24"/>
          <w:lang w:eastAsia="sk-SK"/>
        </w:rPr>
        <w:t xml:space="preserve"> k zjednodušovaniu (AGS)</w:t>
      </w:r>
    </w:p>
    <w:p w14:paraId="599463FB" w14:textId="77777777" w:rsidR="005232A0" w:rsidRDefault="005232A0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2CCC7A3D" w14:textId="77777777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Gestorský ÚOŠS</w:t>
      </w:r>
    </w:p>
    <w:p w14:paraId="6B830468" w14:textId="764C1420" w:rsidR="00273FB5" w:rsidRPr="00273FB5" w:rsidRDefault="00273FB5" w:rsidP="00273FB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73FB5">
        <w:rPr>
          <w:rFonts w:ascii="Times New Roman" w:eastAsia="Times New Roman" w:hAnsi="Times New Roman"/>
          <w:sz w:val="24"/>
          <w:szCs w:val="24"/>
          <w:lang w:eastAsia="sk-SK"/>
        </w:rPr>
        <w:t xml:space="preserve">Ministerstvo </w:t>
      </w:r>
      <w:r w:rsidR="009575F9">
        <w:rPr>
          <w:rFonts w:ascii="Times New Roman" w:eastAsia="Times New Roman" w:hAnsi="Times New Roman"/>
          <w:sz w:val="24"/>
          <w:szCs w:val="24"/>
          <w:lang w:eastAsia="sk-SK"/>
        </w:rPr>
        <w:t>životného prostredia</w:t>
      </w:r>
      <w:r w:rsidRPr="00273FB5">
        <w:rPr>
          <w:rFonts w:ascii="Times New Roman" w:eastAsia="Times New Roman" w:hAnsi="Times New Roman"/>
          <w:sz w:val="24"/>
          <w:szCs w:val="24"/>
          <w:lang w:eastAsia="sk-SK"/>
        </w:rPr>
        <w:t xml:space="preserve"> Slovenskej republiky</w:t>
      </w:r>
    </w:p>
    <w:p w14:paraId="7CA922C4" w14:textId="77777777" w:rsidR="00771DDB" w:rsidRDefault="00771DDB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7FA7ACBD" w14:textId="77777777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Charakteristika prijímaného aktu</w:t>
      </w:r>
    </w:p>
    <w:p w14:paraId="7488BFD2" w14:textId="77777777" w:rsidR="00771DDB" w:rsidRDefault="00771DDB" w:rsidP="00771DDB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D33DC04" w14:textId="77777777" w:rsidR="000005C6" w:rsidRDefault="000005C6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Metóda schvaľovania</w:t>
      </w:r>
    </w:p>
    <w:p w14:paraId="698C8DC7" w14:textId="77777777" w:rsidR="005232A0" w:rsidRDefault="005232A0" w:rsidP="0024731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5027FA43" w14:textId="77777777" w:rsidR="000005C6" w:rsidRDefault="0059331A" w:rsidP="0024731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Zhrnutie obsahu a</w:t>
      </w:r>
      <w:r w:rsidR="00771DD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cieľa</w:t>
      </w:r>
      <w:r w:rsidR="00771DD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prijímaného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71DD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aktu</w:t>
      </w:r>
    </w:p>
    <w:p w14:paraId="107905B7" w14:textId="77777777" w:rsidR="00273FB5" w:rsidRDefault="00273FB5" w:rsidP="00273FB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2A9C7E4D" w14:textId="5801FCC5" w:rsidR="00273FB5" w:rsidRDefault="00273FB5" w:rsidP="00273FB5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EÚ vybudovala rozsiahly rámec právnych predpisov na zlepšenie kvality ovzdušia, vody, pôdy, biodiverzity a na podporu obehového hospodárstva a prechodu na čistú energiu, čo je nevyhnutné aj vzhľadom na rastúce geopolitické a ekonomické výzvy. Zhoršovanie životného prostredia ohrozuje ekonomiku, zatiaľ čo udržateľné riešenia môžu prinášať rast a pracovné miesta, preto Komisia prostredníctvom Kompasu konkurencieschopnosti presadzuje inovácie, dekarbonizáciu a znižovanie závislostí spolu so zjednodušením legislatívy. Nový balík opatrení (ôsmy súhrnný balík opatrení – </w:t>
      </w:r>
      <w:proofErr w:type="spellStart"/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Omnibus</w:t>
      </w:r>
      <w:proofErr w:type="spellEnd"/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VIII) má znížiť administratívnu záťaž, zefektívniť dosahovanie environmentálnych cieľov, posilniť jednotný trh a podporiť oblasti ako priemyselné emisie, </w:t>
      </w:r>
      <w:proofErr w:type="spellStart"/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obehovosť</w:t>
      </w:r>
      <w:proofErr w:type="spellEnd"/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či environmentálne hodnotenie, pričom má pomôcť aj poľnohospodárom a prilákať mladých ľudí do sektora.</w:t>
      </w:r>
      <w:r w:rsidR="009575F9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Do súhrnného balíka opatrení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bola zahrnutá aj </w:t>
      </w:r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Smernica INSPIRE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273FB5">
        <w:rPr>
          <w:rFonts w:ascii="Times New Roman" w:eastAsia="Times New Roman" w:hAnsi="Times New Roman"/>
          <w:bCs/>
          <w:sz w:val="24"/>
          <w:szCs w:val="24"/>
          <w:lang w:eastAsia="sk-SK"/>
        </w:rPr>
        <w:t>zjednodušenie oznamovania priestorových údajov.</w:t>
      </w:r>
    </w:p>
    <w:p w14:paraId="7A065028" w14:textId="77777777" w:rsidR="00FE1113" w:rsidRPr="0059331A" w:rsidRDefault="00FE1113" w:rsidP="0059331A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5F3DF4CF" w14:textId="77777777" w:rsidR="000005C6" w:rsidRPr="009B26EA" w:rsidRDefault="000005C6" w:rsidP="0059331A"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Navrhovaný dátum implementácie</w:t>
      </w:r>
    </w:p>
    <w:p w14:paraId="0D8AAC30" w14:textId="77777777" w:rsidR="008172EA" w:rsidRDefault="008172EA" w:rsidP="0059331A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1BFC6902" w14:textId="77777777" w:rsidR="000005C6" w:rsidRPr="005A4A49" w:rsidRDefault="000005C6" w:rsidP="0059331A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A4A49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sk-SK"/>
        </w:rPr>
        <w:t>STANOVISKO SLOVENSKEJ REPUBLIKY</w:t>
      </w:r>
    </w:p>
    <w:p w14:paraId="7C2CF22C" w14:textId="57C9A291" w:rsidR="00767C96" w:rsidRDefault="00767C96" w:rsidP="00DB4A3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D51A4E" w14:textId="77777777" w:rsidR="00DB4A3E" w:rsidRPr="00DB4A3E" w:rsidRDefault="00DB4A3E" w:rsidP="009575F9">
      <w:pPr>
        <w:spacing w:after="12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DB4A3E">
        <w:rPr>
          <w:rFonts w:ascii="Times New Roman" w:hAnsi="Times New Roman"/>
          <w:i/>
          <w:iCs/>
          <w:sz w:val="24"/>
          <w:szCs w:val="24"/>
        </w:rPr>
        <w:t>Slovenská republika (SR) podporuje úsilie o zjednodušenie smernice INSPIRE a súvisiacu konsolidáciu s EÚ environmentálnym a dátovým legislatívnym rámcom, avšak má zásadné výhrady k spôsobu navrhnutom v predmetnom dokumente.</w:t>
      </w:r>
    </w:p>
    <w:p w14:paraId="6ED254FA" w14:textId="77777777" w:rsidR="00DB4A3E" w:rsidRPr="00DB4A3E" w:rsidRDefault="00DB4A3E" w:rsidP="00DB4A3E">
      <w:pPr>
        <w:jc w:val="both"/>
        <w:rPr>
          <w:rFonts w:ascii="Times New Roman" w:hAnsi="Times New Roman"/>
          <w:sz w:val="24"/>
          <w:szCs w:val="24"/>
        </w:rPr>
      </w:pPr>
      <w:r w:rsidRPr="00DB4A3E">
        <w:rPr>
          <w:rFonts w:ascii="Times New Roman" w:hAnsi="Times New Roman"/>
          <w:sz w:val="24"/>
          <w:szCs w:val="24"/>
        </w:rPr>
        <w:t xml:space="preserve">Revízia smernice je nevyhnutná, no predložený návrh redukuje pôvodný rozsah regulovaných tém iba na </w:t>
      </w:r>
      <w:proofErr w:type="spellStart"/>
      <w:r w:rsidRPr="00DB4A3E">
        <w:rPr>
          <w:rFonts w:ascii="Times New Roman" w:hAnsi="Times New Roman"/>
          <w:sz w:val="24"/>
          <w:szCs w:val="24"/>
        </w:rPr>
        <w:t>metaúdaje</w:t>
      </w:r>
      <w:proofErr w:type="spellEnd"/>
      <w:r w:rsidRPr="00DB4A3E">
        <w:rPr>
          <w:rFonts w:ascii="Times New Roman" w:hAnsi="Times New Roman"/>
          <w:sz w:val="24"/>
          <w:szCs w:val="24"/>
        </w:rPr>
        <w:t xml:space="preserve"> a koordináciu, pričom zvyšné oblasti (služby, </w:t>
      </w:r>
      <w:proofErr w:type="spellStart"/>
      <w:r w:rsidRPr="00DB4A3E">
        <w:rPr>
          <w:rFonts w:ascii="Times New Roman" w:hAnsi="Times New Roman"/>
          <w:sz w:val="24"/>
          <w:szCs w:val="24"/>
        </w:rPr>
        <w:t>interoperabilita</w:t>
      </w:r>
      <w:proofErr w:type="spellEnd"/>
      <w:r w:rsidRPr="00DB4A3E">
        <w:rPr>
          <w:rFonts w:ascii="Times New Roman" w:hAnsi="Times New Roman"/>
          <w:sz w:val="24"/>
          <w:szCs w:val="24"/>
        </w:rPr>
        <w:t xml:space="preserve">, zdieľanie a monitoring) „presúva“ pod ďalšiu legislatívu, ktorá je v súčasnosti takisto predmetom </w:t>
      </w:r>
      <w:r w:rsidRPr="00DB4A3E">
        <w:rPr>
          <w:rFonts w:ascii="Times New Roman" w:hAnsi="Times New Roman"/>
          <w:sz w:val="24"/>
          <w:szCs w:val="24"/>
        </w:rPr>
        <w:lastRenderedPageBreak/>
        <w:t xml:space="preserve">legislatívnych zmien (napríklad Smernica pre Otvorené údaje Smernica (EÚ) 2019/1024 v rámci digitálneho </w:t>
      </w:r>
      <w:proofErr w:type="spellStart"/>
      <w:r w:rsidRPr="00DB4A3E">
        <w:rPr>
          <w:rFonts w:ascii="Times New Roman" w:hAnsi="Times New Roman"/>
          <w:sz w:val="24"/>
          <w:szCs w:val="24"/>
        </w:rPr>
        <w:t>Omnibusu</w:t>
      </w:r>
      <w:proofErr w:type="spellEnd"/>
      <w:r w:rsidRPr="00DB4A3E"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Pr="00DB4A3E">
        <w:rPr>
          <w:rFonts w:ascii="Times New Roman" w:hAnsi="Times New Roman"/>
          <w:sz w:val="24"/>
          <w:szCs w:val="24"/>
        </w:rPr>
        <w:t xml:space="preserve">). </w:t>
      </w:r>
    </w:p>
    <w:p w14:paraId="6F99D958" w14:textId="03468964" w:rsidR="00DB4A3E" w:rsidRPr="00DB4A3E" w:rsidRDefault="00DB4A3E" w:rsidP="009575F9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DB4A3E">
        <w:rPr>
          <w:rFonts w:ascii="Times New Roman" w:hAnsi="Times New Roman"/>
          <w:sz w:val="24"/>
          <w:szCs w:val="24"/>
        </w:rPr>
        <w:t>Oceňujeme úsilie o synergie s ďalšou relevantnou EÚ legislatívou, ako aj snahu zjednodušiť prístup užívateľa k údajom (vrátane priestorových)</w:t>
      </w:r>
      <w:r w:rsidR="00D54A91">
        <w:rPr>
          <w:rFonts w:ascii="Times New Roman" w:hAnsi="Times New Roman"/>
          <w:sz w:val="24"/>
          <w:szCs w:val="24"/>
        </w:rPr>
        <w:t xml:space="preserve"> a eliminovať administratívnu záťaž. S</w:t>
      </w:r>
      <w:r w:rsidRPr="00DB4A3E">
        <w:rPr>
          <w:rFonts w:ascii="Times New Roman" w:hAnsi="Times New Roman"/>
          <w:sz w:val="24"/>
          <w:szCs w:val="24"/>
        </w:rPr>
        <w:t>pôsob, navrhnutý v predmetnom materiáli však podľa nášho názoru v súčasnej podobe povedie k zvýšeniu neprehľadnosti a tým komplexnosti tak pre poskytovateľov ako aj používateľov týchto priestorových údajov. Zároveň vytvára aj významné výzvy pre sprehľadnenie monitoringu a vyhodnocovania využívania priestorových údajov</w:t>
      </w:r>
      <w:r w:rsidR="00D54A91">
        <w:rPr>
          <w:rFonts w:ascii="Times New Roman" w:hAnsi="Times New Roman"/>
          <w:sz w:val="24"/>
          <w:szCs w:val="24"/>
        </w:rPr>
        <w:t xml:space="preserve">. Máme za to, že súčasný návrh spôsobí zníženie kvality dostupných </w:t>
      </w:r>
      <w:proofErr w:type="spellStart"/>
      <w:r w:rsidR="00D54A91">
        <w:rPr>
          <w:rFonts w:ascii="Times New Roman" w:hAnsi="Times New Roman"/>
          <w:sz w:val="24"/>
          <w:szCs w:val="24"/>
        </w:rPr>
        <w:t>priestových</w:t>
      </w:r>
      <w:proofErr w:type="spellEnd"/>
      <w:r w:rsidR="00D54A91">
        <w:rPr>
          <w:rFonts w:ascii="Times New Roman" w:hAnsi="Times New Roman"/>
          <w:sz w:val="24"/>
          <w:szCs w:val="24"/>
        </w:rPr>
        <w:t xml:space="preserve"> údajov</w:t>
      </w:r>
      <w:r w:rsidR="00695D71">
        <w:rPr>
          <w:rFonts w:ascii="Times New Roman" w:hAnsi="Times New Roman"/>
          <w:sz w:val="24"/>
          <w:szCs w:val="24"/>
        </w:rPr>
        <w:t xml:space="preserve"> a súvisiacich rozhraní</w:t>
      </w:r>
      <w:r w:rsidR="00D54A91">
        <w:rPr>
          <w:rFonts w:ascii="Times New Roman" w:hAnsi="Times New Roman"/>
          <w:sz w:val="24"/>
          <w:szCs w:val="24"/>
        </w:rPr>
        <w:t xml:space="preserve"> a zvýšenie nákladov na ich spracovanie a</w:t>
      </w:r>
      <w:r w:rsidR="00695D71">
        <w:rPr>
          <w:rFonts w:ascii="Times New Roman" w:hAnsi="Times New Roman"/>
          <w:sz w:val="24"/>
          <w:szCs w:val="24"/>
        </w:rPr>
        <w:t> použitie. To môže ohroziť ambície</w:t>
      </w:r>
      <w:r w:rsidRPr="00DB4A3E">
        <w:rPr>
          <w:rFonts w:ascii="Times New Roman" w:hAnsi="Times New Roman"/>
          <w:sz w:val="24"/>
          <w:szCs w:val="24"/>
        </w:rPr>
        <w:t xml:space="preserve"> zníženia administratívnej záťaže, zefektívnenia dosahovania environmentálnych cieľov a posilnenia jednotného trhu. </w:t>
      </w:r>
    </w:p>
    <w:p w14:paraId="6EFA05DE" w14:textId="77777777" w:rsidR="00DB4A3E" w:rsidRPr="00DB4A3E" w:rsidRDefault="00DB4A3E" w:rsidP="00DB4A3E">
      <w:pPr>
        <w:rPr>
          <w:rFonts w:ascii="Times New Roman" w:hAnsi="Times New Roman"/>
          <w:sz w:val="24"/>
          <w:szCs w:val="24"/>
        </w:rPr>
      </w:pPr>
      <w:r w:rsidRPr="00DB4A3E">
        <w:rPr>
          <w:rFonts w:ascii="Times New Roman" w:hAnsi="Times New Roman"/>
          <w:sz w:val="24"/>
          <w:szCs w:val="24"/>
        </w:rPr>
        <w:t>Na základe uvedeného preto Slovenská republika považuje za potrebné:</w:t>
      </w:r>
    </w:p>
    <w:p w14:paraId="08C01AA6" w14:textId="5FACF5E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Rozšíriť </w:t>
      </w:r>
      <w:r w:rsidRPr="00DB4A3E">
        <w:rPr>
          <w:rFonts w:ascii="Times New Roman" w:hAnsi="Times New Roman" w:cs="Times New Roman"/>
          <w:sz w:val="24"/>
          <w:szCs w:val="24"/>
        </w:rPr>
        <w:t xml:space="preserve">požiadavky na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metaúdaje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v oblasti dokumentácie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metaúdajov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pôvodných neharmonizovaných súborov priestorových údajov (As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data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>) a 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metaúdajov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o aplikáciách, ktoré využívajú tieto súbory priestorových údajov.</w:t>
      </w:r>
    </w:p>
    <w:p w14:paraId="4CCB15AA" w14:textId="7777777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 xml:space="preserve">Podporiť mechanizmy na automatizovanú technologickú a sémantickú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interoperabilitu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a sprehľadniť existujúce klasifikácie ako HVD (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open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data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High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value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datasets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),  INSPIRE témy ako aj INSPIRE prioritné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datasety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>.</w:t>
      </w:r>
    </w:p>
    <w:p w14:paraId="260AFFEA" w14:textId="7777777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>Zachovať súčasné požiadavky na funkcionalitu vyhľadávania, zobrazovania a ukladania súborov priestorových údajov. Aktualizovať a zabezpečiť dostatočný časový rámec a systémovú podporu na prechod zo súčasných služieb (doposiaľ využívaných v rámci INSPIRE) na moderné strojovo-spracovateľné aplikačné rozhrania služieb priestorových údajov (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APIs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>).</w:t>
      </w:r>
    </w:p>
    <w:p w14:paraId="6B6D6382" w14:textId="1426E72B" w:rsidR="00695D71" w:rsidRDefault="00695D71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Zachovať </w:t>
      </w:r>
      <w:r w:rsidR="009575F9">
        <w:rPr>
          <w:rFonts w:ascii="Times New Roman" w:hAnsi="Times New Roman" w:cs="Times New Roman"/>
          <w:sz w:val="24"/>
          <w:szCs w:val="24"/>
        </w:rPr>
        <w:t xml:space="preserve">výkonové </w:t>
      </w:r>
      <w:r>
        <w:rPr>
          <w:rFonts w:ascii="Times New Roman" w:hAnsi="Times New Roman" w:cs="Times New Roman"/>
          <w:sz w:val="24"/>
          <w:szCs w:val="24"/>
        </w:rPr>
        <w:t>požiadavky na kvalitu</w:t>
      </w:r>
      <w:r w:rsidR="009575F9">
        <w:rPr>
          <w:rFonts w:ascii="Times New Roman" w:hAnsi="Times New Roman" w:cs="Times New Roman"/>
          <w:sz w:val="24"/>
          <w:szCs w:val="24"/>
        </w:rPr>
        <w:t xml:space="preserve"> služieb/rozhraní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86FBB" w14:textId="44116C1D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>Zabezpečiť podporu pre zdieľanie súborov priestorových údajov s inou ako otvorenou licenciou.</w:t>
      </w:r>
    </w:p>
    <w:p w14:paraId="51B3037E" w14:textId="7777777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 xml:space="preserve">Zabezpečiť mechanizmus monitoringu a hodnotenia využívania súborov priestorových údajov. </w:t>
      </w:r>
    </w:p>
    <w:p w14:paraId="5B99D934" w14:textId="7777777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 xml:space="preserve">Zachovať INSPIRE </w:t>
      </w:r>
      <w:proofErr w:type="spellStart"/>
      <w:r w:rsidRPr="00DB4A3E">
        <w:rPr>
          <w:rFonts w:ascii="Times New Roman" w:hAnsi="Times New Roman" w:cs="Times New Roman"/>
          <w:sz w:val="24"/>
          <w:szCs w:val="24"/>
        </w:rPr>
        <w:t>geoportál</w:t>
      </w:r>
      <w:proofErr w:type="spellEnd"/>
      <w:r w:rsidRPr="00DB4A3E">
        <w:rPr>
          <w:rFonts w:ascii="Times New Roman" w:hAnsi="Times New Roman" w:cs="Times New Roman"/>
          <w:sz w:val="24"/>
          <w:szCs w:val="24"/>
        </w:rPr>
        <w:t xml:space="preserve">, prípadne zabezpečiť rozvoj EU portálu otvorených údajov so zohľadnením špecifických požiadaviek používateľov priestorových údajov. </w:t>
      </w:r>
    </w:p>
    <w:p w14:paraId="382E9754" w14:textId="77777777" w:rsidR="00DB4A3E" w:rsidRPr="00DB4A3E" w:rsidRDefault="00DB4A3E" w:rsidP="00DB4A3E">
      <w:pPr>
        <w:pStyle w:val="Odsekzoznamu"/>
        <w:numPr>
          <w:ilvl w:val="0"/>
          <w:numId w:val="23"/>
        </w:numPr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>Zabezpečiť transparentnú a efektívnu koordináciu INSPIRE a ďalších súvisiacich digitálnych a environmentálnych koordinačných rámcov.</w:t>
      </w:r>
    </w:p>
    <w:p w14:paraId="6E703985" w14:textId="77777777" w:rsidR="00DB4A3E" w:rsidRPr="00DB4A3E" w:rsidRDefault="00DB4A3E" w:rsidP="009575F9">
      <w:pPr>
        <w:pStyle w:val="Odsekzoznamu"/>
        <w:numPr>
          <w:ilvl w:val="0"/>
          <w:numId w:val="23"/>
        </w:numPr>
        <w:spacing w:after="120" w:line="259" w:lineRule="auto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4A3E">
        <w:rPr>
          <w:rFonts w:ascii="Times New Roman" w:hAnsi="Times New Roman" w:cs="Times New Roman"/>
          <w:sz w:val="24"/>
          <w:szCs w:val="24"/>
        </w:rPr>
        <w:t>Upraviť realisticky časové lehoty na vstup do platnosti a transpozíciu vo väzbe na aktuálny stav technológií ako i jednotlivých členských štátov.</w:t>
      </w:r>
    </w:p>
    <w:p w14:paraId="23F1094F" w14:textId="70A2CF3A" w:rsidR="00DB4A3E" w:rsidRDefault="00DB4A3E" w:rsidP="00DB4A3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B4A3E">
        <w:rPr>
          <w:rFonts w:ascii="Times New Roman" w:hAnsi="Times New Roman"/>
          <w:sz w:val="24"/>
          <w:szCs w:val="24"/>
        </w:rPr>
        <w:t xml:space="preserve">Slovenská republika aktívne participovala na tvorbe a prevádzke INSPIRE od jeho vzniku a spolu s dotknutými subjektmi investovala nemalé finančné a ľudské zdroje za obdobie takmer ostatných 20 rokov. Samotnú revíziu INSPIRE preto vnímame ako jedinečnú príležitosť vyťažiť prínosy, ktoré INSPIRE doposiaľ priniesla, prepojiť INSPIRE s existujúcimi legislatívnymi rámcami, posilniť vzájomnú synergiu medzi zainteresovanými subjektami a zlepšiť infraštruktúru tak, aby začala hmatateľne generovať celospoločenské prínosy. </w:t>
      </w:r>
    </w:p>
    <w:tbl>
      <w:tblPr>
        <w:tblW w:w="0" w:type="auto"/>
        <w:tblInd w:w="217" w:type="dxa"/>
        <w:tblLayout w:type="fixed"/>
        <w:tblLook w:val="0000" w:firstRow="0" w:lastRow="0" w:firstColumn="0" w:lastColumn="0" w:noHBand="0" w:noVBand="0"/>
      </w:tblPr>
      <w:tblGrid>
        <w:gridCol w:w="4252"/>
        <w:gridCol w:w="5243"/>
      </w:tblGrid>
      <w:tr w:rsidR="00925CCC" w14:paraId="7DC723AF" w14:textId="77777777" w:rsidTr="00316E6D">
        <w:tc>
          <w:tcPr>
            <w:tcW w:w="4252" w:type="dxa"/>
            <w:shd w:val="clear" w:color="auto" w:fill="FFFFFF"/>
          </w:tcPr>
          <w:p w14:paraId="3C1D17AA" w14:textId="77777777" w:rsidR="00925CCC" w:rsidRDefault="00925CCC" w:rsidP="00316E6D">
            <w:pPr>
              <w:snapToGrid w:val="0"/>
              <w:jc w:val="both"/>
              <w:rPr>
                <w:i/>
                <w:smallCaps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FFFFFF"/>
          </w:tcPr>
          <w:p w14:paraId="4321B138" w14:textId="77777777" w:rsidR="00925CCC" w:rsidRPr="00AC4148" w:rsidRDefault="00925CCC" w:rsidP="00316E6D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 xml:space="preserve">                                       Bratislava: 26.05.2026</w:t>
            </w:r>
          </w:p>
          <w:p w14:paraId="7E9890B9" w14:textId="77777777" w:rsidR="00925CCC" w:rsidRPr="0085649A" w:rsidRDefault="00925CCC" w:rsidP="00316E6D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 xml:space="preserve">                                       Číslo: 075/2026</w:t>
            </w:r>
          </w:p>
          <w:p w14:paraId="3DF5122D" w14:textId="77777777" w:rsidR="00925CCC" w:rsidRPr="0085649A" w:rsidRDefault="00925CCC" w:rsidP="00316E6D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 xml:space="preserve">                                       Vybavuje: Mgr. </w:t>
            </w:r>
            <w:proofErr w:type="spellStart"/>
            <w:r>
              <w:rPr>
                <w:smallCaps/>
                <w:sz w:val="24"/>
                <w:szCs w:val="24"/>
              </w:rPr>
              <w:t>Fontányová</w:t>
            </w:r>
            <w:proofErr w:type="spellEnd"/>
          </w:p>
        </w:tc>
      </w:tr>
    </w:tbl>
    <w:p w14:paraId="5BB0DA85" w14:textId="77777777" w:rsidR="00925CCC" w:rsidRDefault="00925CCC" w:rsidP="00925CCC">
      <w:pPr>
        <w:ind w:right="-2"/>
        <w:rPr>
          <w:sz w:val="24"/>
        </w:rPr>
      </w:pPr>
    </w:p>
    <w:p w14:paraId="2ABC1A87" w14:textId="77777777" w:rsidR="00925CCC" w:rsidRDefault="00925CCC" w:rsidP="00925CCC">
      <w:pPr>
        <w:pStyle w:val="Nadpis4"/>
        <w:numPr>
          <w:ilvl w:val="3"/>
          <w:numId w:val="25"/>
        </w:numPr>
        <w:rPr>
          <w:rFonts w:ascii="Arial" w:hAnsi="Arial" w:cs="Arial"/>
          <w:sz w:val="22"/>
        </w:rPr>
      </w:pPr>
    </w:p>
    <w:p w14:paraId="2DC62F0C" w14:textId="199E5EAF" w:rsidR="00925CCC" w:rsidRPr="00925CCC" w:rsidRDefault="00925CCC" w:rsidP="00925CCC">
      <w:pPr>
        <w:pStyle w:val="Nadpis4"/>
        <w:numPr>
          <w:ilvl w:val="3"/>
          <w:numId w:val="25"/>
        </w:numPr>
      </w:pPr>
      <w:r>
        <w:rPr>
          <w:rFonts w:ascii="Arial" w:hAnsi="Arial" w:cs="Arial"/>
          <w:spacing w:val="20"/>
          <w:sz w:val="32"/>
        </w:rPr>
        <w:t>stanovisko komisie</w:t>
      </w:r>
      <w:r>
        <w:rPr>
          <w:rFonts w:ascii="Arial" w:hAnsi="Arial" w:cs="Arial"/>
          <w:sz w:val="22"/>
        </w:rPr>
        <w:t xml:space="preserve"> </w:t>
      </w:r>
    </w:p>
    <w:p w14:paraId="6DDD10C2" w14:textId="4FDC51F8" w:rsidR="00925CCC" w:rsidRPr="00925CCC" w:rsidRDefault="00925CCC" w:rsidP="00925CCC">
      <w:pPr>
        <w:ind w:right="-2"/>
        <w:jc w:val="center"/>
      </w:pPr>
      <w:r>
        <w:rPr>
          <w:rFonts w:ascii="Arial" w:hAnsi="Arial" w:cs="Arial"/>
          <w:b/>
          <w:smallCaps/>
        </w:rPr>
        <w:t>(predbežné pripomienkové konanie)</w:t>
      </w:r>
    </w:p>
    <w:p w14:paraId="1D3B3908" w14:textId="7BDC2AC1" w:rsidR="00925CCC" w:rsidRPr="00925CCC" w:rsidRDefault="00925CCC" w:rsidP="00925CCC">
      <w:pPr>
        <w:ind w:right="-2"/>
        <w:jc w:val="center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k materiálu</w:t>
      </w:r>
    </w:p>
    <w:p w14:paraId="04079937" w14:textId="77777777" w:rsidR="00925CCC" w:rsidRPr="00F0316A" w:rsidRDefault="00925CCC" w:rsidP="00925CCC">
      <w:pPr>
        <w:pBdr>
          <w:bottom w:val="single" w:sz="4" w:space="1" w:color="auto"/>
        </w:pBdr>
        <w:jc w:val="center"/>
        <w:rPr>
          <w:rStyle w:val="Jemnodkaz"/>
          <w:rFonts w:ascii="Arial" w:hAnsi="Arial" w:cs="Arial"/>
          <w:b/>
          <w:sz w:val="24"/>
        </w:rPr>
      </w:pPr>
      <w:r w:rsidRPr="00D71AC0">
        <w:rPr>
          <w:rFonts w:ascii="Arial" w:hAnsi="Arial" w:cs="Arial"/>
          <w:b/>
          <w:smallCaps/>
          <w:sz w:val="24"/>
        </w:rPr>
        <w:t xml:space="preserve">Predbežné stanovisko k návrhu SMERNICE EURÓPSKEHO PARLAMENTU A RADY, ktorou sa mení smernica 2007/2/ES, pokiaľ ide o zjednodušenie určitých požiadaviek na zriadenie Infraštruktúry pre priestorové informácie v Únii </w:t>
      </w:r>
    </w:p>
    <w:p w14:paraId="328D7406" w14:textId="77777777" w:rsidR="00925CCC" w:rsidRDefault="00925CCC" w:rsidP="00925CCC">
      <w:pPr>
        <w:jc w:val="both"/>
        <w:rPr>
          <w:rFonts w:ascii="Arial" w:hAnsi="Arial" w:cs="Arial"/>
          <w:b/>
          <w:bCs/>
          <w:sz w:val="24"/>
        </w:rPr>
      </w:pPr>
    </w:p>
    <w:p w14:paraId="77A8E7FD" w14:textId="77777777" w:rsidR="00925CCC" w:rsidRPr="00CA2461" w:rsidRDefault="00925CCC" w:rsidP="00925CCC">
      <w:pPr>
        <w:jc w:val="both"/>
        <w:rPr>
          <w:rFonts w:ascii="Arial" w:hAnsi="Arial" w:cs="Arial"/>
          <w:bCs/>
          <w:sz w:val="24"/>
        </w:rPr>
      </w:pPr>
      <w:r w:rsidRPr="00E339D8">
        <w:rPr>
          <w:rFonts w:ascii="Arial" w:hAnsi="Arial" w:cs="Arial"/>
          <w:b/>
          <w:bCs/>
          <w:sz w:val="24"/>
        </w:rPr>
        <w:t xml:space="preserve">I. Úvod: </w:t>
      </w:r>
      <w:r>
        <w:rPr>
          <w:rFonts w:ascii="Arial" w:hAnsi="Arial" w:cs="Arial"/>
          <w:bCs/>
          <w:sz w:val="24"/>
        </w:rPr>
        <w:t xml:space="preserve">Ministerstvo životného prostredia Slovenskej republiky dňa 15. mája 2026 predložilo na predbežné pripomienkové konanie materiál: </w:t>
      </w:r>
      <w:r w:rsidRPr="004F4FB2">
        <w:rPr>
          <w:rFonts w:ascii="Arial" w:hAnsi="Arial" w:cs="Arial"/>
          <w:bCs/>
          <w:i/>
          <w:sz w:val="24"/>
        </w:rPr>
        <w:t>„</w:t>
      </w:r>
      <w:r w:rsidRPr="00C0037A">
        <w:rPr>
          <w:rFonts w:ascii="Arial" w:hAnsi="Arial" w:cs="Arial"/>
          <w:bCs/>
          <w:i/>
          <w:sz w:val="24"/>
        </w:rPr>
        <w:t xml:space="preserve">Predbežné stanovisko </w:t>
      </w:r>
      <w:r>
        <w:rPr>
          <w:rFonts w:ascii="Arial" w:hAnsi="Arial" w:cs="Arial"/>
          <w:bCs/>
          <w:i/>
          <w:sz w:val="24"/>
        </w:rPr>
        <w:br/>
      </w:r>
      <w:r w:rsidRPr="00C0037A">
        <w:rPr>
          <w:rFonts w:ascii="Arial" w:hAnsi="Arial" w:cs="Arial"/>
          <w:bCs/>
          <w:i/>
          <w:sz w:val="24"/>
        </w:rPr>
        <w:t>k návrhu SMERNICE EURÓPSKEHO PARLAMENTU A RADY, ktorou sa mení smernica 2007/2/ES, pokiaľ ide o zjednodušenie určitých požiadaviek na zriadenie Infraštruktúry pre priestorové informácie v Únii</w:t>
      </w:r>
      <w:r w:rsidRPr="004F4FB2">
        <w:rPr>
          <w:rFonts w:ascii="Arial" w:hAnsi="Arial" w:cs="Arial"/>
          <w:bCs/>
          <w:i/>
          <w:sz w:val="24"/>
        </w:rPr>
        <w:t>“</w:t>
      </w:r>
      <w:r>
        <w:rPr>
          <w:rFonts w:ascii="Arial" w:hAnsi="Arial" w:cs="Arial"/>
          <w:bCs/>
          <w:sz w:val="24"/>
        </w:rPr>
        <w:t xml:space="preserve">. </w:t>
      </w:r>
      <w:r w:rsidRPr="006C4C13">
        <w:rPr>
          <w:rFonts w:ascii="Arial" w:hAnsi="Arial" w:cs="Arial"/>
          <w:bCs/>
          <w:sz w:val="24"/>
        </w:rPr>
        <w:t xml:space="preserve">Materiál predpokladá </w:t>
      </w:r>
      <w:r w:rsidRPr="00614F96">
        <w:rPr>
          <w:rFonts w:ascii="Arial" w:hAnsi="Arial" w:cs="Arial"/>
          <w:bCs/>
          <w:sz w:val="24"/>
        </w:rPr>
        <w:t>pozitívn</w:t>
      </w:r>
      <w:r>
        <w:rPr>
          <w:rFonts w:ascii="Arial" w:hAnsi="Arial" w:cs="Arial"/>
          <w:bCs/>
          <w:sz w:val="24"/>
        </w:rPr>
        <w:t>o-negatívne</w:t>
      </w:r>
      <w:r w:rsidRPr="00614F96">
        <w:rPr>
          <w:rFonts w:ascii="Arial" w:hAnsi="Arial" w:cs="Arial"/>
          <w:bCs/>
          <w:sz w:val="24"/>
        </w:rPr>
        <w:t xml:space="preserve"> vplyvy na podnikateľské prostredie, vrátane pozitívn</w:t>
      </w:r>
      <w:r>
        <w:rPr>
          <w:rFonts w:ascii="Arial" w:hAnsi="Arial" w:cs="Arial"/>
          <w:bCs/>
          <w:sz w:val="24"/>
        </w:rPr>
        <w:t>o-negatívnych</w:t>
      </w:r>
      <w:r w:rsidRPr="00614F96">
        <w:rPr>
          <w:rFonts w:ascii="Arial" w:hAnsi="Arial" w:cs="Arial"/>
          <w:bCs/>
          <w:sz w:val="24"/>
        </w:rPr>
        <w:t xml:space="preserve"> vplyvov na </w:t>
      </w:r>
      <w:r>
        <w:rPr>
          <w:rFonts w:ascii="Arial" w:hAnsi="Arial" w:cs="Arial"/>
          <w:bCs/>
          <w:sz w:val="24"/>
        </w:rPr>
        <w:t>malé a stredné podniky, a</w:t>
      </w:r>
      <w:r w:rsidRPr="00C10340">
        <w:rPr>
          <w:rFonts w:ascii="Arial" w:hAnsi="Arial" w:cs="Arial"/>
          <w:bCs/>
          <w:sz w:val="24"/>
        </w:rPr>
        <w:t xml:space="preserve"> pozitívne vplyvy na životné prostredie</w:t>
      </w:r>
      <w:r w:rsidRPr="006C4C13">
        <w:rPr>
          <w:rFonts w:ascii="Arial" w:hAnsi="Arial" w:cs="Arial"/>
          <w:bCs/>
          <w:sz w:val="24"/>
        </w:rPr>
        <w:t>.</w:t>
      </w:r>
    </w:p>
    <w:p w14:paraId="25D8BEA3" w14:textId="77777777" w:rsidR="00925CCC" w:rsidRDefault="00925CCC" w:rsidP="00925CC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8C1250" w14:textId="4BB7F425" w:rsidR="00925CCC" w:rsidRPr="00925CCC" w:rsidRDefault="00925CCC" w:rsidP="00925CCC">
      <w:pPr>
        <w:jc w:val="both"/>
        <w:rPr>
          <w:rStyle w:val="norm00e1lnychar1"/>
          <w:rFonts w:ascii="Calibri" w:hAnsi="Calibri"/>
          <w:sz w:val="22"/>
          <w:szCs w:val="22"/>
        </w:rPr>
      </w:pPr>
      <w:r w:rsidRPr="004F3667">
        <w:rPr>
          <w:rFonts w:ascii="Arial" w:hAnsi="Arial" w:cs="Arial"/>
          <w:b/>
          <w:bCs/>
          <w:sz w:val="24"/>
          <w:szCs w:val="24"/>
        </w:rPr>
        <w:t>II. P</w:t>
      </w:r>
      <w:r w:rsidRPr="004F3667">
        <w:rPr>
          <w:rFonts w:ascii="Arial" w:hAnsi="Arial" w:cs="Arial"/>
          <w:b/>
          <w:sz w:val="24"/>
          <w:szCs w:val="24"/>
        </w:rPr>
        <w:t>r</w:t>
      </w:r>
      <w:r w:rsidRPr="004F3667">
        <w:rPr>
          <w:rFonts w:ascii="Arial" w:hAnsi="Arial" w:cs="Arial"/>
          <w:b/>
          <w:bCs/>
          <w:sz w:val="24"/>
          <w:szCs w:val="24"/>
        </w:rPr>
        <w:t>ipomienky a návrhy zm</w:t>
      </w:r>
      <w:r w:rsidRPr="004F3667">
        <w:rPr>
          <w:rFonts w:ascii="Arial" w:hAnsi="Arial" w:cs="Arial"/>
          <w:b/>
          <w:sz w:val="24"/>
          <w:szCs w:val="24"/>
        </w:rPr>
        <w:t>ie</w:t>
      </w:r>
      <w:r w:rsidRPr="004F3667">
        <w:rPr>
          <w:rFonts w:ascii="Arial" w:hAnsi="Arial" w:cs="Arial"/>
          <w:b/>
          <w:bCs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bCs/>
          <w:sz w:val="24"/>
        </w:rPr>
        <w:t>Komisia neuplatňuje k materiálu žiadne pripomienky ani odporúčania.</w:t>
      </w:r>
    </w:p>
    <w:p w14:paraId="091DDC2A" w14:textId="3F12CED6" w:rsidR="00925CCC" w:rsidRDefault="00925CCC" w:rsidP="00925CCC">
      <w:pPr>
        <w:jc w:val="both"/>
        <w:rPr>
          <w:rStyle w:val="norm00e1lnychar1"/>
          <w:rFonts w:ascii="Arial" w:hAnsi="Arial" w:cs="Arial"/>
          <w:sz w:val="24"/>
          <w:szCs w:val="24"/>
        </w:rPr>
      </w:pPr>
      <w:r>
        <w:rPr>
          <w:rStyle w:val="norm00e1lnychar1"/>
          <w:rFonts w:ascii="Arial" w:hAnsi="Arial" w:cs="Arial"/>
          <w:b/>
          <w:bCs/>
          <w:sz w:val="24"/>
          <w:szCs w:val="24"/>
        </w:rPr>
        <w:t xml:space="preserve">III. Záver: </w:t>
      </w:r>
      <w:r>
        <w:rPr>
          <w:rStyle w:val="norm00e1lnychar1"/>
          <w:rFonts w:ascii="Arial" w:hAnsi="Arial" w:cs="Arial"/>
          <w:sz w:val="24"/>
          <w:szCs w:val="24"/>
        </w:rPr>
        <w:t xml:space="preserve">Stála pracovná komisia na posudzovanie vybraných vplyvov vyjadruje </w:t>
      </w:r>
    </w:p>
    <w:p w14:paraId="4F95CB3F" w14:textId="77777777" w:rsidR="00925CCC" w:rsidRPr="00925CCC" w:rsidRDefault="00925CCC" w:rsidP="00925CCC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993E689" w14:textId="77777777" w:rsidR="00925CCC" w:rsidRDefault="00925CCC" w:rsidP="00925CCC">
      <w:pPr>
        <w:pStyle w:val="norm00e1lny"/>
        <w:spacing w:line="240" w:lineRule="atLeast"/>
        <w:jc w:val="center"/>
      </w:pPr>
      <w:r>
        <w:t> </w:t>
      </w:r>
      <w:r w:rsidRPr="003161DF">
        <w:rPr>
          <w:rStyle w:val="norm00e1lnychar1"/>
          <w:rFonts w:ascii="Arial" w:hAnsi="Arial" w:cs="Arial"/>
          <w:b/>
          <w:bCs/>
          <w:sz w:val="24"/>
          <w:szCs w:val="24"/>
        </w:rPr>
        <w:t xml:space="preserve">súhlasné stanovisko </w:t>
      </w:r>
    </w:p>
    <w:p w14:paraId="1A000737" w14:textId="77777777" w:rsidR="00925CCC" w:rsidRDefault="00925CCC" w:rsidP="00925CCC">
      <w:pPr>
        <w:pStyle w:val="norm00e1lny"/>
        <w:spacing w:line="240" w:lineRule="atLeast"/>
        <w:jc w:val="both"/>
        <w:rPr>
          <w:rStyle w:val="norm00e1lnychar1"/>
          <w:rFonts w:ascii="Arial" w:hAnsi="Arial" w:cs="Arial"/>
          <w:sz w:val="24"/>
          <w:szCs w:val="24"/>
        </w:rPr>
      </w:pPr>
    </w:p>
    <w:p w14:paraId="0E217C9C" w14:textId="77777777" w:rsidR="00925CCC" w:rsidRDefault="00925CCC" w:rsidP="00925CCC">
      <w:pPr>
        <w:pStyle w:val="norm00e1lny"/>
        <w:spacing w:line="240" w:lineRule="atLeast"/>
        <w:jc w:val="both"/>
        <w:rPr>
          <w:rStyle w:val="norm00e1lnychar1"/>
          <w:rFonts w:ascii="Arial" w:hAnsi="Arial" w:cs="Arial"/>
          <w:sz w:val="24"/>
          <w:szCs w:val="24"/>
        </w:rPr>
      </w:pPr>
    </w:p>
    <w:p w14:paraId="35B625EB" w14:textId="77777777" w:rsidR="00925CCC" w:rsidRDefault="00925CCC" w:rsidP="00925CCC">
      <w:pPr>
        <w:pStyle w:val="norm00e1lny"/>
        <w:spacing w:line="240" w:lineRule="atLeast"/>
        <w:jc w:val="both"/>
      </w:pPr>
      <w:r>
        <w:rPr>
          <w:rStyle w:val="norm00e1lnychar1"/>
          <w:rFonts w:ascii="Arial" w:hAnsi="Arial" w:cs="Arial"/>
          <w:sz w:val="24"/>
          <w:szCs w:val="24"/>
        </w:rPr>
        <w:t xml:space="preserve">s materiálom predloženým na predbežné pripomienkové konanie. </w:t>
      </w:r>
    </w:p>
    <w:p w14:paraId="27D97985" w14:textId="77777777" w:rsidR="00925CCC" w:rsidRDefault="00925CCC" w:rsidP="00925CCC">
      <w:pPr>
        <w:pStyle w:val="norm00e1lny"/>
      </w:pPr>
    </w:p>
    <w:p w14:paraId="5D17B24A" w14:textId="77777777" w:rsidR="00925CCC" w:rsidRPr="00186E8C" w:rsidRDefault="00925CCC" w:rsidP="00925CCC">
      <w:pPr>
        <w:pStyle w:val="norm00e1lny"/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Style w:val="norm00e1lnychar1"/>
          <w:rFonts w:ascii="Arial" w:hAnsi="Arial" w:cs="Arial"/>
          <w:b/>
          <w:bCs/>
          <w:sz w:val="24"/>
          <w:szCs w:val="24"/>
        </w:rPr>
        <w:t>IV. Poznámka:</w:t>
      </w:r>
      <w:r>
        <w:rPr>
          <w:rStyle w:val="norm00e1lnychar1"/>
          <w:rFonts w:ascii="Arial" w:hAnsi="Arial" w:cs="Arial"/>
          <w:sz w:val="24"/>
          <w:szCs w:val="24"/>
        </w:rPr>
        <w:t xml:space="preserve"> </w:t>
      </w:r>
      <w:r w:rsidRPr="00186E8C">
        <w:rPr>
          <w:rFonts w:ascii="Arial" w:hAnsi="Arial" w:cs="Arial"/>
          <w:sz w:val="24"/>
          <w:szCs w:val="24"/>
        </w:rPr>
        <w:t>Predkladateľ uvedie toto stanovisko Komisie do doložky vybraných vplyvov.</w:t>
      </w:r>
    </w:p>
    <w:p w14:paraId="67149F22" w14:textId="50509938" w:rsidR="00925CCC" w:rsidRPr="0054109F" w:rsidRDefault="00925CCC" w:rsidP="00925CCC">
      <w:pPr>
        <w:spacing w:line="240" w:lineRule="auto"/>
        <w:jc w:val="both"/>
        <w:rPr>
          <w:rFonts w:ascii="Arial" w:hAnsi="Arial" w:cs="Arial"/>
          <w:sz w:val="24"/>
          <w:szCs w:val="24"/>
          <w:lang w:eastAsia="sk-SK"/>
        </w:rPr>
      </w:pPr>
    </w:p>
    <w:p w14:paraId="1D29BFFC" w14:textId="77777777" w:rsidR="00925CCC" w:rsidRPr="00706161" w:rsidRDefault="00925CCC" w:rsidP="00925CCC">
      <w:pPr>
        <w:spacing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706161">
        <w:rPr>
          <w:rFonts w:ascii="Arial" w:hAnsi="Arial" w:cs="Arial"/>
          <w:b/>
          <w:bCs/>
          <w:sz w:val="24"/>
          <w:szCs w:val="24"/>
        </w:rPr>
        <w:t xml:space="preserve">Mgr., PhDr. Vladimír </w:t>
      </w:r>
      <w:proofErr w:type="spellStart"/>
      <w:r w:rsidRPr="00706161">
        <w:rPr>
          <w:rFonts w:ascii="Arial" w:hAnsi="Arial" w:cs="Arial"/>
          <w:b/>
          <w:bCs/>
          <w:sz w:val="24"/>
          <w:szCs w:val="24"/>
        </w:rPr>
        <w:t>Šimoňák</w:t>
      </w:r>
      <w:proofErr w:type="spellEnd"/>
      <w:r w:rsidRPr="00706161">
        <w:rPr>
          <w:rFonts w:ascii="Arial" w:hAnsi="Arial" w:cs="Arial"/>
          <w:b/>
          <w:bCs/>
          <w:sz w:val="24"/>
          <w:szCs w:val="24"/>
        </w:rPr>
        <w:t>, PhD.</w:t>
      </w:r>
    </w:p>
    <w:p w14:paraId="65B6D7D9" w14:textId="77777777" w:rsidR="00925CCC" w:rsidRDefault="00925CCC" w:rsidP="00925CCC">
      <w:pPr>
        <w:tabs>
          <w:tab w:val="center" w:pos="6379"/>
        </w:tabs>
        <w:ind w:right="-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predseda Komisie</w:t>
      </w:r>
    </w:p>
    <w:p w14:paraId="30F4D85C" w14:textId="77777777" w:rsidR="00925CCC" w:rsidRPr="00767C96" w:rsidRDefault="00925CCC" w:rsidP="00DB4A3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5CCC" w:rsidRPr="00767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93E51" w14:textId="77777777" w:rsidR="00F828EC" w:rsidRDefault="00F828EC" w:rsidP="009D3802">
      <w:pPr>
        <w:spacing w:after="0" w:line="240" w:lineRule="auto"/>
      </w:pPr>
      <w:r>
        <w:separator/>
      </w:r>
    </w:p>
  </w:endnote>
  <w:endnote w:type="continuationSeparator" w:id="0">
    <w:p w14:paraId="42D5D256" w14:textId="77777777" w:rsidR="00F828EC" w:rsidRDefault="00F828EC" w:rsidP="009D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8CDFA" w14:textId="77777777" w:rsidR="00F828EC" w:rsidRDefault="00F828EC" w:rsidP="009D3802">
      <w:pPr>
        <w:spacing w:after="0" w:line="240" w:lineRule="auto"/>
      </w:pPr>
      <w:r>
        <w:separator/>
      </w:r>
    </w:p>
  </w:footnote>
  <w:footnote w:type="continuationSeparator" w:id="0">
    <w:p w14:paraId="106F0ADD" w14:textId="77777777" w:rsidR="00F828EC" w:rsidRDefault="00F828EC" w:rsidP="009D3802">
      <w:pPr>
        <w:spacing w:after="0" w:line="240" w:lineRule="auto"/>
      </w:pPr>
      <w:r>
        <w:continuationSeparator/>
      </w:r>
    </w:p>
  </w:footnote>
  <w:footnote w:id="1">
    <w:p w14:paraId="6E107458" w14:textId="77777777" w:rsidR="00DB4A3E" w:rsidRDefault="00DB4A3E" w:rsidP="00DB4A3E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1" w:history="1">
        <w:r w:rsidRPr="00B25E50">
          <w:rPr>
            <w:rStyle w:val="Hypertextovprepojenie"/>
          </w:rPr>
          <w:t>https://eur-lex.europa.eu/legal-content/EN/TXT/?uri=CELEX:52025PC0837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4ACA8A"/>
    <w:multiLevelType w:val="hybridMultilevel"/>
    <w:tmpl w:val="06A01E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A2358F"/>
    <w:multiLevelType w:val="hybridMultilevel"/>
    <w:tmpl w:val="93D4028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1AB8AC6"/>
    <w:multiLevelType w:val="hybridMultilevel"/>
    <w:tmpl w:val="BD5D64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3BA7225"/>
    <w:multiLevelType w:val="hybridMultilevel"/>
    <w:tmpl w:val="4494DA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6016BF"/>
    <w:multiLevelType w:val="hybridMultilevel"/>
    <w:tmpl w:val="18F651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768795"/>
    <w:multiLevelType w:val="hybridMultilevel"/>
    <w:tmpl w:val="374291E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8" w15:restartNumberingAfterBreak="0">
    <w:nsid w:val="03A75D94"/>
    <w:multiLevelType w:val="hybridMultilevel"/>
    <w:tmpl w:val="77DC97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382E66"/>
    <w:multiLevelType w:val="hybridMultilevel"/>
    <w:tmpl w:val="97004A8C"/>
    <w:lvl w:ilvl="0" w:tplc="BF28F3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F03148"/>
    <w:multiLevelType w:val="hybridMultilevel"/>
    <w:tmpl w:val="C52EF93A"/>
    <w:lvl w:ilvl="0" w:tplc="041B000F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16" w:hanging="360"/>
      </w:pPr>
    </w:lvl>
    <w:lvl w:ilvl="2" w:tplc="041B001B" w:tentative="1">
      <w:start w:val="1"/>
      <w:numFmt w:val="lowerRoman"/>
      <w:lvlText w:val="%3."/>
      <w:lvlJc w:val="right"/>
      <w:pPr>
        <w:ind w:left="2236" w:hanging="180"/>
      </w:pPr>
    </w:lvl>
    <w:lvl w:ilvl="3" w:tplc="041B000F" w:tentative="1">
      <w:start w:val="1"/>
      <w:numFmt w:val="decimal"/>
      <w:lvlText w:val="%4."/>
      <w:lvlJc w:val="left"/>
      <w:pPr>
        <w:ind w:left="2956" w:hanging="360"/>
      </w:pPr>
    </w:lvl>
    <w:lvl w:ilvl="4" w:tplc="041B0019" w:tentative="1">
      <w:start w:val="1"/>
      <w:numFmt w:val="lowerLetter"/>
      <w:lvlText w:val="%5."/>
      <w:lvlJc w:val="left"/>
      <w:pPr>
        <w:ind w:left="3676" w:hanging="360"/>
      </w:pPr>
    </w:lvl>
    <w:lvl w:ilvl="5" w:tplc="041B001B" w:tentative="1">
      <w:start w:val="1"/>
      <w:numFmt w:val="lowerRoman"/>
      <w:lvlText w:val="%6."/>
      <w:lvlJc w:val="right"/>
      <w:pPr>
        <w:ind w:left="4396" w:hanging="180"/>
      </w:pPr>
    </w:lvl>
    <w:lvl w:ilvl="6" w:tplc="041B000F" w:tentative="1">
      <w:start w:val="1"/>
      <w:numFmt w:val="decimal"/>
      <w:lvlText w:val="%7."/>
      <w:lvlJc w:val="left"/>
      <w:pPr>
        <w:ind w:left="5116" w:hanging="360"/>
      </w:pPr>
    </w:lvl>
    <w:lvl w:ilvl="7" w:tplc="041B0019" w:tentative="1">
      <w:start w:val="1"/>
      <w:numFmt w:val="lowerLetter"/>
      <w:lvlText w:val="%8."/>
      <w:lvlJc w:val="left"/>
      <w:pPr>
        <w:ind w:left="5836" w:hanging="360"/>
      </w:pPr>
    </w:lvl>
    <w:lvl w:ilvl="8" w:tplc="041B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18AA121A"/>
    <w:multiLevelType w:val="hybridMultilevel"/>
    <w:tmpl w:val="621CAE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DA84159"/>
    <w:multiLevelType w:val="hybridMultilevel"/>
    <w:tmpl w:val="4C5C29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8A50405"/>
    <w:multiLevelType w:val="hybridMultilevel"/>
    <w:tmpl w:val="F500B994"/>
    <w:lvl w:ilvl="0" w:tplc="1CB0129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73284E"/>
    <w:multiLevelType w:val="hybridMultilevel"/>
    <w:tmpl w:val="0C125B70"/>
    <w:lvl w:ilvl="0" w:tplc="CC3839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3670C0"/>
    <w:multiLevelType w:val="hybridMultilevel"/>
    <w:tmpl w:val="EBB87CE8"/>
    <w:lvl w:ilvl="0" w:tplc="74C4073C">
      <w:start w:val="1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F061ADD"/>
    <w:multiLevelType w:val="hybridMultilevel"/>
    <w:tmpl w:val="DB8664CC"/>
    <w:lvl w:ilvl="0" w:tplc="FFE2462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9E7A21"/>
    <w:multiLevelType w:val="hybridMultilevel"/>
    <w:tmpl w:val="E8E2E3A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B24ED8B"/>
    <w:multiLevelType w:val="hybridMultilevel"/>
    <w:tmpl w:val="B537B9A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91D6491"/>
    <w:multiLevelType w:val="hybridMultilevel"/>
    <w:tmpl w:val="DD26B32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5727BD"/>
    <w:multiLevelType w:val="hybridMultilevel"/>
    <w:tmpl w:val="80385EC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02DEB"/>
    <w:multiLevelType w:val="hybridMultilevel"/>
    <w:tmpl w:val="B2569C6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4FA8A3A"/>
    <w:multiLevelType w:val="hybridMultilevel"/>
    <w:tmpl w:val="B814A6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0C4B580"/>
    <w:multiLevelType w:val="hybridMultilevel"/>
    <w:tmpl w:val="186AAE1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B6BD069"/>
    <w:multiLevelType w:val="hybridMultilevel"/>
    <w:tmpl w:val="208BE88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3"/>
  </w:num>
  <w:num w:numId="5">
    <w:abstractNumId w:val="21"/>
  </w:num>
  <w:num w:numId="6">
    <w:abstractNumId w:val="4"/>
  </w:num>
  <w:num w:numId="7">
    <w:abstractNumId w:val="17"/>
  </w:num>
  <w:num w:numId="8">
    <w:abstractNumId w:val="22"/>
  </w:num>
  <w:num w:numId="9">
    <w:abstractNumId w:val="5"/>
  </w:num>
  <w:num w:numId="10">
    <w:abstractNumId w:val="11"/>
  </w:num>
  <w:num w:numId="11">
    <w:abstractNumId w:val="24"/>
  </w:num>
  <w:num w:numId="12">
    <w:abstractNumId w:val="0"/>
  </w:num>
  <w:num w:numId="13">
    <w:abstractNumId w:val="18"/>
  </w:num>
  <w:num w:numId="14">
    <w:abstractNumId w:val="12"/>
  </w:num>
  <w:num w:numId="15">
    <w:abstractNumId w:val="2"/>
  </w:num>
  <w:num w:numId="16">
    <w:abstractNumId w:val="23"/>
  </w:num>
  <w:num w:numId="17">
    <w:abstractNumId w:val="9"/>
  </w:num>
  <w:num w:numId="18">
    <w:abstractNumId w:val="15"/>
  </w:num>
  <w:num w:numId="19">
    <w:abstractNumId w:val="20"/>
  </w:num>
  <w:num w:numId="20">
    <w:abstractNumId w:val="14"/>
  </w:num>
  <w:num w:numId="21">
    <w:abstractNumId w:val="13"/>
  </w:num>
  <w:num w:numId="22">
    <w:abstractNumId w:val="19"/>
  </w:num>
  <w:num w:numId="23">
    <w:abstractNumId w:val="8"/>
  </w:num>
  <w:num w:numId="24">
    <w:abstractNumId w:val="6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C6"/>
    <w:rsid w:val="000005C6"/>
    <w:rsid w:val="00071571"/>
    <w:rsid w:val="00080677"/>
    <w:rsid w:val="00086B38"/>
    <w:rsid w:val="00094978"/>
    <w:rsid w:val="000C5ED4"/>
    <w:rsid w:val="000D7AFF"/>
    <w:rsid w:val="000E343D"/>
    <w:rsid w:val="00153BD8"/>
    <w:rsid w:val="001576DE"/>
    <w:rsid w:val="00183CB5"/>
    <w:rsid w:val="00184924"/>
    <w:rsid w:val="00196A8C"/>
    <w:rsid w:val="001A0FD3"/>
    <w:rsid w:val="001A25E3"/>
    <w:rsid w:val="001E3C0D"/>
    <w:rsid w:val="001E3C67"/>
    <w:rsid w:val="00200B01"/>
    <w:rsid w:val="00221E28"/>
    <w:rsid w:val="00230193"/>
    <w:rsid w:val="00230354"/>
    <w:rsid w:val="00247318"/>
    <w:rsid w:val="0025575C"/>
    <w:rsid w:val="002576A0"/>
    <w:rsid w:val="00273FB5"/>
    <w:rsid w:val="002D1DCF"/>
    <w:rsid w:val="002D66B1"/>
    <w:rsid w:val="002F39CC"/>
    <w:rsid w:val="002F70C8"/>
    <w:rsid w:val="0030077F"/>
    <w:rsid w:val="00310510"/>
    <w:rsid w:val="00314F53"/>
    <w:rsid w:val="00317C55"/>
    <w:rsid w:val="0032336F"/>
    <w:rsid w:val="00323713"/>
    <w:rsid w:val="00323E49"/>
    <w:rsid w:val="00335B11"/>
    <w:rsid w:val="00341A29"/>
    <w:rsid w:val="00350E9D"/>
    <w:rsid w:val="00352BF8"/>
    <w:rsid w:val="003540CA"/>
    <w:rsid w:val="00354455"/>
    <w:rsid w:val="00356358"/>
    <w:rsid w:val="0036364D"/>
    <w:rsid w:val="003B661C"/>
    <w:rsid w:val="004038C4"/>
    <w:rsid w:val="00412C47"/>
    <w:rsid w:val="00422CEE"/>
    <w:rsid w:val="00430788"/>
    <w:rsid w:val="004703A7"/>
    <w:rsid w:val="004734D4"/>
    <w:rsid w:val="00490DE8"/>
    <w:rsid w:val="0049280C"/>
    <w:rsid w:val="00495225"/>
    <w:rsid w:val="004A5E94"/>
    <w:rsid w:val="004D7349"/>
    <w:rsid w:val="004E66F7"/>
    <w:rsid w:val="00504E84"/>
    <w:rsid w:val="005232A0"/>
    <w:rsid w:val="00525044"/>
    <w:rsid w:val="005547DE"/>
    <w:rsid w:val="00562984"/>
    <w:rsid w:val="0059331A"/>
    <w:rsid w:val="005A282E"/>
    <w:rsid w:val="005E36E1"/>
    <w:rsid w:val="00621835"/>
    <w:rsid w:val="0064492A"/>
    <w:rsid w:val="00695D71"/>
    <w:rsid w:val="006A5A0E"/>
    <w:rsid w:val="006C5954"/>
    <w:rsid w:val="006C6EFB"/>
    <w:rsid w:val="006F21B8"/>
    <w:rsid w:val="00731A47"/>
    <w:rsid w:val="00767C96"/>
    <w:rsid w:val="00771DDB"/>
    <w:rsid w:val="00796D11"/>
    <w:rsid w:val="007A225F"/>
    <w:rsid w:val="007B2F4A"/>
    <w:rsid w:val="007B4918"/>
    <w:rsid w:val="007C593E"/>
    <w:rsid w:val="008172EA"/>
    <w:rsid w:val="00817D5D"/>
    <w:rsid w:val="00827550"/>
    <w:rsid w:val="00856380"/>
    <w:rsid w:val="0085691B"/>
    <w:rsid w:val="00881E4F"/>
    <w:rsid w:val="00883F40"/>
    <w:rsid w:val="00895C17"/>
    <w:rsid w:val="008B5378"/>
    <w:rsid w:val="008C6F92"/>
    <w:rsid w:val="008D4F8F"/>
    <w:rsid w:val="008F05A0"/>
    <w:rsid w:val="00925BE9"/>
    <w:rsid w:val="00925CCC"/>
    <w:rsid w:val="009370B9"/>
    <w:rsid w:val="009575F9"/>
    <w:rsid w:val="00972C0A"/>
    <w:rsid w:val="00976AA5"/>
    <w:rsid w:val="00977D5F"/>
    <w:rsid w:val="0099103F"/>
    <w:rsid w:val="009A6E97"/>
    <w:rsid w:val="009C7549"/>
    <w:rsid w:val="009D3802"/>
    <w:rsid w:val="009F47DC"/>
    <w:rsid w:val="009F484C"/>
    <w:rsid w:val="00A73146"/>
    <w:rsid w:val="00AA5F61"/>
    <w:rsid w:val="00AC4C5C"/>
    <w:rsid w:val="00AC7BB1"/>
    <w:rsid w:val="00AE2A26"/>
    <w:rsid w:val="00AF244B"/>
    <w:rsid w:val="00AF4909"/>
    <w:rsid w:val="00AF582B"/>
    <w:rsid w:val="00B04EA4"/>
    <w:rsid w:val="00B163AE"/>
    <w:rsid w:val="00B47844"/>
    <w:rsid w:val="00B605BD"/>
    <w:rsid w:val="00B968C9"/>
    <w:rsid w:val="00BA4824"/>
    <w:rsid w:val="00BF5254"/>
    <w:rsid w:val="00C27BFF"/>
    <w:rsid w:val="00C54BE0"/>
    <w:rsid w:val="00C5561F"/>
    <w:rsid w:val="00C56E96"/>
    <w:rsid w:val="00C67AD3"/>
    <w:rsid w:val="00C965C2"/>
    <w:rsid w:val="00CB747B"/>
    <w:rsid w:val="00CD08C1"/>
    <w:rsid w:val="00CD3612"/>
    <w:rsid w:val="00D110D4"/>
    <w:rsid w:val="00D40499"/>
    <w:rsid w:val="00D44819"/>
    <w:rsid w:val="00D54A91"/>
    <w:rsid w:val="00D6480C"/>
    <w:rsid w:val="00DB4A3E"/>
    <w:rsid w:val="00DE466B"/>
    <w:rsid w:val="00DF1DAF"/>
    <w:rsid w:val="00E03AF3"/>
    <w:rsid w:val="00E10511"/>
    <w:rsid w:val="00E159C1"/>
    <w:rsid w:val="00E8449B"/>
    <w:rsid w:val="00E94C4F"/>
    <w:rsid w:val="00EA298E"/>
    <w:rsid w:val="00EC43B4"/>
    <w:rsid w:val="00ED1308"/>
    <w:rsid w:val="00EE127A"/>
    <w:rsid w:val="00EF11A0"/>
    <w:rsid w:val="00EF14DA"/>
    <w:rsid w:val="00EF4F45"/>
    <w:rsid w:val="00F13079"/>
    <w:rsid w:val="00F748C4"/>
    <w:rsid w:val="00F828EC"/>
    <w:rsid w:val="00FC21A6"/>
    <w:rsid w:val="00FD7B7B"/>
    <w:rsid w:val="00FE1113"/>
    <w:rsid w:val="06FFEF9C"/>
    <w:rsid w:val="08A72D72"/>
    <w:rsid w:val="09255542"/>
    <w:rsid w:val="09AE0018"/>
    <w:rsid w:val="10546E8B"/>
    <w:rsid w:val="13A4A461"/>
    <w:rsid w:val="14CD669E"/>
    <w:rsid w:val="16812500"/>
    <w:rsid w:val="1699460E"/>
    <w:rsid w:val="19BB7495"/>
    <w:rsid w:val="1D49D04D"/>
    <w:rsid w:val="1E3C4687"/>
    <w:rsid w:val="1ECF865D"/>
    <w:rsid w:val="1F4700F5"/>
    <w:rsid w:val="2224BAAD"/>
    <w:rsid w:val="22AD9B80"/>
    <w:rsid w:val="24F50495"/>
    <w:rsid w:val="26C3A543"/>
    <w:rsid w:val="29B4766F"/>
    <w:rsid w:val="2A8A2857"/>
    <w:rsid w:val="2BC5ABD4"/>
    <w:rsid w:val="2D12808D"/>
    <w:rsid w:val="2F212AC0"/>
    <w:rsid w:val="3302D2BE"/>
    <w:rsid w:val="35C799D3"/>
    <w:rsid w:val="38B2D763"/>
    <w:rsid w:val="3A0A676D"/>
    <w:rsid w:val="3B5497D2"/>
    <w:rsid w:val="3CD9C473"/>
    <w:rsid w:val="3DDCD575"/>
    <w:rsid w:val="3E9916AB"/>
    <w:rsid w:val="40098AA4"/>
    <w:rsid w:val="40F27AAC"/>
    <w:rsid w:val="4107C335"/>
    <w:rsid w:val="427A2455"/>
    <w:rsid w:val="4490045B"/>
    <w:rsid w:val="47EA178C"/>
    <w:rsid w:val="47F11643"/>
    <w:rsid w:val="4A654D11"/>
    <w:rsid w:val="4BD304E5"/>
    <w:rsid w:val="4C4E0374"/>
    <w:rsid w:val="4C509EC9"/>
    <w:rsid w:val="4CC04B77"/>
    <w:rsid w:val="4CD8FAEA"/>
    <w:rsid w:val="4ED5C9B9"/>
    <w:rsid w:val="4F2ABB76"/>
    <w:rsid w:val="4F723520"/>
    <w:rsid w:val="4F775597"/>
    <w:rsid w:val="501EC000"/>
    <w:rsid w:val="51BC16B0"/>
    <w:rsid w:val="52EC6B2E"/>
    <w:rsid w:val="56278B8B"/>
    <w:rsid w:val="591221CD"/>
    <w:rsid w:val="5E8B86B1"/>
    <w:rsid w:val="6051D839"/>
    <w:rsid w:val="60A1B046"/>
    <w:rsid w:val="66D5076E"/>
    <w:rsid w:val="66EB81D4"/>
    <w:rsid w:val="6894F6E0"/>
    <w:rsid w:val="692FA9BA"/>
    <w:rsid w:val="699D9354"/>
    <w:rsid w:val="6B20309F"/>
    <w:rsid w:val="7069BA79"/>
    <w:rsid w:val="71669DBD"/>
    <w:rsid w:val="72D9A545"/>
    <w:rsid w:val="77EA855E"/>
    <w:rsid w:val="781475F3"/>
    <w:rsid w:val="7A4989E4"/>
    <w:rsid w:val="7AC928DD"/>
    <w:rsid w:val="7BAC6854"/>
    <w:rsid w:val="7C6AFBD6"/>
    <w:rsid w:val="7CF77877"/>
    <w:rsid w:val="7EFD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34B87"/>
  <w15:chartTrackingRefBased/>
  <w15:docId w15:val="{B674D696-72AC-4536-9CED-85E3018D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y"/>
    <w:next w:val="Zkladntext"/>
    <w:link w:val="Nadpis4Char"/>
    <w:qFormat/>
    <w:rsid w:val="00925CCC"/>
    <w:pPr>
      <w:keepNext/>
      <w:numPr>
        <w:ilvl w:val="3"/>
        <w:numId w:val="24"/>
      </w:numPr>
      <w:suppressAutoHyphens/>
      <w:spacing w:after="0" w:line="100" w:lineRule="atLeast"/>
      <w:ind w:right="-2"/>
      <w:jc w:val="center"/>
      <w:outlineLvl w:val="3"/>
    </w:pPr>
    <w:rPr>
      <w:rFonts w:ascii="Times New Roman" w:eastAsia="Times New Roman" w:hAnsi="Times New Roman"/>
      <w:b/>
      <w:smallCaps/>
      <w:sz w:val="26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232A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sk-SK"/>
    </w:rPr>
  </w:style>
  <w:style w:type="paragraph" w:styleId="Odsekzoznamu">
    <w:name w:val="List Paragraph"/>
    <w:aliases w:val="Dot pt,No Spacing1,List Paragraph Char Char Char,Indicator Text,Numbered Para 1,List Paragraph à moi,Odsek zoznamu4,LISTA,List Paragraph1,Listaszerű bekezdés2,Listaszerű bekezdés3,Listaszerű bekezdés1,Bullet 1,Bullet Points,MAIN CONTENT,3"/>
    <w:basedOn w:val="Normlny"/>
    <w:link w:val="OdsekzoznamuChar"/>
    <w:uiPriority w:val="34"/>
    <w:qFormat/>
    <w:rsid w:val="00EF14DA"/>
    <w:pPr>
      <w:spacing w:after="0" w:line="240" w:lineRule="auto"/>
      <w:ind w:left="720"/>
    </w:pPr>
    <w:rPr>
      <w:rFonts w:cs="Calibri"/>
      <w:lang w:eastAsia="sk-SK"/>
    </w:rPr>
  </w:style>
  <w:style w:type="character" w:customStyle="1" w:styleId="OdsekzoznamuChar">
    <w:name w:val="Odsek zoznamu Char"/>
    <w:aliases w:val="Dot pt Char,No Spacing1 Char,List Paragraph Char Char Char Char,Indicator Text Char,Numbered Para 1 Char,List Paragraph à moi Char,Odsek zoznamu4 Char,LISTA Char,List Paragraph1 Char,Listaszerű bekezdés2 Char,Listaszerű bekezdés3 Char"/>
    <w:link w:val="Odsekzoznamu"/>
    <w:uiPriority w:val="34"/>
    <w:qFormat/>
    <w:locked/>
    <w:rsid w:val="00EF14DA"/>
    <w:rPr>
      <w:rFonts w:cs="Calibri"/>
      <w:sz w:val="22"/>
      <w:szCs w:val="22"/>
    </w:rPr>
  </w:style>
  <w:style w:type="character" w:styleId="Hypertextovprepojenie">
    <w:name w:val="Hyperlink"/>
    <w:uiPriority w:val="99"/>
    <w:semiHidden/>
    <w:unhideWhenUsed/>
    <w:rsid w:val="00EF14DA"/>
    <w:rPr>
      <w:color w:val="0563C1"/>
      <w:u w:val="single"/>
    </w:rPr>
  </w:style>
  <w:style w:type="paragraph" w:styleId="Textpoznmkypodiarou">
    <w:name w:val="footnote text"/>
    <w:aliases w:val="Text poznámky pod čiarou 007,Footnote text,Char,Char1 Char,Char2,Char3,Char11,Char1 Char2,Char21,Char4,Char12,Char1 Char3,Char22,Char5,Char13,Char1 Char4,Char23,Char6,Char14,Char1 Char5,Char24,Char7,Char15,Char1 Char6,Char25"/>
    <w:basedOn w:val="Normlny"/>
    <w:link w:val="TextpoznmkypodiarouChar"/>
    <w:uiPriority w:val="99"/>
    <w:unhideWhenUsed/>
    <w:qFormat/>
    <w:rsid w:val="009D3802"/>
    <w:pPr>
      <w:spacing w:after="0" w:line="240" w:lineRule="auto"/>
      <w:jc w:val="both"/>
    </w:pPr>
    <w:rPr>
      <w:rFonts w:ascii="Times New Roman" w:hAnsi="Times New Roman"/>
      <w:sz w:val="20"/>
      <w:szCs w:val="20"/>
      <w:lang w:val="en-IE" w:eastAsia="en-IE"/>
    </w:rPr>
  </w:style>
  <w:style w:type="character" w:customStyle="1" w:styleId="TextpoznmkypodiarouChar">
    <w:name w:val="Text poznámky pod čiarou Char"/>
    <w:aliases w:val="Text poznámky pod čiarou 007 Char,Footnote text Char,Char Char,Char1 Char Char,Char2 Char,Char3 Char,Char11 Char,Char1 Char2 Char,Char21 Char,Char4 Char,Char12 Char,Char1 Char3 Char,Char22 Char,Char5 Char,Char13 Char"/>
    <w:link w:val="Textpoznmkypodiarou"/>
    <w:uiPriority w:val="99"/>
    <w:qFormat/>
    <w:rsid w:val="009D3802"/>
    <w:rPr>
      <w:rFonts w:ascii="Times New Roman" w:hAnsi="Times New Roman"/>
      <w:lang w:val="en-IE" w:eastAsia="en-IE"/>
    </w:rPr>
  </w:style>
  <w:style w:type="character" w:styleId="Odkaznapoznmkupodiarou">
    <w:name w:val="footnote reference"/>
    <w:aliases w:val="Footnote symbol,IT Fußnotenzeichen,Footnote symboFußnotenzeichen,Footnote sign,-E Fußnotenzeichen,ESPON Footnote No,Footnote call,Footnote Reference Superscript,Footnote reference number,Times 10 Point,Exposant 3 Point,Ref"/>
    <w:link w:val="FootnoteReferenceCharCarCharCharCarCharCarCharCarCharCarCharCharCarCarCharCharCharCharCharCarCharCarCharCharCarCharCar"/>
    <w:uiPriority w:val="99"/>
    <w:unhideWhenUsed/>
    <w:qFormat/>
    <w:rsid w:val="009D3802"/>
    <w:rPr>
      <w:vertAlign w:val="superscript"/>
    </w:rPr>
  </w:style>
  <w:style w:type="paragraph" w:customStyle="1" w:styleId="FootnoteReferenceCharCarCharCharCarCharCarCharCarCharCarCharCharCarCarCharCharCharCharCharCarCharCarCharCharCarCharCar">
    <w:name w:val="Footnote Reference Char Car Char Char Car Char Car Char Car Char Car Char Char Car Car Char Char Char Char Char Car Char Car Char Char Car Char Car"/>
    <w:basedOn w:val="Normlny"/>
    <w:link w:val="Odkaznapoznmkupodiarou"/>
    <w:uiPriority w:val="99"/>
    <w:unhideWhenUsed/>
    <w:rsid w:val="009D3802"/>
    <w:pPr>
      <w:spacing w:after="160" w:line="240" w:lineRule="exact"/>
      <w:jc w:val="both"/>
    </w:pPr>
    <w:rPr>
      <w:sz w:val="20"/>
      <w:szCs w:val="20"/>
      <w:vertAlign w:val="superscript"/>
      <w:lang w:eastAsia="sk-SK"/>
    </w:rPr>
  </w:style>
  <w:style w:type="character" w:styleId="Odkaznakomentr">
    <w:name w:val="annotation reference"/>
    <w:uiPriority w:val="99"/>
    <w:semiHidden/>
    <w:unhideWhenUsed/>
    <w:rsid w:val="00972C0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72C0A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972C0A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72C0A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972C0A"/>
    <w:rPr>
      <w:b/>
      <w:bCs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2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72C0A"/>
    <w:rPr>
      <w:rFonts w:ascii="Segoe UI" w:hAnsi="Segoe UI" w:cs="Segoe UI"/>
      <w:sz w:val="18"/>
      <w:szCs w:val="18"/>
      <w:lang w:eastAsia="en-US"/>
    </w:rPr>
  </w:style>
  <w:style w:type="paragraph" w:customStyle="1" w:styleId="CharCharChar">
    <w:name w:val="Char Char Char"/>
    <w:basedOn w:val="Normlny"/>
    <w:uiPriority w:val="99"/>
    <w:rsid w:val="00DB4A3E"/>
    <w:pPr>
      <w:spacing w:after="160" w:line="240" w:lineRule="exact"/>
      <w:ind w:left="357" w:hanging="357"/>
      <w:jc w:val="both"/>
    </w:pPr>
    <w:rPr>
      <w:rFonts w:ascii="Times New Roman" w:eastAsia="Times New Roman" w:hAnsi="Times New Roman"/>
      <w:sz w:val="20"/>
      <w:szCs w:val="20"/>
      <w:vertAlign w:val="superscript"/>
      <w:lang w:eastAsia="sk-SK"/>
    </w:rPr>
  </w:style>
  <w:style w:type="character" w:customStyle="1" w:styleId="Nadpis4Char">
    <w:name w:val="Nadpis 4 Char"/>
    <w:basedOn w:val="Predvolenpsmoodseku"/>
    <w:link w:val="Nadpis4"/>
    <w:rsid w:val="00925CCC"/>
    <w:rPr>
      <w:rFonts w:ascii="Times New Roman" w:eastAsia="Times New Roman" w:hAnsi="Times New Roman"/>
      <w:b/>
      <w:smallCaps/>
      <w:sz w:val="26"/>
      <w:lang w:eastAsia="ar-SA"/>
    </w:rPr>
  </w:style>
  <w:style w:type="character" w:styleId="Jemnodkaz">
    <w:name w:val="Subtle Reference"/>
    <w:basedOn w:val="Predvolenpsmoodseku"/>
    <w:uiPriority w:val="31"/>
    <w:qFormat/>
    <w:rsid w:val="00925CCC"/>
    <w:rPr>
      <w:smallCaps/>
      <w:color w:val="5A5A5A" w:themeColor="text1" w:themeTint="A5"/>
    </w:rPr>
  </w:style>
  <w:style w:type="character" w:customStyle="1" w:styleId="norm00e1lnychar1">
    <w:name w:val="norm_00e1lny__char1"/>
    <w:rsid w:val="00925CCC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925CCC"/>
    <w:pPr>
      <w:spacing w:after="0" w:line="200" w:lineRule="atLeast"/>
    </w:pPr>
    <w:rPr>
      <w:rFonts w:ascii="Times New Roman" w:eastAsia="Times New Roman" w:hAnsi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25CC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25CC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EN/TXT/?uri=CELEX:52025PC0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0EF40-CDC9-4A40-BD71-4FEBB628D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MZV SR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Jakábová Jana</cp:lastModifiedBy>
  <cp:revision>3</cp:revision>
  <dcterms:created xsi:type="dcterms:W3CDTF">2026-05-14T08:37:00Z</dcterms:created>
  <dcterms:modified xsi:type="dcterms:W3CDTF">2026-06-25T14:05:00Z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Akt EÚ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Zápis stanoviska k návrhu aktu EÚ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/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Barbora Bátorová</vt:lpwstr>
  </property>
  <property fmtid="{D5CDD505-2E9C-101B-9397-08002B2CF9AE}" pid="12" name="FSC#SKEDITIONSLOVLEX@103.510:zodppredkladatel">
    <vt:lpwstr/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COM(2024)63 OZNÁMENIE KOMISIE EURÓPSKEMU PARLAMENTU, RADE, EURÓPSKEMU HOSPODÁRSKEMU A SOCIÁLNEMU VÝBORU A VÝBORU REGIÓNOV Zabezpečenie našej budúcnosti Cieľ Európy v oblasti klímy do roku 2040 a cesta ku klimatickej neut...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/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/>
  </property>
  <property fmtid="{D5CDD505-2E9C-101B-9397-08002B2CF9AE}" pid="23" name="FSC#SKEDITIONSLOVLEX@103.510:plnynazovpredpis">
    <vt:lpwstr> COM(2024)63 OZNÁMENIE KOMISIE EURÓPSKEMU PARLAMENTU, RADE, EURÓPSKEMU HOSPODÁRSKEMU A SOCIÁLNEMU VÝBORU A VÝBORU REGIÓNOV Zabezpečenie našej budúcnosti Cieľ Európy v oblasti klímy do roku 2040 a cesta ku klimatickej neut...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/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LPEU/2024/68</vt:lpwstr>
  </property>
  <property fmtid="{D5CDD505-2E9C-101B-9397-08002B2CF9AE}" pid="37" name="FSC#SKEDITIONSLOVLEX@103.510:typsprievdok">
    <vt:lpwstr>Finálne predbežné stanovisko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riaditeľka odboru</vt:lpwstr>
  </property>
  <property fmtid="{D5CDD505-2E9C-101B-9397-08002B2CF9AE}" pid="139" name="FSC#SKEDITIONSLOVLEX@103.510:funkciaPredAkuzativ">
    <vt:lpwstr>riaditeľku odboru</vt:lpwstr>
  </property>
  <property fmtid="{D5CDD505-2E9C-101B-9397-08002B2CF9AE}" pid="140" name="FSC#SKEDITIONSLOVLEX@103.510:funkciaPredDativ">
    <vt:lpwstr>riaditeľke odboru</vt:lpwstr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/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16. 9. 2024</vt:lpwstr>
  </property>
  <property fmtid="{D5CDD505-2E9C-101B-9397-08002B2CF9AE}" pid="151" name="FSC#COOSYSTEM@1.1:Container">
    <vt:lpwstr>COO.2145.1000.3.6355627</vt:lpwstr>
  </property>
  <property fmtid="{D5CDD505-2E9C-101B-9397-08002B2CF9AE}" pid="152" name="FSC#FSCFOLIO@1.1001:docpropproject">
    <vt:lpwstr/>
  </property>
</Properties>
</file>