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rsidR="00054C41" w:rsidRPr="00895898" w:rsidRDefault="00054C41" w:rsidP="00054C41">
      <w:pPr>
        <w:jc w:val="both"/>
        <w:rPr>
          <w:rFonts w:ascii="Times New Roman" w:eastAsia="Calibri" w:hAnsi="Times New Roman" w:cs="Times New Roman"/>
          <w:b/>
          <w:sz w:val="24"/>
          <w:szCs w:val="24"/>
        </w:rPr>
      </w:pPr>
    </w:p>
    <w:p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F50C96" w:rsidRPr="00F50C96">
        <w:t xml:space="preserve"> </w:t>
      </w:r>
      <w:r w:rsidR="00F50C96">
        <w:t>N</w:t>
      </w:r>
      <w:r w:rsidR="00F50C96" w:rsidRPr="00F50C96">
        <w:rPr>
          <w:rFonts w:ascii="Times New Roman" w:eastAsia="Calibri" w:hAnsi="Times New Roman" w:cs="Times New Roman"/>
          <w:sz w:val="24"/>
          <w:szCs w:val="24"/>
        </w:rPr>
        <w:t>ávrh zákona, ktorým sa mení a dopĺňa zákon č. 8/2009 Z. z. o cestnej premávke a o zmene a doplnení niektorých zákonov v znení neskorších predpisov a o zmen</w:t>
      </w:r>
      <w:r w:rsidR="00F50C96">
        <w:rPr>
          <w:rFonts w:ascii="Times New Roman" w:eastAsia="Calibri" w:hAnsi="Times New Roman" w:cs="Times New Roman"/>
          <w:sz w:val="24"/>
          <w:szCs w:val="24"/>
        </w:rPr>
        <w:t>e a doplnení niektorých zákonov.</w:t>
      </w:r>
    </w:p>
    <w:p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874F6D">
        <w:rPr>
          <w:rFonts w:ascii="Times New Roman" w:eastAsia="Calibri" w:hAnsi="Times New Roman" w:cs="Times New Roman"/>
          <w:b/>
          <w:sz w:val="24"/>
          <w:szCs w:val="24"/>
        </w:rPr>
        <w:t xml:space="preserve"> </w:t>
      </w:r>
      <w:r w:rsidR="00F50C96" w:rsidRPr="00F50C96">
        <w:rPr>
          <w:rFonts w:ascii="Times New Roman" w:eastAsia="Calibri" w:hAnsi="Times New Roman" w:cs="Times New Roman"/>
          <w:sz w:val="24"/>
          <w:szCs w:val="24"/>
        </w:rPr>
        <w:t>Ministerstvo vnútra Slovenskej republiky</w:t>
      </w:r>
    </w:p>
    <w:p w:rsidR="00054C41" w:rsidRPr="001F1B43" w:rsidRDefault="00054C41" w:rsidP="00054C41">
      <w:pPr>
        <w:jc w:val="both"/>
        <w:rPr>
          <w:rFonts w:ascii="Times New Roman" w:eastAsia="Calibri" w:hAnsi="Times New Roman" w:cs="Times New Roman"/>
          <w:b/>
          <w:sz w:val="24"/>
          <w:szCs w:val="24"/>
        </w:rPr>
      </w:pPr>
    </w:p>
    <w:p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rsidR="00BA4ADA" w:rsidRDefault="00BA4ADA" w:rsidP="00054C41"/>
    <w:tbl>
      <w:tblPr>
        <w:tblW w:w="10000" w:type="dxa"/>
        <w:tblInd w:w="-10" w:type="dxa"/>
        <w:tblCellMar>
          <w:left w:w="70" w:type="dxa"/>
          <w:right w:w="70" w:type="dxa"/>
        </w:tblCellMar>
        <w:tblLook w:val="04A0" w:firstRow="1" w:lastRow="0" w:firstColumn="1" w:lastColumn="0" w:noHBand="0" w:noVBand="1"/>
      </w:tblPr>
      <w:tblGrid>
        <w:gridCol w:w="3544"/>
        <w:gridCol w:w="2876"/>
        <w:gridCol w:w="160"/>
        <w:gridCol w:w="2634"/>
        <w:gridCol w:w="626"/>
        <w:gridCol w:w="160"/>
      </w:tblGrid>
      <w:tr w:rsidR="00F40D76" w:rsidRPr="00F40D76" w:rsidTr="00F40D76">
        <w:trPr>
          <w:gridAfter w:val="2"/>
          <w:wAfter w:w="786" w:type="dxa"/>
          <w:trHeight w:val="510"/>
        </w:trPr>
        <w:tc>
          <w:tcPr>
            <w:tcW w:w="354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jc w:val="center"/>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TYP NÁKLADOV</w:t>
            </w:r>
          </w:p>
        </w:tc>
        <w:tc>
          <w:tcPr>
            <w:tcW w:w="2876" w:type="dxa"/>
            <w:tcBorders>
              <w:top w:val="single" w:sz="8" w:space="0" w:color="auto"/>
              <w:left w:val="nil"/>
              <w:bottom w:val="single" w:sz="4" w:space="0" w:color="auto"/>
              <w:right w:val="single" w:sz="4" w:space="0" w:color="auto"/>
            </w:tcBorders>
            <w:shd w:val="clear" w:color="000000" w:fill="FFC00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Zvýšenie nákladov v € na PP</w:t>
            </w:r>
          </w:p>
        </w:tc>
        <w:tc>
          <w:tcPr>
            <w:tcW w:w="2794" w:type="dxa"/>
            <w:gridSpan w:val="2"/>
            <w:tcBorders>
              <w:top w:val="single" w:sz="8"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Zníženie nákladov v € na PP</w:t>
            </w:r>
          </w:p>
        </w:tc>
      </w:tr>
      <w:tr w:rsidR="00F40D76" w:rsidRPr="00F40D76" w:rsidTr="00F40D76">
        <w:trPr>
          <w:gridAfter w:val="2"/>
          <w:wAfter w:w="786" w:type="dxa"/>
          <w:trHeight w:val="660"/>
        </w:trPr>
        <w:tc>
          <w:tcPr>
            <w:tcW w:w="3544" w:type="dxa"/>
            <w:tcBorders>
              <w:top w:val="nil"/>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2876" w:type="dxa"/>
            <w:tcBorders>
              <w:top w:val="single" w:sz="4" w:space="0" w:color="auto"/>
              <w:left w:val="nil"/>
              <w:bottom w:val="single" w:sz="4" w:space="0" w:color="auto"/>
              <w:right w:val="single" w:sz="4" w:space="0" w:color="auto"/>
            </w:tcBorders>
            <w:shd w:val="clear" w:color="000000" w:fill="FFC00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c>
          <w:tcPr>
            <w:tcW w:w="2794" w:type="dxa"/>
            <w:gridSpan w:val="2"/>
            <w:tcBorders>
              <w:top w:val="single" w:sz="4"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r>
      <w:tr w:rsidR="00F40D76" w:rsidRPr="00F40D76" w:rsidTr="00F40D76">
        <w:trPr>
          <w:gridAfter w:val="2"/>
          <w:wAfter w:w="786" w:type="dxa"/>
          <w:trHeight w:val="300"/>
        </w:trPr>
        <w:tc>
          <w:tcPr>
            <w:tcW w:w="3544" w:type="dxa"/>
            <w:tcBorders>
              <w:top w:val="nil"/>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B. Iné poplatky</w:t>
            </w:r>
          </w:p>
        </w:tc>
        <w:tc>
          <w:tcPr>
            <w:tcW w:w="2876" w:type="dxa"/>
            <w:tcBorders>
              <w:top w:val="single" w:sz="4" w:space="0" w:color="auto"/>
              <w:left w:val="nil"/>
              <w:bottom w:val="single" w:sz="4" w:space="0" w:color="auto"/>
              <w:right w:val="single" w:sz="4" w:space="0" w:color="auto"/>
            </w:tcBorders>
            <w:shd w:val="clear" w:color="000000" w:fill="FFC00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c>
          <w:tcPr>
            <w:tcW w:w="2794" w:type="dxa"/>
            <w:gridSpan w:val="2"/>
            <w:tcBorders>
              <w:top w:val="single" w:sz="4"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r>
      <w:tr w:rsidR="00F40D76" w:rsidRPr="00F40D76" w:rsidTr="00F40D76">
        <w:trPr>
          <w:gridAfter w:val="2"/>
          <w:wAfter w:w="786" w:type="dxa"/>
          <w:trHeight w:val="300"/>
        </w:trPr>
        <w:tc>
          <w:tcPr>
            <w:tcW w:w="3544" w:type="dxa"/>
            <w:tcBorders>
              <w:top w:val="nil"/>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C. Nepriame finančné náklady</w:t>
            </w:r>
          </w:p>
        </w:tc>
        <w:tc>
          <w:tcPr>
            <w:tcW w:w="2876" w:type="dxa"/>
            <w:tcBorders>
              <w:top w:val="single" w:sz="4" w:space="0" w:color="auto"/>
              <w:left w:val="nil"/>
              <w:bottom w:val="single" w:sz="4" w:space="0" w:color="auto"/>
              <w:right w:val="single" w:sz="4" w:space="0" w:color="auto"/>
            </w:tcBorders>
            <w:shd w:val="clear" w:color="000000" w:fill="FFC00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c>
          <w:tcPr>
            <w:tcW w:w="2794" w:type="dxa"/>
            <w:gridSpan w:val="2"/>
            <w:tcBorders>
              <w:top w:val="single" w:sz="4"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r>
      <w:tr w:rsidR="00F40D76" w:rsidRPr="00F40D76" w:rsidTr="00F40D76">
        <w:trPr>
          <w:gridAfter w:val="2"/>
          <w:wAfter w:w="786" w:type="dxa"/>
          <w:trHeight w:val="300"/>
        </w:trPr>
        <w:tc>
          <w:tcPr>
            <w:tcW w:w="3544" w:type="dxa"/>
            <w:tcBorders>
              <w:top w:val="nil"/>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D. Administratívne náklady</w:t>
            </w:r>
          </w:p>
        </w:tc>
        <w:tc>
          <w:tcPr>
            <w:tcW w:w="2876" w:type="dxa"/>
            <w:tcBorders>
              <w:top w:val="single" w:sz="4" w:space="0" w:color="auto"/>
              <w:left w:val="nil"/>
              <w:bottom w:val="single" w:sz="4" w:space="0" w:color="auto"/>
              <w:right w:val="single" w:sz="4" w:space="0" w:color="auto"/>
            </w:tcBorders>
            <w:shd w:val="clear" w:color="000000" w:fill="FFC000"/>
            <w:vAlign w:val="center"/>
            <w:hideMark/>
          </w:tcPr>
          <w:p w:rsidR="00F40D76" w:rsidRPr="00F40D76" w:rsidRDefault="008B69E2" w:rsidP="008B69E2">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3 606</w:t>
            </w:r>
          </w:p>
        </w:tc>
        <w:tc>
          <w:tcPr>
            <w:tcW w:w="2794" w:type="dxa"/>
            <w:gridSpan w:val="2"/>
            <w:tcBorders>
              <w:top w:val="single" w:sz="4"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r>
      <w:tr w:rsidR="00F40D76" w:rsidRPr="00F40D76" w:rsidTr="00F40D76">
        <w:trPr>
          <w:gridAfter w:val="2"/>
          <w:wAfter w:w="786" w:type="dxa"/>
          <w:trHeight w:val="300"/>
        </w:trPr>
        <w:tc>
          <w:tcPr>
            <w:tcW w:w="3544" w:type="dxa"/>
            <w:tcBorders>
              <w:top w:val="nil"/>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Spolu = A+B+C+D</w:t>
            </w:r>
          </w:p>
        </w:tc>
        <w:tc>
          <w:tcPr>
            <w:tcW w:w="2876" w:type="dxa"/>
            <w:tcBorders>
              <w:top w:val="single" w:sz="4" w:space="0" w:color="auto"/>
              <w:left w:val="nil"/>
              <w:bottom w:val="single" w:sz="4" w:space="0" w:color="auto"/>
              <w:right w:val="single" w:sz="4" w:space="0" w:color="auto"/>
            </w:tcBorders>
            <w:shd w:val="clear" w:color="000000" w:fill="FFC000"/>
            <w:vAlign w:val="center"/>
            <w:hideMark/>
          </w:tcPr>
          <w:p w:rsidR="00F40D76" w:rsidRPr="00F40D76" w:rsidRDefault="008B69E2" w:rsidP="00F40D7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3 606</w:t>
            </w:r>
          </w:p>
        </w:tc>
        <w:tc>
          <w:tcPr>
            <w:tcW w:w="2794" w:type="dxa"/>
            <w:gridSpan w:val="2"/>
            <w:tcBorders>
              <w:top w:val="single" w:sz="4"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r>
      <w:tr w:rsidR="00F40D76" w:rsidRPr="00F40D76" w:rsidTr="00F40D76">
        <w:trPr>
          <w:gridAfter w:val="2"/>
          <w:wAfter w:w="786" w:type="dxa"/>
          <w:trHeight w:val="300"/>
        </w:trPr>
        <w:tc>
          <w:tcPr>
            <w:tcW w:w="3544" w:type="dxa"/>
            <w:tcBorders>
              <w:top w:val="nil"/>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 xml:space="preserve"> Z toho</w:t>
            </w:r>
          </w:p>
        </w:tc>
        <w:tc>
          <w:tcPr>
            <w:tcW w:w="2876" w:type="dxa"/>
            <w:tcBorders>
              <w:top w:val="single" w:sz="4" w:space="0" w:color="auto"/>
              <w:left w:val="nil"/>
              <w:bottom w:val="single" w:sz="4" w:space="0" w:color="auto"/>
              <w:right w:val="single" w:sz="4" w:space="0" w:color="auto"/>
            </w:tcBorders>
            <w:shd w:val="clear" w:color="000000" w:fill="FFC00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 </w:t>
            </w:r>
          </w:p>
        </w:tc>
        <w:tc>
          <w:tcPr>
            <w:tcW w:w="2794" w:type="dxa"/>
            <w:gridSpan w:val="2"/>
            <w:tcBorders>
              <w:top w:val="single" w:sz="4"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 </w:t>
            </w:r>
          </w:p>
        </w:tc>
      </w:tr>
      <w:tr w:rsidR="00F40D76" w:rsidRPr="00F40D76" w:rsidTr="00F40D76">
        <w:trPr>
          <w:gridAfter w:val="2"/>
          <w:wAfter w:w="786" w:type="dxa"/>
          <w:trHeight w:val="615"/>
        </w:trPr>
        <w:tc>
          <w:tcPr>
            <w:tcW w:w="3544" w:type="dxa"/>
            <w:tcBorders>
              <w:top w:val="nil"/>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E. Vplyv na mikro, malé a stredné podn.</w:t>
            </w:r>
          </w:p>
        </w:tc>
        <w:tc>
          <w:tcPr>
            <w:tcW w:w="2876" w:type="dxa"/>
            <w:tcBorders>
              <w:top w:val="single" w:sz="4" w:space="0" w:color="auto"/>
              <w:left w:val="nil"/>
              <w:bottom w:val="single" w:sz="4" w:space="0" w:color="auto"/>
              <w:right w:val="single" w:sz="4" w:space="0" w:color="auto"/>
            </w:tcBorders>
            <w:shd w:val="clear" w:color="000000" w:fill="FFC00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c>
          <w:tcPr>
            <w:tcW w:w="2794" w:type="dxa"/>
            <w:gridSpan w:val="2"/>
            <w:tcBorders>
              <w:top w:val="single" w:sz="4"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r>
      <w:tr w:rsidR="00F40D76" w:rsidRPr="00F40D76" w:rsidTr="00F40D76">
        <w:trPr>
          <w:gridAfter w:val="2"/>
          <w:wAfter w:w="786" w:type="dxa"/>
          <w:trHeight w:val="990"/>
        </w:trPr>
        <w:tc>
          <w:tcPr>
            <w:tcW w:w="3544" w:type="dxa"/>
            <w:tcBorders>
              <w:top w:val="nil"/>
              <w:left w:val="single" w:sz="8" w:space="0" w:color="auto"/>
              <w:bottom w:val="single" w:sz="8"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b/>
                <w:bCs/>
                <w:i/>
                <w:iCs/>
                <w:color w:val="000000"/>
                <w:sz w:val="20"/>
                <w:szCs w:val="20"/>
                <w:lang w:eastAsia="sk-SK"/>
              </w:rPr>
            </w:pPr>
            <w:r w:rsidRPr="00F40D76">
              <w:rPr>
                <w:rFonts w:ascii="Times New Roman" w:eastAsia="Times New Roman" w:hAnsi="Times New Roman" w:cs="Times New Roman"/>
                <w:b/>
                <w:bCs/>
                <w:i/>
                <w:iCs/>
                <w:color w:val="000000"/>
                <w:sz w:val="20"/>
                <w:szCs w:val="20"/>
                <w:lang w:eastAsia="sk-SK"/>
              </w:rPr>
              <w:t>F. Úplná harmonizácia práva EÚ</w:t>
            </w:r>
            <w:r w:rsidRPr="00F40D76">
              <w:rPr>
                <w:rFonts w:ascii="Times New Roman" w:eastAsia="Times New Roman" w:hAnsi="Times New Roman" w:cs="Times New Roman"/>
                <w:b/>
                <w:bCs/>
                <w:i/>
                <w:iCs/>
                <w:color w:val="000000"/>
                <w:sz w:val="20"/>
                <w:szCs w:val="20"/>
                <w:lang w:eastAsia="sk-SK"/>
              </w:rPr>
              <w:br/>
            </w:r>
            <w:r w:rsidRPr="00F40D76">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876" w:type="dxa"/>
            <w:tcBorders>
              <w:top w:val="single" w:sz="4" w:space="0" w:color="auto"/>
              <w:left w:val="nil"/>
              <w:bottom w:val="single" w:sz="8" w:space="0" w:color="auto"/>
              <w:right w:val="single" w:sz="4" w:space="0" w:color="auto"/>
            </w:tcBorders>
            <w:shd w:val="clear" w:color="000000" w:fill="FFC00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c>
          <w:tcPr>
            <w:tcW w:w="2794" w:type="dxa"/>
            <w:gridSpan w:val="2"/>
            <w:tcBorders>
              <w:top w:val="single" w:sz="4" w:space="0" w:color="auto"/>
              <w:left w:val="nil"/>
              <w:bottom w:val="single" w:sz="8"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r>
      <w:tr w:rsidR="00F40D76" w:rsidRPr="00F40D76" w:rsidTr="00F40D76">
        <w:trPr>
          <w:trHeight w:val="270"/>
        </w:trPr>
        <w:tc>
          <w:tcPr>
            <w:tcW w:w="3544" w:type="dxa"/>
            <w:tcBorders>
              <w:top w:val="nil"/>
              <w:left w:val="nil"/>
              <w:bottom w:val="nil"/>
              <w:right w:val="nil"/>
            </w:tcBorders>
            <w:shd w:val="clear" w:color="auto" w:fill="auto"/>
            <w:noWrap/>
            <w:vAlign w:val="bottom"/>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p>
        </w:tc>
        <w:tc>
          <w:tcPr>
            <w:tcW w:w="2876" w:type="dxa"/>
            <w:tcBorders>
              <w:top w:val="nil"/>
              <w:left w:val="nil"/>
              <w:bottom w:val="nil"/>
              <w:right w:val="nil"/>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sz w:val="20"/>
                <w:szCs w:val="20"/>
                <w:lang w:eastAsia="sk-SK"/>
              </w:rPr>
            </w:pPr>
          </w:p>
        </w:tc>
        <w:tc>
          <w:tcPr>
            <w:tcW w:w="160" w:type="dxa"/>
            <w:tcBorders>
              <w:top w:val="nil"/>
              <w:left w:val="nil"/>
              <w:bottom w:val="nil"/>
              <w:right w:val="nil"/>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sz w:val="20"/>
                <w:szCs w:val="20"/>
                <w:lang w:eastAsia="sk-SK"/>
              </w:rPr>
            </w:pPr>
          </w:p>
        </w:tc>
        <w:tc>
          <w:tcPr>
            <w:tcW w:w="3260" w:type="dxa"/>
            <w:gridSpan w:val="2"/>
            <w:tcBorders>
              <w:top w:val="nil"/>
              <w:left w:val="nil"/>
              <w:bottom w:val="nil"/>
              <w:right w:val="nil"/>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sz w:val="20"/>
                <w:szCs w:val="20"/>
                <w:lang w:eastAsia="sk-SK"/>
              </w:rPr>
            </w:pPr>
          </w:p>
        </w:tc>
        <w:tc>
          <w:tcPr>
            <w:tcW w:w="160" w:type="dxa"/>
            <w:tcBorders>
              <w:top w:val="nil"/>
              <w:left w:val="nil"/>
              <w:bottom w:val="nil"/>
              <w:right w:val="nil"/>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sz w:val="20"/>
                <w:szCs w:val="20"/>
                <w:lang w:eastAsia="sk-SK"/>
              </w:rPr>
            </w:pPr>
          </w:p>
        </w:tc>
      </w:tr>
      <w:tr w:rsidR="00F40D76" w:rsidRPr="00F40D76" w:rsidTr="00F40D76">
        <w:trPr>
          <w:gridAfter w:val="2"/>
          <w:wAfter w:w="786" w:type="dxa"/>
          <w:trHeight w:val="330"/>
        </w:trPr>
        <w:tc>
          <w:tcPr>
            <w:tcW w:w="354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i/>
                <w:iCs/>
                <w:color w:val="000000"/>
                <w:sz w:val="20"/>
                <w:szCs w:val="20"/>
                <w:lang w:eastAsia="sk-SK"/>
              </w:rPr>
            </w:pPr>
            <w:r w:rsidRPr="00F40D76">
              <w:rPr>
                <w:rFonts w:ascii="Times New Roman" w:eastAsia="Times New Roman" w:hAnsi="Times New Roman" w:cs="Times New Roman"/>
                <w:i/>
                <w:iCs/>
                <w:color w:val="000000"/>
                <w:sz w:val="20"/>
                <w:szCs w:val="20"/>
                <w:lang w:eastAsia="sk-SK"/>
              </w:rPr>
              <w:t>VÝPOČET PRAVIDLA 1in2out:</w:t>
            </w:r>
          </w:p>
        </w:tc>
        <w:tc>
          <w:tcPr>
            <w:tcW w:w="2876" w:type="dxa"/>
            <w:tcBorders>
              <w:top w:val="single" w:sz="8" w:space="0" w:color="auto"/>
              <w:left w:val="nil"/>
              <w:bottom w:val="single" w:sz="4" w:space="0" w:color="auto"/>
              <w:right w:val="single" w:sz="4" w:space="0" w:color="auto"/>
            </w:tcBorders>
            <w:shd w:val="clear" w:color="000000" w:fill="FFC000"/>
            <w:vAlign w:val="center"/>
            <w:hideMark/>
          </w:tcPr>
          <w:p w:rsidR="00F40D76" w:rsidRPr="00F40D76" w:rsidRDefault="00F40D76" w:rsidP="00F40D76">
            <w:pPr>
              <w:spacing w:after="0" w:line="240" w:lineRule="auto"/>
              <w:jc w:val="center"/>
              <w:rPr>
                <w:rFonts w:ascii="Times New Roman" w:eastAsia="Times New Roman" w:hAnsi="Times New Roman" w:cs="Times New Roman"/>
                <w:color w:val="000000"/>
                <w:sz w:val="20"/>
                <w:szCs w:val="20"/>
                <w:lang w:eastAsia="sk-SK"/>
              </w:rPr>
            </w:pPr>
            <w:r w:rsidRPr="00F40D76">
              <w:rPr>
                <w:rFonts w:ascii="Times New Roman" w:eastAsia="Times New Roman" w:hAnsi="Times New Roman" w:cs="Times New Roman"/>
                <w:color w:val="000000"/>
                <w:sz w:val="20"/>
                <w:szCs w:val="20"/>
                <w:lang w:eastAsia="sk-SK"/>
              </w:rPr>
              <w:t>IN</w:t>
            </w:r>
          </w:p>
        </w:tc>
        <w:tc>
          <w:tcPr>
            <w:tcW w:w="2794" w:type="dxa"/>
            <w:gridSpan w:val="2"/>
            <w:tcBorders>
              <w:top w:val="single" w:sz="8" w:space="0" w:color="auto"/>
              <w:left w:val="nil"/>
              <w:bottom w:val="single" w:sz="4"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color w:val="000000"/>
                <w:sz w:val="20"/>
                <w:szCs w:val="20"/>
                <w:lang w:eastAsia="sk-SK"/>
              </w:rPr>
            </w:pPr>
            <w:r w:rsidRPr="00F40D76">
              <w:rPr>
                <w:rFonts w:ascii="Times New Roman" w:eastAsia="Times New Roman" w:hAnsi="Times New Roman" w:cs="Times New Roman"/>
                <w:color w:val="000000"/>
                <w:sz w:val="20"/>
                <w:szCs w:val="20"/>
                <w:lang w:eastAsia="sk-SK"/>
              </w:rPr>
              <w:t>OUT</w:t>
            </w:r>
          </w:p>
        </w:tc>
      </w:tr>
      <w:tr w:rsidR="00F40D76" w:rsidRPr="00F40D76" w:rsidTr="00F40D76">
        <w:trPr>
          <w:gridAfter w:val="2"/>
          <w:wAfter w:w="786" w:type="dxa"/>
          <w:trHeight w:val="345"/>
        </w:trPr>
        <w:tc>
          <w:tcPr>
            <w:tcW w:w="3544" w:type="dxa"/>
            <w:tcBorders>
              <w:top w:val="nil"/>
              <w:left w:val="single" w:sz="8" w:space="0" w:color="auto"/>
              <w:bottom w:val="single" w:sz="8" w:space="0" w:color="auto"/>
              <w:right w:val="single" w:sz="4" w:space="0" w:color="auto"/>
            </w:tcBorders>
            <w:shd w:val="clear" w:color="auto" w:fill="auto"/>
            <w:vAlign w:val="center"/>
            <w:hideMark/>
          </w:tcPr>
          <w:p w:rsidR="00F40D76" w:rsidRPr="00F40D76" w:rsidRDefault="00F40D76" w:rsidP="00F40D76">
            <w:pPr>
              <w:spacing w:after="0" w:line="240" w:lineRule="auto"/>
              <w:rPr>
                <w:rFonts w:ascii="Times New Roman" w:eastAsia="Times New Roman" w:hAnsi="Times New Roman" w:cs="Times New Roman"/>
                <w:i/>
                <w:iCs/>
                <w:color w:val="000000"/>
                <w:sz w:val="20"/>
                <w:szCs w:val="20"/>
                <w:lang w:eastAsia="sk-SK"/>
              </w:rPr>
            </w:pPr>
            <w:r w:rsidRPr="00F40D76">
              <w:rPr>
                <w:rFonts w:ascii="Times New Roman" w:eastAsia="Times New Roman" w:hAnsi="Times New Roman" w:cs="Times New Roman"/>
                <w:i/>
                <w:iCs/>
                <w:color w:val="000000"/>
                <w:sz w:val="20"/>
                <w:szCs w:val="20"/>
                <w:lang w:eastAsia="sk-SK"/>
              </w:rPr>
              <w:t>G. Náklady okrem výnimiek = B+C+D-F</w:t>
            </w:r>
          </w:p>
        </w:tc>
        <w:tc>
          <w:tcPr>
            <w:tcW w:w="2876" w:type="dxa"/>
            <w:tcBorders>
              <w:top w:val="single" w:sz="4" w:space="0" w:color="auto"/>
              <w:left w:val="nil"/>
              <w:bottom w:val="single" w:sz="8" w:space="0" w:color="auto"/>
              <w:right w:val="single" w:sz="4" w:space="0" w:color="auto"/>
            </w:tcBorders>
            <w:shd w:val="clear" w:color="000000" w:fill="FFC000"/>
            <w:vAlign w:val="center"/>
            <w:hideMark/>
          </w:tcPr>
          <w:p w:rsidR="00F40D76" w:rsidRPr="00F40D76" w:rsidRDefault="00794B74" w:rsidP="008B69E2">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3 </w:t>
            </w:r>
            <w:r w:rsidR="008B69E2">
              <w:rPr>
                <w:rFonts w:ascii="Times New Roman" w:eastAsia="Times New Roman" w:hAnsi="Times New Roman" w:cs="Times New Roman"/>
                <w:b/>
                <w:bCs/>
                <w:color w:val="000000"/>
                <w:sz w:val="20"/>
                <w:szCs w:val="20"/>
                <w:lang w:eastAsia="sk-SK"/>
              </w:rPr>
              <w:t>606</w:t>
            </w:r>
          </w:p>
        </w:tc>
        <w:tc>
          <w:tcPr>
            <w:tcW w:w="2794" w:type="dxa"/>
            <w:gridSpan w:val="2"/>
            <w:tcBorders>
              <w:top w:val="single" w:sz="4" w:space="0" w:color="auto"/>
              <w:left w:val="nil"/>
              <w:bottom w:val="single" w:sz="8" w:space="0" w:color="auto"/>
              <w:right w:val="single" w:sz="8" w:space="0" w:color="000000"/>
            </w:tcBorders>
            <w:shd w:val="clear" w:color="000000" w:fill="92D050"/>
            <w:vAlign w:val="center"/>
            <w:hideMark/>
          </w:tcPr>
          <w:p w:rsidR="00F40D76" w:rsidRPr="00F40D76" w:rsidRDefault="00F40D76" w:rsidP="00F40D76">
            <w:pPr>
              <w:spacing w:after="0" w:line="240" w:lineRule="auto"/>
              <w:jc w:val="center"/>
              <w:rPr>
                <w:rFonts w:ascii="Times New Roman" w:eastAsia="Times New Roman" w:hAnsi="Times New Roman" w:cs="Times New Roman"/>
                <w:b/>
                <w:bCs/>
                <w:color w:val="000000"/>
                <w:sz w:val="20"/>
                <w:szCs w:val="20"/>
                <w:lang w:eastAsia="sk-SK"/>
              </w:rPr>
            </w:pPr>
            <w:r w:rsidRPr="00F40D76">
              <w:rPr>
                <w:rFonts w:ascii="Times New Roman" w:eastAsia="Times New Roman" w:hAnsi="Times New Roman" w:cs="Times New Roman"/>
                <w:b/>
                <w:bCs/>
                <w:color w:val="000000"/>
                <w:sz w:val="20"/>
                <w:szCs w:val="20"/>
                <w:lang w:eastAsia="sk-SK"/>
              </w:rPr>
              <w:t>0</w:t>
            </w:r>
          </w:p>
        </w:tc>
      </w:tr>
    </w:tbl>
    <w:p w:rsidR="00F40D76" w:rsidRPr="00895898" w:rsidRDefault="00F40D76" w:rsidP="00054C41">
      <w:pPr>
        <w:rPr>
          <w:rFonts w:ascii="Times New Roman" w:eastAsia="Calibri" w:hAnsi="Times New Roman" w:cs="Times New Roman"/>
          <w:b/>
          <w:sz w:val="24"/>
          <w:szCs w:val="24"/>
        </w:rPr>
        <w:sectPr w:rsidR="00F40D76" w:rsidRPr="00895898" w:rsidSect="00142154">
          <w:footerReference w:type="default" r:id="rId9"/>
          <w:pgSz w:w="11906" w:h="16838"/>
          <w:pgMar w:top="993" w:right="1417" w:bottom="1417" w:left="1417" w:header="708" w:footer="708" w:gutter="0"/>
          <w:pgNumType w:start="1"/>
          <w:cols w:space="708"/>
          <w:docGrid w:linePitch="360"/>
        </w:sectPr>
      </w:pPr>
    </w:p>
    <w:p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rsidR="00054C41" w:rsidRPr="00895898" w:rsidRDefault="00054C41" w:rsidP="00054C41">
      <w:pPr>
        <w:jc w:val="both"/>
        <w:rPr>
          <w:rFonts w:ascii="Times New Roman" w:eastAsia="Calibri" w:hAnsi="Times New Roman" w:cs="Times New Roman"/>
          <w:i/>
        </w:rPr>
      </w:pPr>
    </w:p>
    <w:tbl>
      <w:tblPr>
        <w:tblW w:w="14275" w:type="dxa"/>
        <w:tblInd w:w="-5" w:type="dxa"/>
        <w:tblLayout w:type="fixed"/>
        <w:tblCellMar>
          <w:left w:w="70" w:type="dxa"/>
          <w:right w:w="70" w:type="dxa"/>
        </w:tblCellMar>
        <w:tblLook w:val="04A0" w:firstRow="1" w:lastRow="0" w:firstColumn="1" w:lastColumn="0" w:noHBand="0" w:noVBand="1"/>
      </w:tblPr>
      <w:tblGrid>
        <w:gridCol w:w="451"/>
        <w:gridCol w:w="2384"/>
        <w:gridCol w:w="1134"/>
        <w:gridCol w:w="1134"/>
        <w:gridCol w:w="1176"/>
        <w:gridCol w:w="951"/>
        <w:gridCol w:w="1701"/>
        <w:gridCol w:w="992"/>
        <w:gridCol w:w="850"/>
        <w:gridCol w:w="1011"/>
        <w:gridCol w:w="974"/>
        <w:gridCol w:w="1517"/>
      </w:tblGrid>
      <w:tr w:rsidR="00D77E18" w:rsidRPr="00BA4ADA" w:rsidTr="0081454A">
        <w:trPr>
          <w:trHeight w:val="255"/>
        </w:trPr>
        <w:tc>
          <w:tcPr>
            <w:tcW w:w="45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P.č.</w:t>
            </w:r>
          </w:p>
        </w:tc>
        <w:tc>
          <w:tcPr>
            <w:tcW w:w="238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 xml:space="preserve">Zrozumiteľný a stručný opis regulácie </w:t>
            </w:r>
            <w:r w:rsidRPr="00BA4ADA">
              <w:rPr>
                <w:rFonts w:ascii="Times New Roman" w:eastAsia="Times New Roman" w:hAnsi="Times New Roman" w:cs="Times New Roman"/>
                <w:b/>
                <w:bCs/>
                <w:color w:val="000000"/>
                <w:sz w:val="20"/>
                <w:szCs w:val="20"/>
                <w:lang w:eastAsia="sk-SK"/>
              </w:rPr>
              <w:br/>
              <w:t>(dôvod zvýšenia/zníženia nákladov na PP)</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Číslo normy</w:t>
            </w:r>
            <w:r w:rsidRPr="00BA4ADA">
              <w:rPr>
                <w:rFonts w:ascii="Times New Roman" w:eastAsia="Times New Roman" w:hAnsi="Times New Roman" w:cs="Times New Roman"/>
                <w:b/>
                <w:bCs/>
                <w:color w:val="000000"/>
                <w:sz w:val="20"/>
                <w:szCs w:val="20"/>
                <w:lang w:eastAsia="sk-SK"/>
              </w:rPr>
              <w:br/>
            </w:r>
            <w:r w:rsidRPr="00BA4ADA">
              <w:rPr>
                <w:rFonts w:ascii="Times New Roman" w:eastAsia="Times New Roman" w:hAnsi="Times New Roman" w:cs="Times New Roman"/>
                <w:color w:val="000000"/>
                <w:sz w:val="20"/>
                <w:szCs w:val="20"/>
                <w:lang w:eastAsia="sk-SK"/>
              </w:rPr>
              <w:t>(zákona, vyhlášky a pod.)</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Lokalizácia</w:t>
            </w:r>
            <w:r w:rsidRPr="00BA4ADA">
              <w:rPr>
                <w:rFonts w:ascii="Times New Roman" w:eastAsia="Times New Roman" w:hAnsi="Times New Roman" w:cs="Times New Roman"/>
                <w:b/>
                <w:bCs/>
                <w:color w:val="000000"/>
                <w:sz w:val="20"/>
                <w:szCs w:val="20"/>
                <w:lang w:eastAsia="sk-SK"/>
              </w:rPr>
              <w:br/>
              <w:t>(§, ods.)</w:t>
            </w:r>
          </w:p>
        </w:tc>
        <w:tc>
          <w:tcPr>
            <w:tcW w:w="117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 xml:space="preserve">Pôvod regulácie: </w:t>
            </w:r>
            <w:r w:rsidRPr="00BA4ADA">
              <w:rPr>
                <w:rFonts w:ascii="Times New Roman" w:eastAsia="Times New Roman" w:hAnsi="Times New Roman" w:cs="Times New Roman"/>
                <w:b/>
                <w:bCs/>
                <w:color w:val="000000"/>
                <w:sz w:val="20"/>
                <w:szCs w:val="20"/>
                <w:lang w:eastAsia="sk-SK"/>
              </w:rPr>
              <w:br/>
            </w:r>
            <w:r w:rsidRPr="00BA4ADA">
              <w:rPr>
                <w:rFonts w:ascii="Times New Roman" w:eastAsia="Times New Roman" w:hAnsi="Times New Roman" w:cs="Times New Roman"/>
                <w:color w:val="000000"/>
                <w:sz w:val="20"/>
                <w:szCs w:val="20"/>
                <w:lang w:eastAsia="sk-SK"/>
              </w:rPr>
              <w:t>SR/EÚ úplná harm./EÚ harm. s možnosťou voľby</w:t>
            </w:r>
          </w:p>
        </w:tc>
        <w:tc>
          <w:tcPr>
            <w:tcW w:w="95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Účinnosť regulácie</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Kategória dotk. subjektov</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 xml:space="preserve">Počet subjektov spolu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Počet subjektov MSP</w:t>
            </w:r>
          </w:p>
        </w:tc>
        <w:tc>
          <w:tcPr>
            <w:tcW w:w="101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Vplyv na 1 podnik. v €</w:t>
            </w:r>
          </w:p>
        </w:tc>
        <w:tc>
          <w:tcPr>
            <w:tcW w:w="9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Vplyv na kategóriu dotk. subjektov v €</w:t>
            </w:r>
          </w:p>
        </w:tc>
        <w:tc>
          <w:tcPr>
            <w:tcW w:w="151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D77E18" w:rsidRPr="00BA4ADA" w:rsidRDefault="00D77E18" w:rsidP="00BA4ADA">
            <w:pPr>
              <w:spacing w:after="0" w:line="240" w:lineRule="auto"/>
              <w:jc w:val="center"/>
              <w:rPr>
                <w:rFonts w:ascii="Times New Roman" w:eastAsia="Times New Roman" w:hAnsi="Times New Roman" w:cs="Times New Roman"/>
                <w:b/>
                <w:bCs/>
                <w:color w:val="000000"/>
                <w:sz w:val="20"/>
                <w:szCs w:val="20"/>
                <w:lang w:eastAsia="sk-SK"/>
              </w:rPr>
            </w:pPr>
            <w:r w:rsidRPr="00BA4ADA">
              <w:rPr>
                <w:rFonts w:ascii="Times New Roman" w:eastAsia="Times New Roman" w:hAnsi="Times New Roman" w:cs="Times New Roman"/>
                <w:b/>
                <w:bCs/>
                <w:color w:val="000000"/>
                <w:sz w:val="20"/>
                <w:szCs w:val="20"/>
                <w:lang w:eastAsia="sk-SK"/>
              </w:rPr>
              <w:t>Druh vplyvu</w:t>
            </w:r>
            <w:r w:rsidRPr="00BA4ADA">
              <w:rPr>
                <w:rFonts w:ascii="Times New Roman" w:eastAsia="Times New Roman" w:hAnsi="Times New Roman" w:cs="Times New Roman"/>
                <w:b/>
                <w:bCs/>
                <w:color w:val="000000"/>
                <w:sz w:val="20"/>
                <w:szCs w:val="20"/>
                <w:lang w:eastAsia="sk-SK"/>
              </w:rPr>
              <w:br/>
            </w:r>
            <w:r w:rsidRPr="00BA4ADA">
              <w:rPr>
                <w:rFonts w:ascii="Times New Roman" w:eastAsia="Times New Roman" w:hAnsi="Times New Roman" w:cs="Times New Roman"/>
                <w:color w:val="000000"/>
                <w:sz w:val="20"/>
                <w:szCs w:val="20"/>
                <w:lang w:eastAsia="sk-SK"/>
              </w:rPr>
              <w:t xml:space="preserve">In (zvyšuje náklady) / </w:t>
            </w:r>
            <w:r w:rsidRPr="00BA4ADA">
              <w:rPr>
                <w:rFonts w:ascii="Times New Roman" w:eastAsia="Times New Roman" w:hAnsi="Times New Roman" w:cs="Times New Roman"/>
                <w:color w:val="000000"/>
                <w:sz w:val="20"/>
                <w:szCs w:val="20"/>
                <w:lang w:eastAsia="sk-SK"/>
              </w:rPr>
              <w:br/>
              <w:t>Out (znižuje náklady)</w:t>
            </w:r>
          </w:p>
        </w:tc>
      </w:tr>
      <w:tr w:rsidR="00D77E18" w:rsidRPr="00BA4ADA" w:rsidTr="0081454A">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238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517"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r>
      <w:tr w:rsidR="00D77E18" w:rsidRPr="00BA4ADA" w:rsidTr="0081454A">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238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517"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r>
      <w:tr w:rsidR="00D77E18" w:rsidRPr="00BA4ADA" w:rsidTr="0081454A">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238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517"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r>
      <w:tr w:rsidR="00D77E18" w:rsidRPr="00BA4ADA" w:rsidTr="0081454A">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238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517"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r>
      <w:tr w:rsidR="00D77E18" w:rsidRPr="00BA4ADA" w:rsidTr="0081454A">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238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c>
          <w:tcPr>
            <w:tcW w:w="1517" w:type="dxa"/>
            <w:vMerge/>
            <w:tcBorders>
              <w:top w:val="single" w:sz="4" w:space="0" w:color="auto"/>
              <w:left w:val="single" w:sz="4" w:space="0" w:color="auto"/>
              <w:bottom w:val="single" w:sz="4" w:space="0" w:color="auto"/>
              <w:right w:val="single" w:sz="4" w:space="0" w:color="auto"/>
            </w:tcBorders>
            <w:vAlign w:val="center"/>
            <w:hideMark/>
          </w:tcPr>
          <w:p w:rsidR="00D77E18" w:rsidRPr="00BA4ADA" w:rsidRDefault="00D77E18" w:rsidP="00BA4ADA">
            <w:pPr>
              <w:spacing w:after="0" w:line="240" w:lineRule="auto"/>
              <w:rPr>
                <w:rFonts w:ascii="Times New Roman" w:eastAsia="Times New Roman" w:hAnsi="Times New Roman" w:cs="Times New Roman"/>
                <w:b/>
                <w:bCs/>
                <w:color w:val="000000"/>
                <w:sz w:val="20"/>
                <w:szCs w:val="20"/>
                <w:lang w:eastAsia="sk-SK"/>
              </w:rPr>
            </w:pPr>
          </w:p>
        </w:tc>
      </w:tr>
      <w:tr w:rsidR="00D77E18" w:rsidRPr="00BA4ADA" w:rsidTr="0078472C">
        <w:trPr>
          <w:trHeight w:val="565"/>
        </w:trPr>
        <w:tc>
          <w:tcPr>
            <w:tcW w:w="451" w:type="dxa"/>
            <w:tcBorders>
              <w:top w:val="nil"/>
              <w:left w:val="single" w:sz="4" w:space="0" w:color="auto"/>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1</w:t>
            </w:r>
          </w:p>
        </w:tc>
        <w:tc>
          <w:tcPr>
            <w:tcW w:w="2384"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vypracovanie podmienok používania zvláštnych výstražných znamení</w:t>
            </w:r>
          </w:p>
        </w:tc>
        <w:tc>
          <w:tcPr>
            <w:tcW w:w="1134"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8/2009</w:t>
            </w:r>
          </w:p>
        </w:tc>
        <w:tc>
          <w:tcPr>
            <w:tcW w:w="1134" w:type="dxa"/>
            <w:tcBorders>
              <w:top w:val="nil"/>
              <w:left w:val="nil"/>
              <w:bottom w:val="single" w:sz="4" w:space="0" w:color="auto"/>
              <w:right w:val="single" w:sz="4" w:space="0" w:color="auto"/>
            </w:tcBorders>
            <w:shd w:val="clear" w:color="auto" w:fill="auto"/>
            <w:vAlign w:val="center"/>
            <w:hideMark/>
          </w:tcPr>
          <w:p w:rsidR="00D77E18" w:rsidRPr="007846BF" w:rsidRDefault="0078472C" w:rsidP="00BA4ADA">
            <w:pPr>
              <w:spacing w:after="0" w:line="240" w:lineRule="auto"/>
              <w:jc w:val="center"/>
              <w:rPr>
                <w:rFonts w:ascii="Times New Roman" w:eastAsia="Times New Roman" w:hAnsi="Times New Roman" w:cs="Times New Roman"/>
                <w:color w:val="000000"/>
                <w:sz w:val="20"/>
                <w:szCs w:val="20"/>
                <w:lang w:eastAsia="sk-SK"/>
              </w:rPr>
            </w:pPr>
            <w:r w:rsidRPr="007846BF">
              <w:rPr>
                <w:rFonts w:ascii="Times New Roman" w:eastAsia="Times New Roman" w:hAnsi="Times New Roman" w:cs="Times New Roman"/>
                <w:color w:val="000000"/>
                <w:sz w:val="20"/>
                <w:szCs w:val="20"/>
                <w:lang w:eastAsia="sk-SK"/>
              </w:rPr>
              <w:t>§ 40 ods. 15 písm. b)</w:t>
            </w:r>
          </w:p>
        </w:tc>
        <w:tc>
          <w:tcPr>
            <w:tcW w:w="1176"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SK</w:t>
            </w:r>
          </w:p>
        </w:tc>
        <w:tc>
          <w:tcPr>
            <w:tcW w:w="951"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8976D2">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01.</w:t>
            </w:r>
            <w:r w:rsidR="008976D2">
              <w:rPr>
                <w:rFonts w:ascii="Times New Roman" w:eastAsia="Times New Roman" w:hAnsi="Times New Roman" w:cs="Times New Roman"/>
                <w:color w:val="000000"/>
                <w:sz w:val="20"/>
                <w:szCs w:val="20"/>
                <w:lang w:eastAsia="sk-SK"/>
              </w:rPr>
              <w:t>02</w:t>
            </w:r>
            <w:r w:rsidRPr="00BA4ADA">
              <w:rPr>
                <w:rFonts w:ascii="Times New Roman" w:eastAsia="Times New Roman" w:hAnsi="Times New Roman" w:cs="Times New Roman"/>
                <w:color w:val="000000"/>
                <w:sz w:val="20"/>
                <w:szCs w:val="20"/>
                <w:lang w:eastAsia="sk-SK"/>
              </w:rPr>
              <w:t>.2</w:t>
            </w:r>
            <w:r w:rsidR="008976D2">
              <w:rPr>
                <w:rFonts w:ascii="Times New Roman" w:eastAsia="Times New Roman" w:hAnsi="Times New Roman" w:cs="Times New Roman"/>
                <w:color w:val="000000"/>
                <w:sz w:val="20"/>
                <w:szCs w:val="20"/>
                <w:lang w:eastAsia="sk-SK"/>
              </w:rPr>
              <w:t>6</w:t>
            </w:r>
          </w:p>
        </w:tc>
        <w:tc>
          <w:tcPr>
            <w:tcW w:w="1701"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prevádzkovateľ vozidla s právom prednosti v jazde</w:t>
            </w:r>
          </w:p>
        </w:tc>
        <w:tc>
          <w:tcPr>
            <w:tcW w:w="992"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78472C">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65</w:t>
            </w:r>
          </w:p>
        </w:tc>
        <w:tc>
          <w:tcPr>
            <w:tcW w:w="850"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78472C">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N</w:t>
            </w:r>
          </w:p>
        </w:tc>
        <w:tc>
          <w:tcPr>
            <w:tcW w:w="1011" w:type="dxa"/>
            <w:tcBorders>
              <w:top w:val="nil"/>
              <w:left w:val="nil"/>
              <w:bottom w:val="single" w:sz="4" w:space="0" w:color="auto"/>
              <w:right w:val="single" w:sz="4" w:space="0" w:color="auto"/>
            </w:tcBorders>
            <w:shd w:val="clear" w:color="auto" w:fill="auto"/>
            <w:vAlign w:val="center"/>
            <w:hideMark/>
          </w:tcPr>
          <w:p w:rsidR="00D77E18" w:rsidRPr="00BA4ADA" w:rsidRDefault="00794B74" w:rsidP="00BA4ADA">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28</w:t>
            </w:r>
          </w:p>
        </w:tc>
        <w:tc>
          <w:tcPr>
            <w:tcW w:w="974" w:type="dxa"/>
            <w:tcBorders>
              <w:top w:val="nil"/>
              <w:left w:val="nil"/>
              <w:bottom w:val="single" w:sz="4" w:space="0" w:color="auto"/>
              <w:right w:val="single" w:sz="4" w:space="0" w:color="auto"/>
            </w:tcBorders>
            <w:shd w:val="clear" w:color="auto" w:fill="auto"/>
            <w:vAlign w:val="center"/>
            <w:hideMark/>
          </w:tcPr>
          <w:p w:rsidR="00D77E18" w:rsidRPr="00BA4ADA" w:rsidRDefault="00794B74" w:rsidP="00BA4ADA">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1801</w:t>
            </w:r>
          </w:p>
        </w:tc>
        <w:tc>
          <w:tcPr>
            <w:tcW w:w="1517"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In (zvyšuje náklady)</w:t>
            </w:r>
          </w:p>
        </w:tc>
      </w:tr>
      <w:tr w:rsidR="00D77E18" w:rsidRPr="00BA4ADA" w:rsidTr="0078472C">
        <w:trPr>
          <w:trHeight w:val="765"/>
        </w:trPr>
        <w:tc>
          <w:tcPr>
            <w:tcW w:w="451" w:type="dxa"/>
            <w:tcBorders>
              <w:top w:val="nil"/>
              <w:left w:val="single" w:sz="4" w:space="0" w:color="auto"/>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2</w:t>
            </w:r>
          </w:p>
        </w:tc>
        <w:tc>
          <w:tcPr>
            <w:tcW w:w="2384"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u</w:t>
            </w:r>
            <w:r>
              <w:rPr>
                <w:rFonts w:ascii="Times New Roman" w:eastAsia="Times New Roman" w:hAnsi="Times New Roman" w:cs="Times New Roman"/>
                <w:color w:val="000000"/>
                <w:sz w:val="20"/>
                <w:szCs w:val="20"/>
                <w:lang w:eastAsia="sk-SK"/>
              </w:rPr>
              <w:t>r</w:t>
            </w:r>
            <w:r w:rsidRPr="00BA4ADA">
              <w:rPr>
                <w:rFonts w:ascii="Times New Roman" w:eastAsia="Times New Roman" w:hAnsi="Times New Roman" w:cs="Times New Roman"/>
                <w:color w:val="000000"/>
                <w:sz w:val="20"/>
                <w:szCs w:val="20"/>
                <w:lang w:eastAsia="sk-SK"/>
              </w:rPr>
              <w:t>čenie spôsobu evidovania zvláštnych výstražných znamení</w:t>
            </w:r>
          </w:p>
        </w:tc>
        <w:tc>
          <w:tcPr>
            <w:tcW w:w="1134"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8/2009</w:t>
            </w:r>
          </w:p>
        </w:tc>
        <w:tc>
          <w:tcPr>
            <w:tcW w:w="1134" w:type="dxa"/>
            <w:tcBorders>
              <w:top w:val="nil"/>
              <w:left w:val="nil"/>
              <w:bottom w:val="single" w:sz="4" w:space="0" w:color="auto"/>
              <w:right w:val="single" w:sz="4" w:space="0" w:color="auto"/>
            </w:tcBorders>
            <w:shd w:val="clear" w:color="auto" w:fill="auto"/>
            <w:vAlign w:val="center"/>
            <w:hideMark/>
          </w:tcPr>
          <w:p w:rsidR="00D77E18" w:rsidRPr="007846BF" w:rsidRDefault="0078472C" w:rsidP="00BA4ADA">
            <w:pPr>
              <w:spacing w:after="0" w:line="240" w:lineRule="auto"/>
              <w:jc w:val="center"/>
              <w:rPr>
                <w:rFonts w:ascii="Times New Roman" w:eastAsia="Times New Roman" w:hAnsi="Times New Roman" w:cs="Times New Roman"/>
                <w:color w:val="000000"/>
                <w:sz w:val="20"/>
                <w:szCs w:val="20"/>
                <w:lang w:eastAsia="sk-SK"/>
              </w:rPr>
            </w:pPr>
            <w:r w:rsidRPr="007846BF">
              <w:rPr>
                <w:rFonts w:ascii="Times New Roman" w:eastAsia="Times New Roman" w:hAnsi="Times New Roman" w:cs="Times New Roman"/>
                <w:color w:val="000000"/>
                <w:sz w:val="20"/>
                <w:szCs w:val="20"/>
                <w:lang w:eastAsia="sk-SK"/>
              </w:rPr>
              <w:t>§ 40 ods. 15 písm. c)</w:t>
            </w:r>
          </w:p>
        </w:tc>
        <w:tc>
          <w:tcPr>
            <w:tcW w:w="1176"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SK</w:t>
            </w:r>
          </w:p>
        </w:tc>
        <w:tc>
          <w:tcPr>
            <w:tcW w:w="951" w:type="dxa"/>
            <w:tcBorders>
              <w:top w:val="nil"/>
              <w:left w:val="nil"/>
              <w:bottom w:val="single" w:sz="4" w:space="0" w:color="auto"/>
              <w:right w:val="single" w:sz="4" w:space="0" w:color="auto"/>
            </w:tcBorders>
            <w:shd w:val="clear" w:color="auto" w:fill="auto"/>
            <w:vAlign w:val="center"/>
            <w:hideMark/>
          </w:tcPr>
          <w:p w:rsidR="00D77E18" w:rsidRPr="00BA4ADA" w:rsidRDefault="008976D2"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01.</w:t>
            </w:r>
            <w:r>
              <w:rPr>
                <w:rFonts w:ascii="Times New Roman" w:eastAsia="Times New Roman" w:hAnsi="Times New Roman" w:cs="Times New Roman"/>
                <w:color w:val="000000"/>
                <w:sz w:val="20"/>
                <w:szCs w:val="20"/>
                <w:lang w:eastAsia="sk-SK"/>
              </w:rPr>
              <w:t>02</w:t>
            </w:r>
            <w:r w:rsidRPr="00BA4ADA">
              <w:rPr>
                <w:rFonts w:ascii="Times New Roman" w:eastAsia="Times New Roman" w:hAnsi="Times New Roman" w:cs="Times New Roman"/>
                <w:color w:val="000000"/>
                <w:sz w:val="20"/>
                <w:szCs w:val="20"/>
                <w:lang w:eastAsia="sk-SK"/>
              </w:rPr>
              <w:t>.2</w:t>
            </w:r>
            <w:r>
              <w:rPr>
                <w:rFonts w:ascii="Times New Roman" w:eastAsia="Times New Roman" w:hAnsi="Times New Roman" w:cs="Times New Roman"/>
                <w:color w:val="000000"/>
                <w:sz w:val="20"/>
                <w:szCs w:val="20"/>
                <w:lang w:eastAsia="sk-SK"/>
              </w:rPr>
              <w:t>6</w:t>
            </w:r>
          </w:p>
        </w:tc>
        <w:tc>
          <w:tcPr>
            <w:tcW w:w="1701"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prevádzkovateľ vozidla s právom prednosti v jazde</w:t>
            </w:r>
          </w:p>
        </w:tc>
        <w:tc>
          <w:tcPr>
            <w:tcW w:w="992"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78472C">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65</w:t>
            </w:r>
          </w:p>
        </w:tc>
        <w:tc>
          <w:tcPr>
            <w:tcW w:w="850"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78472C">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N</w:t>
            </w:r>
          </w:p>
        </w:tc>
        <w:tc>
          <w:tcPr>
            <w:tcW w:w="1011" w:type="dxa"/>
            <w:tcBorders>
              <w:top w:val="nil"/>
              <w:left w:val="nil"/>
              <w:bottom w:val="single" w:sz="4" w:space="0" w:color="auto"/>
              <w:right w:val="single" w:sz="4" w:space="0" w:color="auto"/>
            </w:tcBorders>
            <w:shd w:val="clear" w:color="auto" w:fill="auto"/>
            <w:vAlign w:val="center"/>
            <w:hideMark/>
          </w:tcPr>
          <w:p w:rsidR="00D77E18" w:rsidRPr="00BA4ADA" w:rsidRDefault="00794B74" w:rsidP="00BA4ADA">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28</w:t>
            </w:r>
          </w:p>
        </w:tc>
        <w:tc>
          <w:tcPr>
            <w:tcW w:w="974" w:type="dxa"/>
            <w:tcBorders>
              <w:top w:val="nil"/>
              <w:left w:val="nil"/>
              <w:bottom w:val="single" w:sz="4" w:space="0" w:color="auto"/>
              <w:right w:val="single" w:sz="4" w:space="0" w:color="auto"/>
            </w:tcBorders>
            <w:shd w:val="clear" w:color="auto" w:fill="auto"/>
            <w:vAlign w:val="center"/>
            <w:hideMark/>
          </w:tcPr>
          <w:p w:rsidR="00D77E18" w:rsidRPr="00BA4ADA" w:rsidRDefault="00794B74" w:rsidP="00BA4ADA">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1801</w:t>
            </w:r>
          </w:p>
        </w:tc>
        <w:tc>
          <w:tcPr>
            <w:tcW w:w="1517"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In (zvyšuje náklady)</w:t>
            </w:r>
          </w:p>
        </w:tc>
      </w:tr>
      <w:tr w:rsidR="00D77E18" w:rsidRPr="00BA4ADA" w:rsidTr="0078472C">
        <w:trPr>
          <w:trHeight w:val="765"/>
        </w:trPr>
        <w:tc>
          <w:tcPr>
            <w:tcW w:w="451" w:type="dxa"/>
            <w:tcBorders>
              <w:top w:val="nil"/>
              <w:left w:val="single" w:sz="4" w:space="0" w:color="auto"/>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3</w:t>
            </w:r>
          </w:p>
        </w:tc>
        <w:tc>
          <w:tcPr>
            <w:tcW w:w="2384"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evidovanie použitia zvláštnych výstražných znamení</w:t>
            </w:r>
          </w:p>
        </w:tc>
        <w:tc>
          <w:tcPr>
            <w:tcW w:w="1134"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8/2009</w:t>
            </w:r>
          </w:p>
        </w:tc>
        <w:tc>
          <w:tcPr>
            <w:tcW w:w="1134" w:type="dxa"/>
            <w:tcBorders>
              <w:top w:val="nil"/>
              <w:left w:val="nil"/>
              <w:bottom w:val="single" w:sz="4" w:space="0" w:color="auto"/>
              <w:right w:val="single" w:sz="4" w:space="0" w:color="auto"/>
            </w:tcBorders>
            <w:shd w:val="clear" w:color="auto" w:fill="auto"/>
            <w:vAlign w:val="center"/>
            <w:hideMark/>
          </w:tcPr>
          <w:p w:rsidR="00D77E18" w:rsidRPr="007846BF" w:rsidRDefault="0078472C" w:rsidP="00BA4ADA">
            <w:pPr>
              <w:spacing w:after="0" w:line="240" w:lineRule="auto"/>
              <w:jc w:val="center"/>
              <w:rPr>
                <w:rFonts w:ascii="Times New Roman" w:eastAsia="Times New Roman" w:hAnsi="Times New Roman" w:cs="Times New Roman"/>
                <w:color w:val="000000"/>
                <w:sz w:val="20"/>
                <w:szCs w:val="20"/>
                <w:lang w:eastAsia="sk-SK"/>
              </w:rPr>
            </w:pPr>
            <w:r w:rsidRPr="007846BF">
              <w:rPr>
                <w:rFonts w:ascii="Times New Roman" w:eastAsia="Times New Roman" w:hAnsi="Times New Roman" w:cs="Times New Roman"/>
                <w:color w:val="000000"/>
                <w:sz w:val="20"/>
                <w:szCs w:val="20"/>
                <w:lang w:eastAsia="sk-SK"/>
              </w:rPr>
              <w:t>§ 40 ods. 15 písm. d)</w:t>
            </w:r>
          </w:p>
        </w:tc>
        <w:tc>
          <w:tcPr>
            <w:tcW w:w="1176"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SK</w:t>
            </w:r>
          </w:p>
        </w:tc>
        <w:tc>
          <w:tcPr>
            <w:tcW w:w="951" w:type="dxa"/>
            <w:tcBorders>
              <w:top w:val="nil"/>
              <w:left w:val="nil"/>
              <w:bottom w:val="single" w:sz="4" w:space="0" w:color="auto"/>
              <w:right w:val="single" w:sz="4" w:space="0" w:color="auto"/>
            </w:tcBorders>
            <w:shd w:val="clear" w:color="auto" w:fill="auto"/>
            <w:vAlign w:val="center"/>
            <w:hideMark/>
          </w:tcPr>
          <w:p w:rsidR="00D77E18" w:rsidRPr="00BA4ADA" w:rsidRDefault="008976D2">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01.</w:t>
            </w:r>
            <w:r>
              <w:rPr>
                <w:rFonts w:ascii="Times New Roman" w:eastAsia="Times New Roman" w:hAnsi="Times New Roman" w:cs="Times New Roman"/>
                <w:color w:val="000000"/>
                <w:sz w:val="20"/>
                <w:szCs w:val="20"/>
                <w:lang w:eastAsia="sk-SK"/>
              </w:rPr>
              <w:t>02</w:t>
            </w:r>
            <w:r w:rsidRPr="00BA4ADA">
              <w:rPr>
                <w:rFonts w:ascii="Times New Roman" w:eastAsia="Times New Roman" w:hAnsi="Times New Roman" w:cs="Times New Roman"/>
                <w:color w:val="000000"/>
                <w:sz w:val="20"/>
                <w:szCs w:val="20"/>
                <w:lang w:eastAsia="sk-SK"/>
              </w:rPr>
              <w:t>.2</w:t>
            </w:r>
            <w:r>
              <w:rPr>
                <w:rFonts w:ascii="Times New Roman" w:eastAsia="Times New Roman" w:hAnsi="Times New Roman" w:cs="Times New Roman"/>
                <w:color w:val="000000"/>
                <w:sz w:val="20"/>
                <w:szCs w:val="20"/>
                <w:lang w:eastAsia="sk-SK"/>
              </w:rPr>
              <w:t>6</w:t>
            </w:r>
          </w:p>
        </w:tc>
        <w:tc>
          <w:tcPr>
            <w:tcW w:w="1701"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prevádzkovateľ vozidla s právom prednosti v jazde</w:t>
            </w:r>
          </w:p>
        </w:tc>
        <w:tc>
          <w:tcPr>
            <w:tcW w:w="992"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78472C">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65</w:t>
            </w:r>
          </w:p>
        </w:tc>
        <w:tc>
          <w:tcPr>
            <w:tcW w:w="850"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78472C">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N</w:t>
            </w:r>
          </w:p>
        </w:tc>
        <w:tc>
          <w:tcPr>
            <w:tcW w:w="1011" w:type="dxa"/>
            <w:tcBorders>
              <w:top w:val="nil"/>
              <w:left w:val="nil"/>
              <w:bottom w:val="single" w:sz="4" w:space="0" w:color="auto"/>
              <w:right w:val="single" w:sz="4" w:space="0" w:color="auto"/>
            </w:tcBorders>
            <w:shd w:val="clear" w:color="auto" w:fill="auto"/>
            <w:vAlign w:val="center"/>
            <w:hideMark/>
          </w:tcPr>
          <w:p w:rsidR="00D77E18" w:rsidRPr="00BA4ADA" w:rsidRDefault="008B69E2" w:rsidP="008B69E2">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974" w:type="dxa"/>
            <w:tcBorders>
              <w:top w:val="nil"/>
              <w:left w:val="nil"/>
              <w:bottom w:val="single" w:sz="4" w:space="0" w:color="auto"/>
              <w:right w:val="single" w:sz="4" w:space="0" w:color="auto"/>
            </w:tcBorders>
            <w:shd w:val="clear" w:color="auto" w:fill="auto"/>
            <w:vAlign w:val="center"/>
            <w:hideMark/>
          </w:tcPr>
          <w:p w:rsidR="00D77E18" w:rsidRPr="00BA4ADA" w:rsidRDefault="008B69E2" w:rsidP="00BA4ADA">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3</w:t>
            </w:r>
          </w:p>
        </w:tc>
        <w:tc>
          <w:tcPr>
            <w:tcW w:w="1517" w:type="dxa"/>
            <w:tcBorders>
              <w:top w:val="nil"/>
              <w:left w:val="nil"/>
              <w:bottom w:val="single" w:sz="4" w:space="0" w:color="auto"/>
              <w:right w:val="single" w:sz="4" w:space="0" w:color="auto"/>
            </w:tcBorders>
            <w:shd w:val="clear" w:color="auto" w:fill="auto"/>
            <w:vAlign w:val="center"/>
            <w:hideMark/>
          </w:tcPr>
          <w:p w:rsidR="00D77E18" w:rsidRPr="00BA4ADA" w:rsidRDefault="00D77E18" w:rsidP="00BA4ADA">
            <w:pPr>
              <w:spacing w:after="0" w:line="240" w:lineRule="auto"/>
              <w:jc w:val="center"/>
              <w:rPr>
                <w:rFonts w:ascii="Times New Roman" w:eastAsia="Times New Roman" w:hAnsi="Times New Roman" w:cs="Times New Roman"/>
                <w:color w:val="000000"/>
                <w:sz w:val="20"/>
                <w:szCs w:val="20"/>
                <w:lang w:eastAsia="sk-SK"/>
              </w:rPr>
            </w:pPr>
            <w:r w:rsidRPr="00BA4ADA">
              <w:rPr>
                <w:rFonts w:ascii="Times New Roman" w:eastAsia="Times New Roman" w:hAnsi="Times New Roman" w:cs="Times New Roman"/>
                <w:color w:val="000000"/>
                <w:sz w:val="20"/>
                <w:szCs w:val="20"/>
                <w:lang w:eastAsia="sk-SK"/>
              </w:rPr>
              <w:t>In (zvyšuje náklady)</w:t>
            </w:r>
          </w:p>
        </w:tc>
      </w:tr>
    </w:tbl>
    <w:p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rsidR="008B69E2" w:rsidRPr="008B69E2" w:rsidRDefault="008B69E2" w:rsidP="008B69E2">
      <w:pPr>
        <w:pStyle w:val="Odsekzoznamu"/>
        <w:numPr>
          <w:ilvl w:val="0"/>
          <w:numId w:val="15"/>
        </w:num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V</w:t>
      </w:r>
      <w:r w:rsidRPr="008B69E2">
        <w:rPr>
          <w:rFonts w:ascii="Times New Roman" w:eastAsia="Calibri" w:hAnsi="Times New Roman" w:cs="Times New Roman"/>
          <w:bCs/>
          <w:i/>
          <w:iCs/>
          <w:color w:val="000000"/>
          <w:sz w:val="24"/>
          <w:szCs w:val="24"/>
        </w:rPr>
        <w:t>ypracovanie podmienok používania zvláštnych výstražných znamení</w:t>
      </w:r>
      <w:r>
        <w:rPr>
          <w:rFonts w:ascii="Times New Roman" w:eastAsia="Calibri" w:hAnsi="Times New Roman" w:cs="Times New Roman"/>
          <w:bCs/>
          <w:i/>
          <w:iCs/>
          <w:color w:val="000000"/>
          <w:sz w:val="24"/>
          <w:szCs w:val="24"/>
        </w:rPr>
        <w:t>.</w:t>
      </w:r>
    </w:p>
    <w:p w:rsidR="008B69E2" w:rsidRDefault="008B69E2"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Zmena regulácie </w:t>
      </w:r>
      <w:r w:rsidR="00794B74">
        <w:rPr>
          <w:rFonts w:ascii="Times New Roman" w:eastAsia="Calibri" w:hAnsi="Times New Roman" w:cs="Times New Roman"/>
          <w:bCs/>
          <w:iCs/>
          <w:color w:val="000000"/>
          <w:sz w:val="24"/>
          <w:szCs w:val="24"/>
        </w:rPr>
        <w:t xml:space="preserve">sa na základe kvalifikovaného odhadu dotkne 65 subjektov, ktoré v dnešnej dobe </w:t>
      </w:r>
      <w:r>
        <w:rPr>
          <w:rFonts w:ascii="Times New Roman" w:eastAsia="Calibri" w:hAnsi="Times New Roman" w:cs="Times New Roman"/>
          <w:bCs/>
          <w:iCs/>
          <w:color w:val="000000"/>
          <w:sz w:val="24"/>
          <w:szCs w:val="24"/>
        </w:rPr>
        <w:t>používajú zvláštne výstražné znamenia.</w:t>
      </w:r>
      <w:r w:rsidR="00794B74">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Pri kvantifikácií bol  zvolený postup na základe alternatívy č. 2 pre administratívne náklady, kde bola zvolená hodnota z pre</w:t>
      </w:r>
      <w:r w:rsidR="007846BF">
        <w:rPr>
          <w:rFonts w:ascii="Times New Roman" w:eastAsia="Calibri" w:hAnsi="Times New Roman" w:cs="Times New Roman"/>
          <w:bCs/>
          <w:iCs/>
          <w:color w:val="000000"/>
          <w:sz w:val="24"/>
          <w:szCs w:val="24"/>
        </w:rPr>
        <w:t>d</w:t>
      </w:r>
      <w:r>
        <w:rPr>
          <w:rFonts w:ascii="Times New Roman" w:eastAsia="Calibri" w:hAnsi="Times New Roman" w:cs="Times New Roman"/>
          <w:bCs/>
          <w:iCs/>
          <w:color w:val="000000"/>
          <w:sz w:val="24"/>
          <w:szCs w:val="24"/>
        </w:rPr>
        <w:t>definovaného číselníka. Typ administratívneho nákladu bol určený ako vypracovanie dokumentu jednorazovo.</w:t>
      </w:r>
    </w:p>
    <w:p w:rsidR="008B69E2" w:rsidRPr="008B69E2" w:rsidRDefault="008B69E2" w:rsidP="008B69E2">
      <w:pPr>
        <w:pStyle w:val="Odsekzoznamu"/>
        <w:numPr>
          <w:ilvl w:val="0"/>
          <w:numId w:val="15"/>
        </w:num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w:t>
      </w:r>
      <w:r w:rsidRPr="008B69E2">
        <w:rPr>
          <w:rFonts w:ascii="Times New Roman" w:eastAsia="Calibri" w:hAnsi="Times New Roman" w:cs="Times New Roman"/>
          <w:bCs/>
          <w:i/>
          <w:iCs/>
          <w:color w:val="000000"/>
          <w:sz w:val="24"/>
          <w:szCs w:val="24"/>
        </w:rPr>
        <w:t>rčenie spôsobu evidovania zvláštnych výstražných znamení</w:t>
      </w:r>
      <w:r>
        <w:rPr>
          <w:rFonts w:ascii="Times New Roman" w:eastAsia="Calibri" w:hAnsi="Times New Roman" w:cs="Times New Roman"/>
          <w:bCs/>
          <w:i/>
          <w:iCs/>
          <w:color w:val="000000"/>
          <w:sz w:val="24"/>
          <w:szCs w:val="24"/>
        </w:rPr>
        <w:t>.</w:t>
      </w:r>
    </w:p>
    <w:p w:rsidR="008B69E2" w:rsidRDefault="008B69E2"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Zmena regulácie sa na základe kvalifikovaného odhadu rovnako dotkne 65 subjektov. Pri kvantifikácií bol zvolený postup na základe alternatívy č. 2 pre administratívne náklady, kde bola zvolená hodnota z pred</w:t>
      </w:r>
      <w:r w:rsidR="007846BF">
        <w:rPr>
          <w:rFonts w:ascii="Times New Roman" w:eastAsia="Calibri" w:hAnsi="Times New Roman" w:cs="Times New Roman"/>
          <w:bCs/>
          <w:iCs/>
          <w:color w:val="000000"/>
          <w:sz w:val="24"/>
          <w:szCs w:val="24"/>
        </w:rPr>
        <w:t>d</w:t>
      </w:r>
      <w:r>
        <w:rPr>
          <w:rFonts w:ascii="Times New Roman" w:eastAsia="Calibri" w:hAnsi="Times New Roman" w:cs="Times New Roman"/>
          <w:bCs/>
          <w:iCs/>
          <w:color w:val="000000"/>
          <w:sz w:val="24"/>
          <w:szCs w:val="24"/>
        </w:rPr>
        <w:t>efinovaného číselníka. Typ administratívneho nákladu bol určený ako vypracovanie dokumentu jednorazovo.</w:t>
      </w:r>
    </w:p>
    <w:p w:rsidR="008B69E2" w:rsidRPr="008B69E2" w:rsidRDefault="008B69E2" w:rsidP="008B69E2">
      <w:pPr>
        <w:pStyle w:val="Odsekzoznamu"/>
        <w:numPr>
          <w:ilvl w:val="0"/>
          <w:numId w:val="15"/>
        </w:num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E</w:t>
      </w:r>
      <w:r w:rsidRPr="008B69E2">
        <w:rPr>
          <w:rFonts w:ascii="Times New Roman" w:eastAsia="Calibri" w:hAnsi="Times New Roman" w:cs="Times New Roman"/>
          <w:bCs/>
          <w:i/>
          <w:iCs/>
          <w:color w:val="000000"/>
          <w:sz w:val="24"/>
          <w:szCs w:val="24"/>
        </w:rPr>
        <w:t>vidovanie použitia zvláštnych výstražných znamení</w:t>
      </w:r>
      <w:r>
        <w:rPr>
          <w:rFonts w:ascii="Times New Roman" w:eastAsia="Calibri" w:hAnsi="Times New Roman" w:cs="Times New Roman"/>
          <w:bCs/>
          <w:i/>
          <w:iCs/>
          <w:color w:val="000000"/>
          <w:sz w:val="24"/>
          <w:szCs w:val="24"/>
        </w:rPr>
        <w:t>.</w:t>
      </w:r>
    </w:p>
    <w:p w:rsidR="00FA52CE" w:rsidRDefault="008B69E2"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Zmena regulácie sa na základe kvalifikovaného odhadu rovnako dotkne 65 subjektov. Pri kvantifikácií bol  zvolený postup na základe alternatívy č. 1</w:t>
      </w:r>
      <w:r w:rsidRPr="008B69E2">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pre administratívne náklady</w:t>
      </w:r>
      <w:r w:rsidR="00FA52CE">
        <w:rPr>
          <w:rFonts w:ascii="Times New Roman" w:eastAsia="Calibri" w:hAnsi="Times New Roman" w:cs="Times New Roman"/>
          <w:bCs/>
          <w:iCs/>
          <w:color w:val="000000"/>
          <w:sz w:val="24"/>
          <w:szCs w:val="24"/>
        </w:rPr>
        <w:t>. Pri expertnom odhade bola braná do úvahy časová náročnosť zaznamenávania údajov o použití zvláštnych výstražných znamení 1 minútu na jeden prípad, ktorá je na evidovanie údajov v predpokladanom rozsahu dátum, čas, evidenčné číslo vozidla a dôvod (písmeno na konkrétny bod podmienok ich používania) postačujúca. Frekvenciu evidovania nie je možné odhadnúť, nakoľko</w:t>
      </w:r>
      <w:r w:rsidR="00FA52CE" w:rsidRPr="00FA52CE">
        <w:rPr>
          <w:rFonts w:ascii="Times New Roman" w:eastAsia="Calibri" w:hAnsi="Times New Roman" w:cs="Times New Roman"/>
          <w:bCs/>
          <w:iCs/>
          <w:color w:val="000000"/>
          <w:sz w:val="24"/>
          <w:szCs w:val="24"/>
        </w:rPr>
        <w:t xml:space="preserve"> </w:t>
      </w:r>
      <w:r w:rsidR="00FA52CE">
        <w:rPr>
          <w:rFonts w:ascii="Times New Roman" w:eastAsia="Calibri" w:hAnsi="Times New Roman" w:cs="Times New Roman"/>
          <w:bCs/>
          <w:iCs/>
          <w:color w:val="000000"/>
          <w:sz w:val="24"/>
          <w:szCs w:val="24"/>
        </w:rPr>
        <w:t>priamo závisí od nevyhnutnosti „výjazdov“, resp. od okolností, ktoré nemôžu podnikateľské subjekty ovplyvniť.</w:t>
      </w:r>
      <w:r w:rsidR="007A3998">
        <w:rPr>
          <w:rFonts w:ascii="Times New Roman" w:eastAsia="Calibri" w:hAnsi="Times New Roman" w:cs="Times New Roman"/>
          <w:bCs/>
          <w:iCs/>
          <w:color w:val="000000"/>
          <w:sz w:val="24"/>
          <w:szCs w:val="24"/>
        </w:rPr>
        <w:t xml:space="preserve"> </w:t>
      </w:r>
    </w:p>
    <w:p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rsidR="00730CC1" w:rsidRPr="003D2EA1" w:rsidRDefault="00730CC1" w:rsidP="00730CC1">
      <w:pPr>
        <w:jc w:val="both"/>
        <w:rPr>
          <w:rFonts w:ascii="Times New Roman" w:eastAsia="Calibri" w:hAnsi="Times New Roman" w:cs="Times New Roman"/>
          <w:sz w:val="24"/>
          <w:szCs w:val="24"/>
        </w:rPr>
      </w:pPr>
      <w:r w:rsidRPr="003D2EA1">
        <w:rPr>
          <w:rFonts w:ascii="Times New Roman" w:eastAsia="Calibri" w:hAnsi="Times New Roman" w:cs="Times New Roman"/>
          <w:sz w:val="24"/>
          <w:szCs w:val="24"/>
        </w:rPr>
        <w:lastRenderedPageBreak/>
        <w:t xml:space="preserve">V rámci prípravy materiálu nebolo možné vykonať konzultácie s podnikateľskými subjektmi pred </w:t>
      </w:r>
      <w:r>
        <w:rPr>
          <w:rFonts w:ascii="Times New Roman" w:eastAsia="Calibri" w:hAnsi="Times New Roman" w:cs="Times New Roman"/>
          <w:sz w:val="24"/>
          <w:szCs w:val="24"/>
        </w:rPr>
        <w:t>začatím</w:t>
      </w:r>
      <w:r w:rsidRPr="003D2EA1">
        <w:rPr>
          <w:rFonts w:ascii="Times New Roman" w:eastAsia="Calibri" w:hAnsi="Times New Roman" w:cs="Times New Roman"/>
          <w:sz w:val="24"/>
          <w:szCs w:val="24"/>
        </w:rPr>
        <w:t xml:space="preserve"> predbežného pripomienkového konania</w:t>
      </w:r>
      <w:r w:rsidR="0021233D">
        <w:rPr>
          <w:rFonts w:ascii="Times New Roman" w:eastAsia="Calibri" w:hAnsi="Times New Roman" w:cs="Times New Roman"/>
          <w:sz w:val="24"/>
          <w:szCs w:val="24"/>
        </w:rPr>
        <w:t xml:space="preserve"> z dôvodu, </w:t>
      </w:r>
      <w:r w:rsidRPr="003D2EA1">
        <w:rPr>
          <w:rFonts w:ascii="Times New Roman" w:eastAsia="Calibri" w:hAnsi="Times New Roman" w:cs="Times New Roman"/>
          <w:sz w:val="24"/>
          <w:szCs w:val="24"/>
        </w:rPr>
        <w:t xml:space="preserve">že relevantné a špecifické vplyvy navrhovanej právnej úpravy na podnikateľské prostredie boli identifikované </w:t>
      </w:r>
      <w:r w:rsidR="004653FE">
        <w:rPr>
          <w:rFonts w:ascii="Times New Roman" w:eastAsia="Calibri" w:hAnsi="Times New Roman" w:cs="Times New Roman"/>
          <w:sz w:val="24"/>
          <w:szCs w:val="24"/>
        </w:rPr>
        <w:br/>
      </w:r>
      <w:r w:rsidRPr="003D2EA1">
        <w:rPr>
          <w:rFonts w:ascii="Times New Roman" w:eastAsia="Calibri" w:hAnsi="Times New Roman" w:cs="Times New Roman"/>
          <w:sz w:val="24"/>
          <w:szCs w:val="24"/>
        </w:rPr>
        <w:t xml:space="preserve">a podrobnejšie vyhodnotené až v priebehu samotného predbežného pripomienkového konania na základe vznesených pripomienok a podnetov od dotknutých hospodárskych subjektov. Tieto pripomienky následne slúžili ako kľúčový podklad pre komplexnú analýzu vplyvov predkladaného návrhu. Predbežné kvantifikácie a kvalifikácie vplyvov, ktoré by bolo možné konzultovať v počiatočnej fáze, neboli v dostatočnej miere k dispozícii. </w:t>
      </w:r>
    </w:p>
    <w:p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rsidR="00CB3D86" w:rsidRPr="00D8247C" w:rsidRDefault="00CB3D86" w:rsidP="00054C41">
      <w:pPr>
        <w:spacing w:after="0"/>
        <w:jc w:val="both"/>
        <w:rPr>
          <w:rFonts w:ascii="Times New Roman" w:eastAsia="Calibri" w:hAnsi="Times New Roman" w:cs="Times New Roman"/>
          <w:i/>
          <w:sz w:val="24"/>
          <w:szCs w:val="24"/>
        </w:rPr>
      </w:pPr>
    </w:p>
    <w:p w:rsidR="004D3D6F" w:rsidRDefault="00CB3D86" w:rsidP="006E2DD4">
      <w:pPr>
        <w:spacing w:after="0"/>
        <w:jc w:val="both"/>
        <w:rPr>
          <w:rFonts w:ascii="Times New Roman" w:eastAsia="Calibri" w:hAnsi="Times New Roman" w:cs="Times New Roman"/>
          <w:sz w:val="24"/>
          <w:szCs w:val="24"/>
        </w:rPr>
      </w:pPr>
      <w:r w:rsidRPr="00F01A47">
        <w:rPr>
          <w:rFonts w:ascii="Times New Roman" w:eastAsia="Calibri" w:hAnsi="Times New Roman" w:cs="Times New Roman"/>
          <w:sz w:val="24"/>
          <w:szCs w:val="24"/>
        </w:rPr>
        <w:t>Návrh zákona prinesie okrem iného aj dôležité zmeny v režime zákazu jázd pre nákladné vozidlá a ich výnimky (§ 39), čo bude mať priame a prevažne pozitívne vplyvy na konkurencieschopnosť a produktivitu v sektore dopravy a výroby.</w:t>
      </w:r>
      <w:r w:rsidR="004D3D6F">
        <w:rPr>
          <w:rFonts w:ascii="Times New Roman" w:eastAsia="Calibri" w:hAnsi="Times New Roman" w:cs="Times New Roman"/>
          <w:sz w:val="24"/>
          <w:szCs w:val="24"/>
        </w:rPr>
        <w:t xml:space="preserve"> </w:t>
      </w:r>
    </w:p>
    <w:p w:rsidR="006F7F4B" w:rsidRDefault="00CB3D86" w:rsidP="006F7F4B">
      <w:pPr>
        <w:spacing w:after="0"/>
        <w:jc w:val="both"/>
        <w:rPr>
          <w:rFonts w:ascii="Times New Roman" w:eastAsia="Calibri" w:hAnsi="Times New Roman" w:cs="Times New Roman"/>
          <w:sz w:val="24"/>
          <w:szCs w:val="24"/>
        </w:rPr>
      </w:pPr>
      <w:r w:rsidRPr="00CB3D86">
        <w:rPr>
          <w:rFonts w:ascii="Times New Roman" w:eastAsia="Calibri" w:hAnsi="Times New Roman" w:cs="Times New Roman"/>
          <w:sz w:val="24"/>
          <w:szCs w:val="24"/>
        </w:rPr>
        <w:t xml:space="preserve">Elimináciou </w:t>
      </w:r>
      <w:r w:rsidR="006E2DD4">
        <w:rPr>
          <w:rFonts w:ascii="Times New Roman" w:eastAsia="Calibri" w:hAnsi="Times New Roman" w:cs="Times New Roman"/>
          <w:sz w:val="24"/>
          <w:szCs w:val="24"/>
        </w:rPr>
        <w:t>doterajšej</w:t>
      </w:r>
      <w:r w:rsidRPr="00CB3D86">
        <w:rPr>
          <w:rFonts w:ascii="Times New Roman" w:eastAsia="Calibri" w:hAnsi="Times New Roman" w:cs="Times New Roman"/>
          <w:sz w:val="24"/>
          <w:szCs w:val="24"/>
        </w:rPr>
        <w:t xml:space="preserve"> byrokratickej záťaže, súvisiacej s opakovaným vyžadovaním výnimiek pre subjekty realizujúce medzinárodnú prepravu – osobitne v kontexte nakládky v nedeľu </w:t>
      </w:r>
      <w:r w:rsidR="004653FE">
        <w:rPr>
          <w:rFonts w:ascii="Times New Roman" w:eastAsia="Calibri" w:hAnsi="Times New Roman" w:cs="Times New Roman"/>
          <w:sz w:val="24"/>
          <w:szCs w:val="24"/>
        </w:rPr>
        <w:br/>
      </w:r>
      <w:r w:rsidRPr="00CB3D86">
        <w:rPr>
          <w:rFonts w:ascii="Times New Roman" w:eastAsia="Calibri" w:hAnsi="Times New Roman" w:cs="Times New Roman"/>
          <w:sz w:val="24"/>
          <w:szCs w:val="24"/>
        </w:rPr>
        <w:t xml:space="preserve">a tranzitných operácií s napojením na trajekty – sa </w:t>
      </w:r>
      <w:r w:rsidR="006E2DD4">
        <w:rPr>
          <w:rFonts w:ascii="Times New Roman" w:eastAsia="Calibri" w:hAnsi="Times New Roman" w:cs="Times New Roman"/>
          <w:sz w:val="24"/>
          <w:szCs w:val="24"/>
        </w:rPr>
        <w:t>z</w:t>
      </w:r>
      <w:r w:rsidRPr="00CB3D86">
        <w:rPr>
          <w:rFonts w:ascii="Times New Roman" w:eastAsia="Calibri" w:hAnsi="Times New Roman" w:cs="Times New Roman"/>
          <w:sz w:val="24"/>
          <w:szCs w:val="24"/>
        </w:rPr>
        <w:t>reduk</w:t>
      </w:r>
      <w:r w:rsidR="006E2DD4">
        <w:rPr>
          <w:rFonts w:ascii="Times New Roman" w:eastAsia="Calibri" w:hAnsi="Times New Roman" w:cs="Times New Roman"/>
          <w:sz w:val="24"/>
          <w:szCs w:val="24"/>
        </w:rPr>
        <w:t>ujú</w:t>
      </w:r>
      <w:r w:rsidRPr="00CB3D86">
        <w:rPr>
          <w:rFonts w:ascii="Times New Roman" w:eastAsia="Calibri" w:hAnsi="Times New Roman" w:cs="Times New Roman"/>
          <w:sz w:val="24"/>
          <w:szCs w:val="24"/>
        </w:rPr>
        <w:t xml:space="preserve"> administratívn</w:t>
      </w:r>
      <w:r w:rsidR="006E2DD4">
        <w:rPr>
          <w:rFonts w:ascii="Times New Roman" w:eastAsia="Calibri" w:hAnsi="Times New Roman" w:cs="Times New Roman"/>
          <w:sz w:val="24"/>
          <w:szCs w:val="24"/>
        </w:rPr>
        <w:t>e náklady a optimalizuje sa</w:t>
      </w:r>
      <w:r w:rsidRPr="00CB3D86">
        <w:rPr>
          <w:rFonts w:ascii="Times New Roman" w:eastAsia="Calibri" w:hAnsi="Times New Roman" w:cs="Times New Roman"/>
          <w:sz w:val="24"/>
          <w:szCs w:val="24"/>
        </w:rPr>
        <w:t xml:space="preserve"> časov</w:t>
      </w:r>
      <w:r w:rsidR="006E2DD4">
        <w:rPr>
          <w:rFonts w:ascii="Times New Roman" w:eastAsia="Calibri" w:hAnsi="Times New Roman" w:cs="Times New Roman"/>
          <w:sz w:val="24"/>
          <w:szCs w:val="24"/>
        </w:rPr>
        <w:t>ý manažment</w:t>
      </w:r>
      <w:r w:rsidRPr="00CB3D86">
        <w:rPr>
          <w:rFonts w:ascii="Times New Roman" w:eastAsia="Calibri" w:hAnsi="Times New Roman" w:cs="Times New Roman"/>
          <w:sz w:val="24"/>
          <w:szCs w:val="24"/>
        </w:rPr>
        <w:t xml:space="preserve"> prepravných procesov. </w:t>
      </w:r>
      <w:r w:rsidR="006E2DD4" w:rsidRPr="006E2DD4">
        <w:rPr>
          <w:rFonts w:ascii="Times New Roman" w:eastAsia="Calibri" w:hAnsi="Times New Roman" w:cs="Times New Roman"/>
          <w:sz w:val="24"/>
          <w:szCs w:val="24"/>
        </w:rPr>
        <w:t>Zároveň sa vytvorí dostatočný časový rámec na dojazd nákladných vozidiel do miesta určenia</w:t>
      </w:r>
      <w:r w:rsidR="00C90781">
        <w:rPr>
          <w:rFonts w:ascii="Times New Roman" w:eastAsia="Calibri" w:hAnsi="Times New Roman" w:cs="Times New Roman"/>
          <w:sz w:val="24"/>
          <w:szCs w:val="24"/>
        </w:rPr>
        <w:t>, čo</w:t>
      </w:r>
      <w:r w:rsidR="006E2DD4" w:rsidRPr="006E2DD4">
        <w:rPr>
          <w:rFonts w:ascii="Times New Roman" w:eastAsia="Calibri" w:hAnsi="Times New Roman" w:cs="Times New Roman"/>
          <w:sz w:val="24"/>
          <w:szCs w:val="24"/>
        </w:rPr>
        <w:t xml:space="preserve"> je kľúčové pre výrobné podniky s nepretržitou prevádzkou a minimálnymi skladovými zásobami (tzv. just-in-time princípy), čím sa zabezpečí stály príjem a vývoz tovarov dôležitých pre výrobný proces a</w:t>
      </w:r>
      <w:r w:rsidR="00C90781">
        <w:rPr>
          <w:rFonts w:ascii="Times New Roman" w:eastAsia="Calibri" w:hAnsi="Times New Roman" w:cs="Times New Roman"/>
          <w:sz w:val="24"/>
          <w:szCs w:val="24"/>
        </w:rPr>
        <w:t> </w:t>
      </w:r>
      <w:r w:rsidR="006E2DD4" w:rsidRPr="006E2DD4">
        <w:rPr>
          <w:rFonts w:ascii="Times New Roman" w:eastAsia="Calibri" w:hAnsi="Times New Roman" w:cs="Times New Roman"/>
          <w:sz w:val="24"/>
          <w:szCs w:val="24"/>
        </w:rPr>
        <w:t>zníži</w:t>
      </w:r>
      <w:r w:rsidR="00C90781">
        <w:rPr>
          <w:rFonts w:ascii="Times New Roman" w:eastAsia="Calibri" w:hAnsi="Times New Roman" w:cs="Times New Roman"/>
          <w:sz w:val="24"/>
          <w:szCs w:val="24"/>
        </w:rPr>
        <w:t xml:space="preserve"> sa</w:t>
      </w:r>
      <w:r w:rsidR="006E2DD4" w:rsidRPr="006E2DD4">
        <w:rPr>
          <w:rFonts w:ascii="Times New Roman" w:eastAsia="Calibri" w:hAnsi="Times New Roman" w:cs="Times New Roman"/>
          <w:sz w:val="24"/>
          <w:szCs w:val="24"/>
        </w:rPr>
        <w:t xml:space="preserve"> riziko prípadných prestojov vo výrobe.</w:t>
      </w:r>
      <w:r w:rsidR="004D3D6F">
        <w:rPr>
          <w:rFonts w:ascii="Times New Roman" w:eastAsia="Calibri" w:hAnsi="Times New Roman" w:cs="Times New Roman"/>
          <w:sz w:val="24"/>
          <w:szCs w:val="24"/>
        </w:rPr>
        <w:t xml:space="preserve"> </w:t>
      </w:r>
    </w:p>
    <w:p w:rsidR="00C90781" w:rsidRDefault="00C9078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6E2DD4" w:rsidRPr="006E2DD4">
        <w:rPr>
          <w:rFonts w:ascii="Times New Roman" w:eastAsia="Calibri" w:hAnsi="Times New Roman" w:cs="Times New Roman"/>
          <w:sz w:val="24"/>
          <w:szCs w:val="24"/>
        </w:rPr>
        <w:t>ozšírenie výn</w:t>
      </w:r>
      <w:r w:rsidR="004D3D6F">
        <w:rPr>
          <w:rFonts w:ascii="Times New Roman" w:eastAsia="Calibri" w:hAnsi="Times New Roman" w:cs="Times New Roman"/>
          <w:sz w:val="24"/>
          <w:szCs w:val="24"/>
        </w:rPr>
        <w:t xml:space="preserve">imiek aj pre vozidlá autoškôl </w:t>
      </w:r>
      <w:r w:rsidR="006E2DD4" w:rsidRPr="006E2DD4">
        <w:rPr>
          <w:rFonts w:ascii="Times New Roman" w:eastAsia="Calibri" w:hAnsi="Times New Roman" w:cs="Times New Roman"/>
          <w:sz w:val="24"/>
          <w:szCs w:val="24"/>
        </w:rPr>
        <w:t>zvýši produktivitu týchto inštitúcií</w:t>
      </w:r>
      <w:r>
        <w:rPr>
          <w:rFonts w:ascii="Times New Roman" w:eastAsia="Calibri" w:hAnsi="Times New Roman" w:cs="Times New Roman"/>
          <w:sz w:val="24"/>
          <w:szCs w:val="24"/>
        </w:rPr>
        <w:t xml:space="preserve"> a</w:t>
      </w:r>
      <w:r w:rsidR="006E2DD4" w:rsidRPr="006E2DD4">
        <w:rPr>
          <w:rFonts w:ascii="Times New Roman" w:eastAsia="Calibri" w:hAnsi="Times New Roman" w:cs="Times New Roman"/>
          <w:sz w:val="24"/>
          <w:szCs w:val="24"/>
        </w:rPr>
        <w:t xml:space="preserve"> </w:t>
      </w:r>
      <w:r>
        <w:rPr>
          <w:rFonts w:ascii="Times New Roman" w:eastAsia="Calibri" w:hAnsi="Times New Roman" w:cs="Times New Roman"/>
          <w:sz w:val="24"/>
          <w:szCs w:val="24"/>
        </w:rPr>
        <w:t>u</w:t>
      </w:r>
      <w:r w:rsidR="006E2DD4" w:rsidRPr="006E2DD4">
        <w:rPr>
          <w:rFonts w:ascii="Times New Roman" w:eastAsia="Calibri" w:hAnsi="Times New Roman" w:cs="Times New Roman"/>
          <w:sz w:val="24"/>
          <w:szCs w:val="24"/>
        </w:rPr>
        <w:t xml:space="preserve">možní im to flexibilnejšie plánovať a vykonávať kurzy, čím sa optimalizuje využitie ich kapacít a urýchli </w:t>
      </w:r>
      <w:r>
        <w:rPr>
          <w:rFonts w:ascii="Times New Roman" w:eastAsia="Calibri" w:hAnsi="Times New Roman" w:cs="Times New Roman"/>
          <w:sz w:val="24"/>
          <w:szCs w:val="24"/>
        </w:rPr>
        <w:t xml:space="preserve">sa </w:t>
      </w:r>
      <w:r w:rsidR="006E2DD4" w:rsidRPr="006E2DD4">
        <w:rPr>
          <w:rFonts w:ascii="Times New Roman" w:eastAsia="Calibri" w:hAnsi="Times New Roman" w:cs="Times New Roman"/>
          <w:sz w:val="24"/>
          <w:szCs w:val="24"/>
        </w:rPr>
        <w:t xml:space="preserve">vstup kvalifikovaných vodičov na trh práce. </w:t>
      </w:r>
    </w:p>
    <w:p w:rsidR="00CB3D86" w:rsidRDefault="00C9078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w:t>
      </w:r>
      <w:r w:rsidR="006E2DD4" w:rsidRPr="006E2DD4">
        <w:rPr>
          <w:rFonts w:ascii="Times New Roman" w:eastAsia="Calibri" w:hAnsi="Times New Roman" w:cs="Times New Roman"/>
          <w:sz w:val="24"/>
          <w:szCs w:val="24"/>
        </w:rPr>
        <w:t>avrhované úpravy podporujú plynulejší tok tovarov, minimalizujú prevádzkovú</w:t>
      </w:r>
      <w:r>
        <w:rPr>
          <w:rFonts w:ascii="Times New Roman" w:eastAsia="Calibri" w:hAnsi="Times New Roman" w:cs="Times New Roman"/>
          <w:sz w:val="24"/>
          <w:szCs w:val="24"/>
        </w:rPr>
        <w:t xml:space="preserve"> </w:t>
      </w:r>
      <w:r w:rsidR="006E2DD4" w:rsidRPr="006E2DD4">
        <w:rPr>
          <w:rFonts w:ascii="Times New Roman" w:eastAsia="Calibri" w:hAnsi="Times New Roman" w:cs="Times New Roman"/>
          <w:sz w:val="24"/>
          <w:szCs w:val="24"/>
        </w:rPr>
        <w:t>neefektívnosť a strategicky posilňujú konkurenčnú pozíciu slovenských prepravcov a výrobcov v globálnom prostredí. Pre malé a stredné podniky</w:t>
      </w:r>
      <w:r>
        <w:rPr>
          <w:rFonts w:ascii="Times New Roman" w:eastAsia="Calibri" w:hAnsi="Times New Roman" w:cs="Times New Roman"/>
          <w:sz w:val="24"/>
          <w:szCs w:val="24"/>
        </w:rPr>
        <w:t xml:space="preserve"> znamenajú tieto zmeny </w:t>
      </w:r>
      <w:r w:rsidR="006E2DD4" w:rsidRPr="006E2DD4">
        <w:rPr>
          <w:rFonts w:ascii="Times New Roman" w:eastAsia="Calibri" w:hAnsi="Times New Roman" w:cs="Times New Roman"/>
          <w:sz w:val="24"/>
          <w:szCs w:val="24"/>
        </w:rPr>
        <w:t>podstatné zníženie administratívneho bremena a väčšiu flexibilitu, čo je pre ich udržateľnosť a rast kľúčové.</w:t>
      </w:r>
    </w:p>
    <w:p w:rsidR="00CB3D86" w:rsidRPr="00F01A47" w:rsidRDefault="00CB3D86" w:rsidP="00054C41">
      <w:pPr>
        <w:spacing w:after="0"/>
        <w:jc w:val="both"/>
        <w:rPr>
          <w:rFonts w:ascii="Times New Roman" w:eastAsia="Calibri" w:hAnsi="Times New Roman" w:cs="Times New Roman"/>
          <w:sz w:val="24"/>
          <w:szCs w:val="24"/>
        </w:rPr>
      </w:pPr>
    </w:p>
    <w:p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rsidR="00054C41" w:rsidRPr="00D8247C" w:rsidRDefault="00BE2EA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324E6E">
                <w:rPr>
                  <w:rFonts w:ascii="Segoe UI Symbol" w:eastAsia="Calibri" w:hAnsi="Segoe UI Symbol" w:cs="Segoe UI Symbol"/>
                  <w:i/>
                  <w:sz w:val="24"/>
                  <w:szCs w:val="24"/>
                </w:rPr>
                <w:t xml:space="preserve">x </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howingPlcHdr/>
            </w:sdtPr>
            <w:sdtEndPr/>
            <w:sdtContent>
              <w:r w:rsidR="00F01A47">
                <w:rPr>
                  <w:rFonts w:ascii="Times New Roman" w:eastAsia="Calibri" w:hAnsi="Times New Roman" w:cs="Times New Roman"/>
                  <w:i/>
                  <w:sz w:val="24"/>
                  <w:szCs w:val="24"/>
                </w:rPr>
                <w:t xml:space="preserve">     </w:t>
              </w:r>
            </w:sdtContent>
          </w:sdt>
        </w:sdtContent>
      </w:sdt>
      <w:r w:rsidR="00324E6E" w:rsidRPr="00324E6E">
        <w:rPr>
          <w:rFonts w:ascii="Times New Roman" w:eastAsia="Calibri" w:hAnsi="Times New Roman" w:cs="Times New Roman"/>
          <w:i/>
          <w:sz w:val="24"/>
          <w:szCs w:val="24"/>
        </w:rPr>
        <w:t xml:space="preserve"> </w:t>
      </w:r>
      <w:sdt>
        <w:sdtPr>
          <w:rPr>
            <w:rFonts w:ascii="Times New Roman" w:eastAsia="Calibri" w:hAnsi="Times New Roman" w:cs="Times New Roman"/>
            <w:i/>
            <w:sz w:val="24"/>
            <w:szCs w:val="24"/>
          </w:rPr>
          <w:id w:val="574784798"/>
        </w:sdtPr>
        <w:sdtEndPr/>
        <w:sdtContent>
          <w:sdt>
            <w:sdtPr>
              <w:rPr>
                <w:rFonts w:ascii="Times New Roman" w:eastAsia="Calibri" w:hAnsi="Times New Roman" w:cs="Times New Roman"/>
                <w:i/>
                <w:sz w:val="24"/>
                <w:szCs w:val="24"/>
              </w:rPr>
              <w:id w:val="839587702"/>
            </w:sdtPr>
            <w:sdtEndPr/>
            <w:sdtContent>
              <w:r w:rsidR="00324E6E"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rsidR="00324E6E" w:rsidRDefault="00324E6E" w:rsidP="00054C41">
      <w:pPr>
        <w:spacing w:after="0"/>
        <w:jc w:val="both"/>
        <w:rPr>
          <w:rFonts w:ascii="Times New Roman" w:eastAsia="Calibri" w:hAnsi="Times New Roman" w:cs="Times New Roman"/>
          <w:b/>
          <w:i/>
          <w:sz w:val="24"/>
          <w:szCs w:val="24"/>
        </w:rPr>
      </w:pPr>
    </w:p>
    <w:p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lastRenderedPageBreak/>
        <w:t>Produktivita:</w:t>
      </w:r>
    </w:p>
    <w:p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rsidR="00324E6E" w:rsidRDefault="00324E6E">
      <w:pPr>
        <w:spacing w:after="0"/>
        <w:jc w:val="both"/>
        <w:rPr>
          <w:rFonts w:ascii="Times New Roman" w:eastAsia="Calibri" w:hAnsi="Times New Roman" w:cs="Times New Roman"/>
          <w:sz w:val="24"/>
          <w:szCs w:val="24"/>
        </w:rPr>
      </w:pPr>
      <w:r w:rsidRPr="00F01A47">
        <w:rPr>
          <w:rFonts w:ascii="Times New Roman" w:eastAsia="Calibri" w:hAnsi="Times New Roman" w:cs="Times New Roman"/>
          <w:sz w:val="24"/>
          <w:szCs w:val="24"/>
        </w:rPr>
        <w:t xml:space="preserve">Možnosť dojazdu nákladných vozidiel v dostatočnom časovom rámci a eliminácia nútených prestojov kvôli zákazu jázd vedie k efektívnejšiemu využívaniu dopravných prostriedkov </w:t>
      </w:r>
      <w:r w:rsidR="001E5D06">
        <w:rPr>
          <w:rFonts w:ascii="Times New Roman" w:eastAsia="Calibri" w:hAnsi="Times New Roman" w:cs="Times New Roman"/>
          <w:sz w:val="24"/>
          <w:szCs w:val="24"/>
        </w:rPr>
        <w:br/>
      </w:r>
      <w:r w:rsidRPr="00F01A47">
        <w:rPr>
          <w:rFonts w:ascii="Times New Roman" w:eastAsia="Calibri" w:hAnsi="Times New Roman" w:cs="Times New Roman"/>
          <w:sz w:val="24"/>
          <w:szCs w:val="24"/>
        </w:rPr>
        <w:t>a vodičov. Vozidlá budú môcť byť v prevádzke dlhšie a flexibilnejšie, čím sa zvýši ich využitie a prepravná kapacita.</w:t>
      </w:r>
      <w:r>
        <w:rPr>
          <w:rFonts w:ascii="Times New Roman" w:eastAsia="Calibri" w:hAnsi="Times New Roman" w:cs="Times New Roman"/>
          <w:sz w:val="24"/>
          <w:szCs w:val="24"/>
        </w:rPr>
        <w:t xml:space="preserve"> </w:t>
      </w:r>
      <w:r w:rsidR="001E5D06">
        <w:rPr>
          <w:rFonts w:ascii="Times New Roman" w:eastAsia="Calibri" w:hAnsi="Times New Roman" w:cs="Times New Roman"/>
          <w:sz w:val="24"/>
          <w:szCs w:val="24"/>
        </w:rPr>
        <w:t>O</w:t>
      </w:r>
      <w:r w:rsidRPr="00F01A47">
        <w:rPr>
          <w:rFonts w:ascii="Times New Roman" w:eastAsia="Calibri" w:hAnsi="Times New Roman" w:cs="Times New Roman"/>
          <w:sz w:val="24"/>
          <w:szCs w:val="24"/>
        </w:rPr>
        <w:t xml:space="preserve">dstránenie nutnosti vybavovať výnimky </w:t>
      </w:r>
      <w:r w:rsidR="001E5D06">
        <w:rPr>
          <w:rFonts w:ascii="Times New Roman" w:eastAsia="Calibri" w:hAnsi="Times New Roman" w:cs="Times New Roman"/>
          <w:sz w:val="24"/>
          <w:szCs w:val="24"/>
        </w:rPr>
        <w:t xml:space="preserve">umožní </w:t>
      </w:r>
      <w:r w:rsidRPr="00F01A47">
        <w:rPr>
          <w:rFonts w:ascii="Times New Roman" w:eastAsia="Calibri" w:hAnsi="Times New Roman" w:cs="Times New Roman"/>
          <w:sz w:val="24"/>
          <w:szCs w:val="24"/>
        </w:rPr>
        <w:t>plynulejší tok tovarov</w:t>
      </w:r>
      <w:r w:rsidR="001E5D06">
        <w:rPr>
          <w:rFonts w:ascii="Times New Roman" w:eastAsia="Calibri" w:hAnsi="Times New Roman" w:cs="Times New Roman"/>
          <w:sz w:val="24"/>
          <w:szCs w:val="24"/>
        </w:rPr>
        <w:t xml:space="preserve">, lepšie plánovanie a </w:t>
      </w:r>
      <w:r w:rsidRPr="00F01A47">
        <w:rPr>
          <w:rFonts w:ascii="Times New Roman" w:eastAsia="Calibri" w:hAnsi="Times New Roman" w:cs="Times New Roman"/>
          <w:sz w:val="24"/>
          <w:szCs w:val="24"/>
        </w:rPr>
        <w:t>minimalizuj</w:t>
      </w:r>
      <w:r w:rsidR="001E5D06">
        <w:rPr>
          <w:rFonts w:ascii="Times New Roman" w:eastAsia="Calibri" w:hAnsi="Times New Roman" w:cs="Times New Roman"/>
          <w:sz w:val="24"/>
          <w:szCs w:val="24"/>
        </w:rPr>
        <w:t>e</w:t>
      </w:r>
      <w:r w:rsidRPr="00F01A47">
        <w:rPr>
          <w:rFonts w:ascii="Times New Roman" w:eastAsia="Calibri" w:hAnsi="Times New Roman" w:cs="Times New Roman"/>
          <w:sz w:val="24"/>
          <w:szCs w:val="24"/>
        </w:rPr>
        <w:t xml:space="preserve"> časové straty spojené s</w:t>
      </w:r>
      <w:r w:rsidR="001E5D06">
        <w:rPr>
          <w:rFonts w:ascii="Times New Roman" w:eastAsia="Calibri" w:hAnsi="Times New Roman" w:cs="Times New Roman"/>
          <w:sz w:val="24"/>
          <w:szCs w:val="24"/>
        </w:rPr>
        <w:t> </w:t>
      </w:r>
      <w:r w:rsidRPr="00F01A47">
        <w:rPr>
          <w:rFonts w:ascii="Times New Roman" w:eastAsia="Calibri" w:hAnsi="Times New Roman" w:cs="Times New Roman"/>
          <w:sz w:val="24"/>
          <w:szCs w:val="24"/>
        </w:rPr>
        <w:t>administratí</w:t>
      </w:r>
      <w:r w:rsidR="001E5D06">
        <w:rPr>
          <w:rFonts w:ascii="Times New Roman" w:eastAsia="Calibri" w:hAnsi="Times New Roman" w:cs="Times New Roman"/>
          <w:sz w:val="24"/>
          <w:szCs w:val="24"/>
        </w:rPr>
        <w:t>vnou záťažou</w:t>
      </w:r>
      <w:r w:rsidRPr="00F01A47">
        <w:rPr>
          <w:rFonts w:ascii="Times New Roman" w:eastAsia="Calibri" w:hAnsi="Times New Roman" w:cs="Times New Roman"/>
          <w:sz w:val="24"/>
          <w:szCs w:val="24"/>
        </w:rPr>
        <w:t xml:space="preserve"> a čakacími dobami.</w:t>
      </w:r>
    </w:p>
    <w:p w:rsidR="00324E6E" w:rsidRPr="00F01A47" w:rsidRDefault="00324E6E">
      <w:pPr>
        <w:spacing w:after="0"/>
        <w:jc w:val="both"/>
        <w:rPr>
          <w:rFonts w:ascii="Times New Roman" w:eastAsia="Calibri" w:hAnsi="Times New Roman" w:cs="Times New Roman"/>
          <w:sz w:val="24"/>
          <w:szCs w:val="24"/>
        </w:rPr>
      </w:pPr>
    </w:p>
    <w:p w:rsidR="00054C41" w:rsidRPr="00D8247C" w:rsidRDefault="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rsidR="00060935" w:rsidRPr="00D8247C" w:rsidRDefault="00BE2EA5" w:rsidP="00060935">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585806343"/>
        </w:sdtPr>
        <w:sdtEndPr/>
        <w:sdtContent>
          <w:sdt>
            <w:sdtPr>
              <w:rPr>
                <w:rFonts w:ascii="Times New Roman" w:eastAsia="Calibri" w:hAnsi="Times New Roman" w:cs="Times New Roman"/>
                <w:i/>
                <w:sz w:val="24"/>
                <w:szCs w:val="24"/>
              </w:rPr>
              <w:id w:val="238758502"/>
            </w:sdtPr>
            <w:sdtEndPr/>
            <w:sdtContent>
              <w:r w:rsidR="00060935">
                <w:rPr>
                  <w:rFonts w:ascii="Segoe UI Symbol" w:eastAsia="Calibri" w:hAnsi="Segoe UI Symbol" w:cs="Segoe UI Symbol"/>
                  <w:i/>
                  <w:sz w:val="24"/>
                  <w:szCs w:val="24"/>
                </w:rPr>
                <w:t xml:space="preserve">x </w:t>
              </w:r>
            </w:sdtContent>
          </w:sdt>
        </w:sdtContent>
      </w:sdt>
      <w:r w:rsidR="00060935" w:rsidRPr="00D8247C">
        <w:rPr>
          <w:rFonts w:ascii="Times New Roman" w:eastAsia="Calibri" w:hAnsi="Times New Roman" w:cs="Times New Roman"/>
          <w:i/>
          <w:sz w:val="24"/>
          <w:szCs w:val="24"/>
        </w:rPr>
        <w:t xml:space="preserve"> zvyšuje  </w:t>
      </w:r>
      <w:r w:rsidR="00060935"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533649497"/>
        </w:sdtPr>
        <w:sdtEndPr/>
        <w:sdtContent>
          <w:sdt>
            <w:sdtPr>
              <w:rPr>
                <w:rFonts w:ascii="Times New Roman" w:eastAsia="Calibri" w:hAnsi="Times New Roman" w:cs="Times New Roman"/>
                <w:i/>
                <w:sz w:val="24"/>
                <w:szCs w:val="24"/>
              </w:rPr>
              <w:id w:val="-1849550117"/>
            </w:sdtPr>
            <w:sdtEndPr/>
            <w:sdtContent/>
          </w:sdt>
        </w:sdtContent>
      </w:sdt>
      <w:r w:rsidR="00060935" w:rsidRPr="00324E6E">
        <w:rPr>
          <w:rFonts w:ascii="Times New Roman" w:eastAsia="Calibri" w:hAnsi="Times New Roman" w:cs="Times New Roman"/>
          <w:i/>
          <w:sz w:val="24"/>
          <w:szCs w:val="24"/>
        </w:rPr>
        <w:t xml:space="preserve"> </w:t>
      </w:r>
      <w:sdt>
        <w:sdtPr>
          <w:rPr>
            <w:rFonts w:ascii="Times New Roman" w:eastAsia="Calibri" w:hAnsi="Times New Roman" w:cs="Times New Roman"/>
            <w:i/>
            <w:sz w:val="24"/>
            <w:szCs w:val="24"/>
          </w:rPr>
          <w:id w:val="-1722976567"/>
        </w:sdtPr>
        <w:sdtEndPr/>
        <w:sdtContent>
          <w:sdt>
            <w:sdtPr>
              <w:rPr>
                <w:rFonts w:ascii="Times New Roman" w:eastAsia="Calibri" w:hAnsi="Times New Roman" w:cs="Times New Roman"/>
                <w:i/>
                <w:sz w:val="24"/>
                <w:szCs w:val="24"/>
              </w:rPr>
              <w:id w:val="1274052664"/>
            </w:sdtPr>
            <w:sdtEndPr/>
            <w:sdtContent>
              <w:r w:rsidR="00060935" w:rsidRPr="00D8247C">
                <w:rPr>
                  <w:rFonts w:ascii="Segoe UI Symbol" w:eastAsia="Calibri" w:hAnsi="Segoe UI Symbol" w:cs="Segoe UI Symbol"/>
                  <w:i/>
                  <w:sz w:val="24"/>
                  <w:szCs w:val="24"/>
                </w:rPr>
                <w:t>☐</w:t>
              </w:r>
            </w:sdtContent>
          </w:sdt>
        </w:sdtContent>
      </w:sdt>
      <w:r w:rsidR="00060935" w:rsidRPr="00D8247C">
        <w:rPr>
          <w:rFonts w:ascii="Times New Roman" w:eastAsia="Calibri" w:hAnsi="Times New Roman" w:cs="Times New Roman"/>
          <w:i/>
          <w:sz w:val="24"/>
          <w:szCs w:val="24"/>
        </w:rPr>
        <w:t xml:space="preserve"> nemení</w:t>
      </w:r>
      <w:r w:rsidR="00060935"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139229020"/>
        </w:sdtPr>
        <w:sdtEndPr/>
        <w:sdtContent>
          <w:sdt>
            <w:sdtPr>
              <w:rPr>
                <w:rFonts w:ascii="Times New Roman" w:eastAsia="Calibri" w:hAnsi="Times New Roman" w:cs="Times New Roman"/>
                <w:i/>
                <w:sz w:val="24"/>
                <w:szCs w:val="24"/>
              </w:rPr>
              <w:id w:val="-1197624909"/>
            </w:sdtPr>
            <w:sdtEndPr/>
            <w:sdtContent>
              <w:r w:rsidR="00060935" w:rsidRPr="00D8247C">
                <w:rPr>
                  <w:rFonts w:ascii="Segoe UI Symbol" w:eastAsia="Calibri" w:hAnsi="Segoe UI Symbol" w:cs="Segoe UI Symbol"/>
                  <w:i/>
                  <w:sz w:val="24"/>
                  <w:szCs w:val="24"/>
                </w:rPr>
                <w:t>☐</w:t>
              </w:r>
            </w:sdtContent>
          </w:sdt>
        </w:sdtContent>
      </w:sdt>
      <w:r w:rsidR="00060935" w:rsidRPr="00D8247C">
        <w:rPr>
          <w:rFonts w:ascii="Times New Roman" w:eastAsia="Calibri" w:hAnsi="Times New Roman" w:cs="Times New Roman"/>
          <w:i/>
          <w:sz w:val="24"/>
          <w:szCs w:val="24"/>
        </w:rPr>
        <w:t xml:space="preserve"> znižuje</w:t>
      </w:r>
    </w:p>
    <w:p w:rsidR="00054C41" w:rsidRPr="00D8247C" w:rsidRDefault="00054C41" w:rsidP="00054C41">
      <w:pPr>
        <w:spacing w:after="0"/>
        <w:jc w:val="both"/>
        <w:rPr>
          <w:rFonts w:ascii="Times New Roman" w:eastAsia="Calibri" w:hAnsi="Times New Roman" w:cs="Times New Roman"/>
          <w:i/>
          <w:sz w:val="24"/>
          <w:szCs w:val="24"/>
        </w:rPr>
      </w:pPr>
    </w:p>
    <w:p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rsidR="00B21D1F" w:rsidRDefault="00B21D1F" w:rsidP="00054C41">
      <w:pPr>
        <w:spacing w:after="0" w:line="240" w:lineRule="auto"/>
        <w:jc w:val="center"/>
        <w:rPr>
          <w:rFonts w:ascii="Times New Roman" w:eastAsia="Times New Roman" w:hAnsi="Times New Roman" w:cs="Times New Roman"/>
          <w:b/>
          <w:sz w:val="28"/>
          <w:szCs w:val="28"/>
          <w:lang w:eastAsia="sk-SK"/>
        </w:rPr>
      </w:pPr>
    </w:p>
    <w:p w:rsidR="00E17D26" w:rsidRDefault="00666C27" w:rsidP="00DC101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Medzi iné vplyvy možno zaradiť zmenu regulácie spočívajúcej v rozšíreni</w:t>
      </w:r>
      <w:r w:rsidR="001E5D06">
        <w:rPr>
          <w:rFonts w:ascii="Times New Roman" w:eastAsia="Times New Roman" w:hAnsi="Times New Roman" w:cs="Times New Roman"/>
          <w:sz w:val="24"/>
          <w:szCs w:val="24"/>
          <w:lang w:eastAsia="sk-SK"/>
        </w:rPr>
        <w:t>í</w:t>
      </w:r>
      <w:r>
        <w:rPr>
          <w:rFonts w:ascii="Times New Roman" w:eastAsia="Times New Roman" w:hAnsi="Times New Roman" w:cs="Times New Roman"/>
          <w:sz w:val="24"/>
          <w:szCs w:val="24"/>
          <w:lang w:eastAsia="sk-SK"/>
        </w:rPr>
        <w:t xml:space="preserve"> možnosti zadržania osvedčenia o evidencii vozidla a tabuliek s evidenčným číslom. Možnosť zadržania osvedčenia o evidencii vozidla a tabuliek s evidenčným číslom prichádza do úvahy iba po udelení pokuty, ktor</w:t>
      </w:r>
      <w:r w:rsidR="001E5D06">
        <w:rPr>
          <w:rFonts w:ascii="Times New Roman" w:eastAsia="Times New Roman" w:hAnsi="Times New Roman" w:cs="Times New Roman"/>
          <w:sz w:val="24"/>
          <w:szCs w:val="24"/>
          <w:lang w:eastAsia="sk-SK"/>
        </w:rPr>
        <w:t>á</w:t>
      </w:r>
      <w:r>
        <w:rPr>
          <w:rFonts w:ascii="Times New Roman" w:eastAsia="Times New Roman" w:hAnsi="Times New Roman" w:cs="Times New Roman"/>
          <w:sz w:val="24"/>
          <w:szCs w:val="24"/>
          <w:lang w:eastAsia="sk-SK"/>
        </w:rPr>
        <w:t xml:space="preserve"> nebude zaplatená na mieste, pričom pokuta môže byť uložená iba v prípade porušenia dopravných predpisov. </w:t>
      </w:r>
      <w:r w:rsidRPr="00666C27">
        <w:rPr>
          <w:rFonts w:ascii="Times New Roman" w:eastAsia="Times New Roman" w:hAnsi="Times New Roman" w:cs="Times New Roman"/>
          <w:sz w:val="24"/>
          <w:szCs w:val="24"/>
          <w:lang w:eastAsia="sk-SK"/>
        </w:rPr>
        <w:t>Dodržiavanie predpisov je nevyhnutnou súčasťou podnikania</w:t>
      </w:r>
      <w:r w:rsidR="001E5D06">
        <w:rPr>
          <w:rFonts w:ascii="Times New Roman" w:eastAsia="Times New Roman" w:hAnsi="Times New Roman" w:cs="Times New Roman"/>
          <w:sz w:val="24"/>
          <w:szCs w:val="24"/>
          <w:lang w:eastAsia="sk-SK"/>
        </w:rPr>
        <w:t xml:space="preserve"> a napriek tomu, že môže</w:t>
      </w:r>
      <w:r w:rsidRPr="00666C27">
        <w:rPr>
          <w:rFonts w:ascii="Times New Roman" w:eastAsia="Times New Roman" w:hAnsi="Times New Roman" w:cs="Times New Roman"/>
          <w:sz w:val="24"/>
          <w:szCs w:val="24"/>
          <w:lang w:eastAsia="sk-SK"/>
        </w:rPr>
        <w:t xml:space="preserve"> prinášať</w:t>
      </w:r>
      <w:r w:rsidR="001A1A63">
        <w:rPr>
          <w:rFonts w:ascii="Times New Roman" w:eastAsia="Times New Roman" w:hAnsi="Times New Roman" w:cs="Times New Roman"/>
          <w:sz w:val="24"/>
          <w:szCs w:val="24"/>
          <w:lang w:eastAsia="sk-SK"/>
        </w:rPr>
        <w:t xml:space="preserve"> určité</w:t>
      </w:r>
      <w:r w:rsidRPr="00666C27">
        <w:rPr>
          <w:rFonts w:ascii="Times New Roman" w:eastAsia="Times New Roman" w:hAnsi="Times New Roman" w:cs="Times New Roman"/>
          <w:sz w:val="24"/>
          <w:szCs w:val="24"/>
          <w:lang w:eastAsia="sk-SK"/>
        </w:rPr>
        <w:t xml:space="preserve"> obmedzenia prispieva k budovaniu dôvery, znižovaniu rizika a zlepšovaniu pracovného prostredia</w:t>
      </w:r>
      <w:r w:rsidR="001A1A63">
        <w:rPr>
          <w:rFonts w:ascii="Times New Roman" w:eastAsia="Times New Roman" w:hAnsi="Times New Roman" w:cs="Times New Roman"/>
          <w:sz w:val="24"/>
          <w:szCs w:val="24"/>
          <w:lang w:eastAsia="sk-SK"/>
        </w:rPr>
        <w:t xml:space="preserve"> a je</w:t>
      </w:r>
      <w:r w:rsidRPr="00666C27">
        <w:rPr>
          <w:rFonts w:ascii="Times New Roman" w:eastAsia="Times New Roman" w:hAnsi="Times New Roman" w:cs="Times New Roman"/>
          <w:sz w:val="24"/>
          <w:szCs w:val="24"/>
          <w:lang w:eastAsia="sk-SK"/>
        </w:rPr>
        <w:t xml:space="preserve"> dôležité, aby podniky vnímali dodržiavanie predpisov ako investíciu do svojej budúcnosti.</w:t>
      </w:r>
      <w:r>
        <w:rPr>
          <w:rFonts w:ascii="Times New Roman" w:eastAsia="Times New Roman" w:hAnsi="Times New Roman" w:cs="Times New Roman"/>
          <w:sz w:val="24"/>
          <w:szCs w:val="24"/>
          <w:lang w:eastAsia="sk-SK"/>
        </w:rPr>
        <w:t xml:space="preserve"> Z uvedeného dôvodu nie je možné určiť, či táto regulácia bude mať jednoznačne pozitívny alebo negatívny vplyv na podnikateľské prostredie.</w:t>
      </w:r>
    </w:p>
    <w:p w:rsidR="005145A9" w:rsidRDefault="005145A9" w:rsidP="00DC1012">
      <w:pPr>
        <w:spacing w:after="0" w:line="240" w:lineRule="auto"/>
        <w:jc w:val="both"/>
        <w:rPr>
          <w:rFonts w:ascii="Times New Roman" w:eastAsia="Times New Roman" w:hAnsi="Times New Roman" w:cs="Times New Roman"/>
          <w:sz w:val="24"/>
          <w:szCs w:val="24"/>
          <w:lang w:eastAsia="sk-SK"/>
        </w:rPr>
      </w:pPr>
    </w:p>
    <w:p w:rsidR="005145A9" w:rsidRPr="00DC1012" w:rsidRDefault="005145A9" w:rsidP="005145A9">
      <w:pPr>
        <w:spacing w:after="0" w:line="240" w:lineRule="auto"/>
        <w:jc w:val="both"/>
        <w:rPr>
          <w:rFonts w:ascii="Times New Roman" w:eastAsia="Times New Roman" w:hAnsi="Times New Roman" w:cs="Times New Roman"/>
          <w:sz w:val="24"/>
          <w:szCs w:val="24"/>
          <w:lang w:eastAsia="sk-SK"/>
        </w:rPr>
      </w:pPr>
      <w:r w:rsidRPr="005145A9">
        <w:rPr>
          <w:rFonts w:ascii="Times New Roman" w:eastAsia="Times New Roman" w:hAnsi="Times New Roman" w:cs="Times New Roman"/>
          <w:sz w:val="24"/>
          <w:szCs w:val="24"/>
          <w:lang w:eastAsia="sk-SK"/>
        </w:rPr>
        <w:t xml:space="preserve">V rámci navrhovanej novely zákona sa </w:t>
      </w:r>
      <w:r w:rsidR="001A1A63">
        <w:rPr>
          <w:rFonts w:ascii="Times New Roman" w:eastAsia="Times New Roman" w:hAnsi="Times New Roman" w:cs="Times New Roman"/>
          <w:sz w:val="24"/>
          <w:szCs w:val="24"/>
          <w:lang w:eastAsia="sk-SK"/>
        </w:rPr>
        <w:t xml:space="preserve">prevádzkovateľom vozidiel s právom prednosti v jazde stanovuje </w:t>
      </w:r>
      <w:r w:rsidR="001A1A63" w:rsidRPr="005145A9">
        <w:rPr>
          <w:rFonts w:ascii="Times New Roman" w:eastAsia="Times New Roman" w:hAnsi="Times New Roman" w:cs="Times New Roman"/>
          <w:sz w:val="24"/>
          <w:szCs w:val="24"/>
          <w:lang w:eastAsia="sk-SK"/>
        </w:rPr>
        <w:t>povinnosť urč</w:t>
      </w:r>
      <w:r w:rsidR="001A1A63">
        <w:rPr>
          <w:rFonts w:ascii="Times New Roman" w:eastAsia="Times New Roman" w:hAnsi="Times New Roman" w:cs="Times New Roman"/>
          <w:sz w:val="24"/>
          <w:szCs w:val="24"/>
          <w:lang w:eastAsia="sk-SK"/>
        </w:rPr>
        <w:t>iť podmienky používania týchto</w:t>
      </w:r>
      <w:r w:rsidR="001A1A63" w:rsidRPr="005145A9">
        <w:rPr>
          <w:rFonts w:ascii="Times New Roman" w:eastAsia="Times New Roman" w:hAnsi="Times New Roman" w:cs="Times New Roman"/>
          <w:sz w:val="24"/>
          <w:szCs w:val="24"/>
          <w:lang w:eastAsia="sk-SK"/>
        </w:rPr>
        <w:t xml:space="preserve"> vozidiel,</w:t>
      </w:r>
      <w:r w:rsidR="001A1A63" w:rsidRPr="001A1A63">
        <w:rPr>
          <w:rFonts w:ascii="Times New Roman" w:eastAsia="Times New Roman" w:hAnsi="Times New Roman" w:cs="Times New Roman"/>
          <w:sz w:val="24"/>
          <w:szCs w:val="24"/>
          <w:lang w:eastAsia="sk-SK"/>
        </w:rPr>
        <w:t xml:space="preserve"> </w:t>
      </w:r>
      <w:r w:rsidR="001A1A63" w:rsidRPr="005145A9">
        <w:rPr>
          <w:rFonts w:ascii="Times New Roman" w:eastAsia="Times New Roman" w:hAnsi="Times New Roman" w:cs="Times New Roman"/>
          <w:sz w:val="24"/>
          <w:szCs w:val="24"/>
          <w:lang w:eastAsia="sk-SK"/>
        </w:rPr>
        <w:t>viesť záznamy o každom reálnom použití</w:t>
      </w:r>
      <w:r w:rsidR="001A1A63">
        <w:rPr>
          <w:rFonts w:ascii="Times New Roman" w:eastAsia="Times New Roman" w:hAnsi="Times New Roman" w:cs="Times New Roman"/>
          <w:sz w:val="24"/>
          <w:szCs w:val="24"/>
          <w:lang w:eastAsia="sk-SK"/>
        </w:rPr>
        <w:t xml:space="preserve"> a upravuje sa spôsob evidovania týchto vozidiel. </w:t>
      </w:r>
      <w:r w:rsidRPr="005145A9">
        <w:rPr>
          <w:rFonts w:ascii="Times New Roman" w:eastAsia="Times New Roman" w:hAnsi="Times New Roman" w:cs="Times New Roman"/>
          <w:sz w:val="24"/>
          <w:szCs w:val="24"/>
          <w:lang w:eastAsia="sk-SK"/>
        </w:rPr>
        <w:t xml:space="preserve">V prípade porušenia </w:t>
      </w:r>
      <w:r w:rsidR="001A1A63">
        <w:rPr>
          <w:rFonts w:ascii="Times New Roman" w:eastAsia="Times New Roman" w:hAnsi="Times New Roman" w:cs="Times New Roman"/>
          <w:sz w:val="24"/>
          <w:szCs w:val="24"/>
          <w:lang w:eastAsia="sk-SK"/>
        </w:rPr>
        <w:t>týchto</w:t>
      </w:r>
      <w:r w:rsidRPr="005145A9">
        <w:rPr>
          <w:rFonts w:ascii="Times New Roman" w:eastAsia="Times New Roman" w:hAnsi="Times New Roman" w:cs="Times New Roman"/>
          <w:sz w:val="24"/>
          <w:szCs w:val="24"/>
          <w:lang w:eastAsia="sk-SK"/>
        </w:rPr>
        <w:t xml:space="preserve"> povinnost</w:t>
      </w:r>
      <w:r w:rsidR="001A1A63">
        <w:rPr>
          <w:rFonts w:ascii="Times New Roman" w:eastAsia="Times New Roman" w:hAnsi="Times New Roman" w:cs="Times New Roman"/>
          <w:sz w:val="24"/>
          <w:szCs w:val="24"/>
          <w:lang w:eastAsia="sk-SK"/>
        </w:rPr>
        <w:t>í</w:t>
      </w:r>
      <w:r w:rsidRPr="005145A9">
        <w:rPr>
          <w:rFonts w:ascii="Times New Roman" w:eastAsia="Times New Roman" w:hAnsi="Times New Roman" w:cs="Times New Roman"/>
          <w:sz w:val="24"/>
          <w:szCs w:val="24"/>
          <w:lang w:eastAsia="sk-SK"/>
        </w:rPr>
        <w:t xml:space="preserve"> je </w:t>
      </w:r>
      <w:r w:rsidR="009A1FA2">
        <w:rPr>
          <w:rFonts w:ascii="Times New Roman" w:eastAsia="Times New Roman" w:hAnsi="Times New Roman" w:cs="Times New Roman"/>
          <w:sz w:val="24"/>
          <w:szCs w:val="24"/>
          <w:lang w:eastAsia="sk-SK"/>
        </w:rPr>
        <w:t xml:space="preserve">možné </w:t>
      </w:r>
      <w:r w:rsidRPr="005145A9">
        <w:rPr>
          <w:rFonts w:ascii="Times New Roman" w:eastAsia="Times New Roman" w:hAnsi="Times New Roman" w:cs="Times New Roman"/>
          <w:sz w:val="24"/>
          <w:szCs w:val="24"/>
          <w:lang w:eastAsia="sk-SK"/>
        </w:rPr>
        <w:t>uloži</w:t>
      </w:r>
      <w:r w:rsidR="009A1FA2">
        <w:rPr>
          <w:rFonts w:ascii="Times New Roman" w:eastAsia="Times New Roman" w:hAnsi="Times New Roman" w:cs="Times New Roman"/>
          <w:sz w:val="24"/>
          <w:szCs w:val="24"/>
          <w:lang w:eastAsia="sk-SK"/>
        </w:rPr>
        <w:t>ť</w:t>
      </w:r>
      <w:r w:rsidRPr="005145A9">
        <w:rPr>
          <w:rFonts w:ascii="Times New Roman" w:eastAsia="Times New Roman" w:hAnsi="Times New Roman" w:cs="Times New Roman"/>
          <w:sz w:val="24"/>
          <w:szCs w:val="24"/>
          <w:lang w:eastAsia="sk-SK"/>
        </w:rPr>
        <w:t xml:space="preserve"> pokut</w:t>
      </w:r>
      <w:r w:rsidR="009A1FA2">
        <w:rPr>
          <w:rFonts w:ascii="Times New Roman" w:eastAsia="Times New Roman" w:hAnsi="Times New Roman" w:cs="Times New Roman"/>
          <w:sz w:val="24"/>
          <w:szCs w:val="24"/>
          <w:lang w:eastAsia="sk-SK"/>
        </w:rPr>
        <w:t>u</w:t>
      </w:r>
      <w:r w:rsidRPr="005145A9">
        <w:rPr>
          <w:rFonts w:ascii="Times New Roman" w:eastAsia="Times New Roman" w:hAnsi="Times New Roman" w:cs="Times New Roman"/>
          <w:sz w:val="24"/>
          <w:szCs w:val="24"/>
          <w:lang w:eastAsia="sk-SK"/>
        </w:rPr>
        <w:t xml:space="preserve"> až do výšky 3 500 €. Táto sankcia predstavuje pre dotknuté podnikateľské subjekty, ktoré prevádz</w:t>
      </w:r>
      <w:r w:rsidR="000E3794">
        <w:rPr>
          <w:rFonts w:ascii="Times New Roman" w:eastAsia="Times New Roman" w:hAnsi="Times New Roman" w:cs="Times New Roman"/>
          <w:sz w:val="24"/>
          <w:szCs w:val="24"/>
          <w:lang w:eastAsia="sk-SK"/>
        </w:rPr>
        <w:t>kujú vozidlá s právom prednostnej jazdy</w:t>
      </w:r>
      <w:r w:rsidRPr="005145A9">
        <w:rPr>
          <w:rFonts w:ascii="Times New Roman" w:eastAsia="Times New Roman" w:hAnsi="Times New Roman" w:cs="Times New Roman"/>
          <w:sz w:val="24"/>
          <w:szCs w:val="24"/>
          <w:lang w:eastAsia="sk-SK"/>
        </w:rPr>
        <w:t xml:space="preserve"> potenciálne finančné zaťaženie. Vzhľadom na to, že ide o</w:t>
      </w:r>
      <w:r w:rsidR="000E3794">
        <w:rPr>
          <w:rFonts w:ascii="Times New Roman" w:eastAsia="Times New Roman" w:hAnsi="Times New Roman" w:cs="Times New Roman"/>
          <w:sz w:val="24"/>
          <w:szCs w:val="24"/>
          <w:lang w:eastAsia="sk-SK"/>
        </w:rPr>
        <w:t> </w:t>
      </w:r>
      <w:r w:rsidRPr="005145A9">
        <w:rPr>
          <w:rFonts w:ascii="Times New Roman" w:eastAsia="Times New Roman" w:hAnsi="Times New Roman" w:cs="Times New Roman"/>
          <w:sz w:val="24"/>
          <w:szCs w:val="24"/>
          <w:lang w:eastAsia="sk-SK"/>
        </w:rPr>
        <w:t>nov</w:t>
      </w:r>
      <w:r w:rsidR="000E3794">
        <w:rPr>
          <w:rFonts w:ascii="Times New Roman" w:eastAsia="Times New Roman" w:hAnsi="Times New Roman" w:cs="Times New Roman"/>
          <w:sz w:val="24"/>
          <w:szCs w:val="24"/>
          <w:lang w:eastAsia="sk-SK"/>
        </w:rPr>
        <w:t>ú povinnosť a t</w:t>
      </w:r>
      <w:r w:rsidRPr="005145A9">
        <w:rPr>
          <w:rFonts w:ascii="Times New Roman" w:eastAsia="Times New Roman" w:hAnsi="Times New Roman" w:cs="Times New Roman"/>
          <w:sz w:val="24"/>
          <w:szCs w:val="24"/>
          <w:lang w:eastAsia="sk-SK"/>
        </w:rPr>
        <w:t>ý</w:t>
      </w:r>
      <w:r w:rsidR="000E3794">
        <w:rPr>
          <w:rFonts w:ascii="Times New Roman" w:eastAsia="Times New Roman" w:hAnsi="Times New Roman" w:cs="Times New Roman"/>
          <w:sz w:val="24"/>
          <w:szCs w:val="24"/>
          <w:lang w:eastAsia="sk-SK"/>
        </w:rPr>
        <w:t>m i o nový</w:t>
      </w:r>
      <w:r w:rsidRPr="005145A9">
        <w:rPr>
          <w:rFonts w:ascii="Times New Roman" w:eastAsia="Times New Roman" w:hAnsi="Times New Roman" w:cs="Times New Roman"/>
          <w:sz w:val="24"/>
          <w:szCs w:val="24"/>
          <w:lang w:eastAsia="sk-SK"/>
        </w:rPr>
        <w:t xml:space="preserve"> správn</w:t>
      </w:r>
      <w:r w:rsidR="000E3794">
        <w:rPr>
          <w:rFonts w:ascii="Times New Roman" w:eastAsia="Times New Roman" w:hAnsi="Times New Roman" w:cs="Times New Roman"/>
          <w:sz w:val="24"/>
          <w:szCs w:val="24"/>
          <w:lang w:eastAsia="sk-SK"/>
        </w:rPr>
        <w:t>y</w:t>
      </w:r>
      <w:r w:rsidRPr="005145A9">
        <w:rPr>
          <w:rFonts w:ascii="Times New Roman" w:eastAsia="Times New Roman" w:hAnsi="Times New Roman" w:cs="Times New Roman"/>
          <w:sz w:val="24"/>
          <w:szCs w:val="24"/>
          <w:lang w:eastAsia="sk-SK"/>
        </w:rPr>
        <w:t xml:space="preserve"> delikt</w:t>
      </w:r>
      <w:r w:rsidR="001A1A63">
        <w:rPr>
          <w:rFonts w:ascii="Times New Roman" w:eastAsia="Times New Roman" w:hAnsi="Times New Roman" w:cs="Times New Roman"/>
          <w:sz w:val="24"/>
          <w:szCs w:val="24"/>
          <w:lang w:eastAsia="sk-SK"/>
        </w:rPr>
        <w:t>, nie je</w:t>
      </w:r>
      <w:r w:rsidRPr="005145A9">
        <w:rPr>
          <w:rFonts w:ascii="Times New Roman" w:eastAsia="Times New Roman" w:hAnsi="Times New Roman" w:cs="Times New Roman"/>
          <w:sz w:val="24"/>
          <w:szCs w:val="24"/>
          <w:lang w:eastAsia="sk-SK"/>
        </w:rPr>
        <w:t xml:space="preserve"> v súčasnosti možné exaktne predpokladať jeho budúcu frekvenciu ani kvantifikovať celkové kumulatívne finančné dopady na podnikateľské prostredie. Relevantné informácie o miere dodržiavania tejto povinnosti a s tým súvisiacich sankciách budú k dispozícii až po nadobudnutí účinnosti </w:t>
      </w:r>
      <w:r w:rsidR="001A1A63">
        <w:rPr>
          <w:rFonts w:ascii="Times New Roman" w:eastAsia="Times New Roman" w:hAnsi="Times New Roman" w:cs="Times New Roman"/>
          <w:sz w:val="24"/>
          <w:szCs w:val="24"/>
          <w:lang w:eastAsia="sk-SK"/>
        </w:rPr>
        <w:t>navrhovanej</w:t>
      </w:r>
      <w:r w:rsidRPr="005145A9">
        <w:rPr>
          <w:rFonts w:ascii="Times New Roman" w:eastAsia="Times New Roman" w:hAnsi="Times New Roman" w:cs="Times New Roman"/>
          <w:sz w:val="24"/>
          <w:szCs w:val="24"/>
          <w:lang w:eastAsia="sk-SK"/>
        </w:rPr>
        <w:t xml:space="preserve"> právnej úpravy a jej aplikácii v praxi.</w:t>
      </w:r>
      <w:r w:rsidR="008E3D2A" w:rsidRPr="008E3D2A">
        <w:t xml:space="preserve"> </w:t>
      </w:r>
      <w:r w:rsidR="008E3D2A" w:rsidRPr="008E3D2A">
        <w:rPr>
          <w:rFonts w:ascii="Times New Roman" w:eastAsia="Times New Roman" w:hAnsi="Times New Roman" w:cs="Times New Roman"/>
          <w:sz w:val="24"/>
          <w:szCs w:val="24"/>
          <w:lang w:eastAsia="sk-SK"/>
        </w:rPr>
        <w:t>Dôsledná evidencia predstavuje dôležitý nástroj pre kontrolu a optimalizáciu prevádzky vozidiel s právom prednosti, čím pris</w:t>
      </w:r>
      <w:r w:rsidR="001A1A63">
        <w:rPr>
          <w:rFonts w:ascii="Times New Roman" w:eastAsia="Times New Roman" w:hAnsi="Times New Roman" w:cs="Times New Roman"/>
          <w:sz w:val="24"/>
          <w:szCs w:val="24"/>
          <w:lang w:eastAsia="sk-SK"/>
        </w:rPr>
        <w:t>peje</w:t>
      </w:r>
      <w:r w:rsidR="008E3D2A" w:rsidRPr="008E3D2A">
        <w:rPr>
          <w:rFonts w:ascii="Times New Roman" w:eastAsia="Times New Roman" w:hAnsi="Times New Roman" w:cs="Times New Roman"/>
          <w:sz w:val="24"/>
          <w:szCs w:val="24"/>
          <w:lang w:eastAsia="sk-SK"/>
        </w:rPr>
        <w:t xml:space="preserve"> k zvýšeniu transparentnosti </w:t>
      </w:r>
      <w:r w:rsidR="004D3D6F">
        <w:rPr>
          <w:rFonts w:ascii="Times New Roman" w:eastAsia="Times New Roman" w:hAnsi="Times New Roman" w:cs="Times New Roman"/>
          <w:sz w:val="24"/>
          <w:szCs w:val="24"/>
          <w:lang w:eastAsia="sk-SK"/>
        </w:rPr>
        <w:t xml:space="preserve">používania zvláštnych výstražných znamení </w:t>
      </w:r>
      <w:r w:rsidR="008E3D2A" w:rsidRPr="008E3D2A">
        <w:rPr>
          <w:rFonts w:ascii="Times New Roman" w:eastAsia="Times New Roman" w:hAnsi="Times New Roman" w:cs="Times New Roman"/>
          <w:sz w:val="24"/>
          <w:szCs w:val="24"/>
          <w:lang w:eastAsia="sk-SK"/>
        </w:rPr>
        <w:t>a potenciálnej ochrane prevádzkovateľa pri riešení sporných situácií.</w:t>
      </w:r>
    </w:p>
    <w:sectPr w:rsidR="005145A9" w:rsidRPr="00DC1012"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EA5" w:rsidRDefault="00BE2EA5" w:rsidP="00054C41">
      <w:pPr>
        <w:spacing w:after="0" w:line="240" w:lineRule="auto"/>
      </w:pPr>
      <w:r>
        <w:separator/>
      </w:r>
    </w:p>
  </w:endnote>
  <w:endnote w:type="continuationSeparator" w:id="0">
    <w:p w:rsidR="00BE2EA5" w:rsidRDefault="00BE2EA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rsidR="00874F6D" w:rsidRPr="006045CB" w:rsidRDefault="00874F6D"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227C7F">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rsidR="00874F6D" w:rsidRPr="00FF7125" w:rsidRDefault="00874F6D" w:rsidP="00054C41">
    <w:pPr>
      <w:pStyle w:val="Pta"/>
      <w:rPr>
        <w:sz w:val="24"/>
        <w:szCs w:val="24"/>
      </w:rPr>
    </w:pPr>
  </w:p>
  <w:p w:rsidR="00874F6D" w:rsidRDefault="00874F6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EA5" w:rsidRDefault="00BE2EA5" w:rsidP="00054C41">
      <w:pPr>
        <w:spacing w:after="0" w:line="240" w:lineRule="auto"/>
      </w:pPr>
      <w:r>
        <w:separator/>
      </w:r>
    </w:p>
  </w:footnote>
  <w:footnote w:type="continuationSeparator" w:id="0">
    <w:p w:rsidR="00BE2EA5" w:rsidRDefault="00BE2EA5" w:rsidP="00054C41">
      <w:pPr>
        <w:spacing w:after="0" w:line="240" w:lineRule="auto"/>
      </w:pPr>
      <w:r>
        <w:continuationSeparator/>
      </w:r>
    </w:p>
  </w:footnote>
  <w:footnote w:id="1">
    <w:p w:rsidR="00874F6D" w:rsidRPr="000A6B7F" w:rsidRDefault="00874F6D"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EB00176"/>
    <w:multiLevelType w:val="hybridMultilevel"/>
    <w:tmpl w:val="8804645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0"/>
  </w:num>
  <w:num w:numId="3">
    <w:abstractNumId w:val="11"/>
  </w:num>
  <w:num w:numId="4">
    <w:abstractNumId w:val="9"/>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4"/>
  </w:num>
  <w:num w:numId="12">
    <w:abstractNumId w:val="0"/>
  </w:num>
  <w:num w:numId="13">
    <w:abstractNumId w:val="12"/>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08BB"/>
    <w:rsid w:val="0002425A"/>
    <w:rsid w:val="00024EE4"/>
    <w:rsid w:val="00047C70"/>
    <w:rsid w:val="00050AAB"/>
    <w:rsid w:val="00054A53"/>
    <w:rsid w:val="00054C41"/>
    <w:rsid w:val="00060935"/>
    <w:rsid w:val="00060DA1"/>
    <w:rsid w:val="00061E85"/>
    <w:rsid w:val="00071905"/>
    <w:rsid w:val="000820E0"/>
    <w:rsid w:val="00091A43"/>
    <w:rsid w:val="0009490E"/>
    <w:rsid w:val="000A6B7F"/>
    <w:rsid w:val="000C5419"/>
    <w:rsid w:val="000C5E9A"/>
    <w:rsid w:val="000D15F0"/>
    <w:rsid w:val="000D6EBE"/>
    <w:rsid w:val="000E3794"/>
    <w:rsid w:val="000E4AA6"/>
    <w:rsid w:val="0011003B"/>
    <w:rsid w:val="001133DA"/>
    <w:rsid w:val="00126A2B"/>
    <w:rsid w:val="00142154"/>
    <w:rsid w:val="001476A4"/>
    <w:rsid w:val="00162C6C"/>
    <w:rsid w:val="0016512E"/>
    <w:rsid w:val="00167392"/>
    <w:rsid w:val="0018715C"/>
    <w:rsid w:val="001A1561"/>
    <w:rsid w:val="001A1A63"/>
    <w:rsid w:val="001B4C03"/>
    <w:rsid w:val="001C7B91"/>
    <w:rsid w:val="001D1083"/>
    <w:rsid w:val="001D3FA0"/>
    <w:rsid w:val="001E24E8"/>
    <w:rsid w:val="001E53CB"/>
    <w:rsid w:val="001E5D06"/>
    <w:rsid w:val="001F0A46"/>
    <w:rsid w:val="00207F43"/>
    <w:rsid w:val="0021233D"/>
    <w:rsid w:val="002232D3"/>
    <w:rsid w:val="00225A83"/>
    <w:rsid w:val="00227C7F"/>
    <w:rsid w:val="00231B8F"/>
    <w:rsid w:val="00250FCC"/>
    <w:rsid w:val="00256913"/>
    <w:rsid w:val="00270EA5"/>
    <w:rsid w:val="002712B9"/>
    <w:rsid w:val="00284B8C"/>
    <w:rsid w:val="0029483F"/>
    <w:rsid w:val="002C2FC0"/>
    <w:rsid w:val="002C3925"/>
    <w:rsid w:val="002D3541"/>
    <w:rsid w:val="00302A17"/>
    <w:rsid w:val="00314D25"/>
    <w:rsid w:val="00315BE2"/>
    <w:rsid w:val="00324E6E"/>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D2EA1"/>
    <w:rsid w:val="003E58B8"/>
    <w:rsid w:val="003F06D7"/>
    <w:rsid w:val="00400224"/>
    <w:rsid w:val="00400BA5"/>
    <w:rsid w:val="00410E62"/>
    <w:rsid w:val="00414FA7"/>
    <w:rsid w:val="00420090"/>
    <w:rsid w:val="004239D1"/>
    <w:rsid w:val="00445638"/>
    <w:rsid w:val="00446432"/>
    <w:rsid w:val="00446512"/>
    <w:rsid w:val="004653FE"/>
    <w:rsid w:val="00466D7A"/>
    <w:rsid w:val="0048237B"/>
    <w:rsid w:val="00484D16"/>
    <w:rsid w:val="00491853"/>
    <w:rsid w:val="004A14CD"/>
    <w:rsid w:val="004A2C6B"/>
    <w:rsid w:val="004D20CB"/>
    <w:rsid w:val="004D3D6F"/>
    <w:rsid w:val="004D65B2"/>
    <w:rsid w:val="004D681D"/>
    <w:rsid w:val="004E2324"/>
    <w:rsid w:val="004F63E6"/>
    <w:rsid w:val="005103DA"/>
    <w:rsid w:val="00511F8F"/>
    <w:rsid w:val="00512BA7"/>
    <w:rsid w:val="005145A9"/>
    <w:rsid w:val="00515726"/>
    <w:rsid w:val="00562527"/>
    <w:rsid w:val="00562A1E"/>
    <w:rsid w:val="00563427"/>
    <w:rsid w:val="00581EB9"/>
    <w:rsid w:val="005A3D2D"/>
    <w:rsid w:val="005A4790"/>
    <w:rsid w:val="005B4E6E"/>
    <w:rsid w:val="005B56E4"/>
    <w:rsid w:val="005B74FC"/>
    <w:rsid w:val="005C795C"/>
    <w:rsid w:val="005D0E50"/>
    <w:rsid w:val="005D39D8"/>
    <w:rsid w:val="0061097B"/>
    <w:rsid w:val="0061612F"/>
    <w:rsid w:val="006177C8"/>
    <w:rsid w:val="0062600A"/>
    <w:rsid w:val="0063777D"/>
    <w:rsid w:val="00643358"/>
    <w:rsid w:val="00646084"/>
    <w:rsid w:val="006564C3"/>
    <w:rsid w:val="006578CB"/>
    <w:rsid w:val="00666C27"/>
    <w:rsid w:val="0067560D"/>
    <w:rsid w:val="006A4E85"/>
    <w:rsid w:val="006A60C0"/>
    <w:rsid w:val="006A712F"/>
    <w:rsid w:val="006B5D74"/>
    <w:rsid w:val="006C119A"/>
    <w:rsid w:val="006C25BE"/>
    <w:rsid w:val="006D7AD8"/>
    <w:rsid w:val="006E2DD4"/>
    <w:rsid w:val="006F1D57"/>
    <w:rsid w:val="006F7F4B"/>
    <w:rsid w:val="0070364C"/>
    <w:rsid w:val="00710EDF"/>
    <w:rsid w:val="0072221D"/>
    <w:rsid w:val="0072357C"/>
    <w:rsid w:val="007259CB"/>
    <w:rsid w:val="00726031"/>
    <w:rsid w:val="00730CC1"/>
    <w:rsid w:val="0073535A"/>
    <w:rsid w:val="00751DA9"/>
    <w:rsid w:val="0075272E"/>
    <w:rsid w:val="00755E69"/>
    <w:rsid w:val="007648EE"/>
    <w:rsid w:val="0077106D"/>
    <w:rsid w:val="00780ACC"/>
    <w:rsid w:val="00781F83"/>
    <w:rsid w:val="007846BF"/>
    <w:rsid w:val="0078472C"/>
    <w:rsid w:val="00787A11"/>
    <w:rsid w:val="00794B74"/>
    <w:rsid w:val="00797B40"/>
    <w:rsid w:val="007A0C9D"/>
    <w:rsid w:val="007A3998"/>
    <w:rsid w:val="007B40FB"/>
    <w:rsid w:val="007B62AF"/>
    <w:rsid w:val="007E24B2"/>
    <w:rsid w:val="007E2DA4"/>
    <w:rsid w:val="007E6815"/>
    <w:rsid w:val="007E7632"/>
    <w:rsid w:val="007F1C84"/>
    <w:rsid w:val="007F4579"/>
    <w:rsid w:val="00801596"/>
    <w:rsid w:val="00804BC8"/>
    <w:rsid w:val="00806E23"/>
    <w:rsid w:val="00807981"/>
    <w:rsid w:val="0081454A"/>
    <w:rsid w:val="00823F5A"/>
    <w:rsid w:val="00836642"/>
    <w:rsid w:val="00845D3B"/>
    <w:rsid w:val="008634E9"/>
    <w:rsid w:val="00874F6D"/>
    <w:rsid w:val="008801B5"/>
    <w:rsid w:val="00880578"/>
    <w:rsid w:val="00882407"/>
    <w:rsid w:val="008920C3"/>
    <w:rsid w:val="00894052"/>
    <w:rsid w:val="008976D2"/>
    <w:rsid w:val="008A7B87"/>
    <w:rsid w:val="008B4AA1"/>
    <w:rsid w:val="008B69E2"/>
    <w:rsid w:val="008C1C71"/>
    <w:rsid w:val="008E1AD0"/>
    <w:rsid w:val="008E315F"/>
    <w:rsid w:val="008E3D2A"/>
    <w:rsid w:val="008E6B82"/>
    <w:rsid w:val="008F6ADE"/>
    <w:rsid w:val="0091269B"/>
    <w:rsid w:val="00923C0C"/>
    <w:rsid w:val="0095170D"/>
    <w:rsid w:val="00952CF6"/>
    <w:rsid w:val="00960413"/>
    <w:rsid w:val="00981995"/>
    <w:rsid w:val="00981C7F"/>
    <w:rsid w:val="00985515"/>
    <w:rsid w:val="00990813"/>
    <w:rsid w:val="0099544D"/>
    <w:rsid w:val="00997513"/>
    <w:rsid w:val="009A0E2C"/>
    <w:rsid w:val="009A1FA2"/>
    <w:rsid w:val="009A4D56"/>
    <w:rsid w:val="009B14EF"/>
    <w:rsid w:val="009B1F04"/>
    <w:rsid w:val="009E09F7"/>
    <w:rsid w:val="009E2D5C"/>
    <w:rsid w:val="009E3E44"/>
    <w:rsid w:val="009F4175"/>
    <w:rsid w:val="009F66A4"/>
    <w:rsid w:val="009F6C80"/>
    <w:rsid w:val="00A000DA"/>
    <w:rsid w:val="00A1736E"/>
    <w:rsid w:val="00A216DF"/>
    <w:rsid w:val="00A33F2C"/>
    <w:rsid w:val="00A50EE3"/>
    <w:rsid w:val="00A83E11"/>
    <w:rsid w:val="00A94A0F"/>
    <w:rsid w:val="00AA1555"/>
    <w:rsid w:val="00AA3C6D"/>
    <w:rsid w:val="00AB57C4"/>
    <w:rsid w:val="00B11CF5"/>
    <w:rsid w:val="00B209FA"/>
    <w:rsid w:val="00B21D1F"/>
    <w:rsid w:val="00B410BA"/>
    <w:rsid w:val="00B43D68"/>
    <w:rsid w:val="00B44A3A"/>
    <w:rsid w:val="00B5600C"/>
    <w:rsid w:val="00B66E33"/>
    <w:rsid w:val="00B72FB1"/>
    <w:rsid w:val="00B953DA"/>
    <w:rsid w:val="00BA19B0"/>
    <w:rsid w:val="00BA4ADA"/>
    <w:rsid w:val="00BB3870"/>
    <w:rsid w:val="00BB45A7"/>
    <w:rsid w:val="00BD0EF7"/>
    <w:rsid w:val="00BD6778"/>
    <w:rsid w:val="00BE2EA5"/>
    <w:rsid w:val="00BF114E"/>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84AF1"/>
    <w:rsid w:val="00C90781"/>
    <w:rsid w:val="00C929AE"/>
    <w:rsid w:val="00CA4344"/>
    <w:rsid w:val="00CA6348"/>
    <w:rsid w:val="00CB1232"/>
    <w:rsid w:val="00CB17A0"/>
    <w:rsid w:val="00CB3D86"/>
    <w:rsid w:val="00CC3B7D"/>
    <w:rsid w:val="00CD5AE4"/>
    <w:rsid w:val="00CD5E86"/>
    <w:rsid w:val="00CE3B21"/>
    <w:rsid w:val="00CF4D09"/>
    <w:rsid w:val="00D005F2"/>
    <w:rsid w:val="00D03A8E"/>
    <w:rsid w:val="00D114ED"/>
    <w:rsid w:val="00D3032C"/>
    <w:rsid w:val="00D31A3B"/>
    <w:rsid w:val="00D36333"/>
    <w:rsid w:val="00D5309D"/>
    <w:rsid w:val="00D631FA"/>
    <w:rsid w:val="00D71064"/>
    <w:rsid w:val="00D77E18"/>
    <w:rsid w:val="00D811BB"/>
    <w:rsid w:val="00D82356"/>
    <w:rsid w:val="00D84EEE"/>
    <w:rsid w:val="00D90A61"/>
    <w:rsid w:val="00D946EF"/>
    <w:rsid w:val="00D95553"/>
    <w:rsid w:val="00DC1012"/>
    <w:rsid w:val="00DC355F"/>
    <w:rsid w:val="00DD1E4C"/>
    <w:rsid w:val="00DE331A"/>
    <w:rsid w:val="00DE6ACB"/>
    <w:rsid w:val="00DF02CE"/>
    <w:rsid w:val="00DF1462"/>
    <w:rsid w:val="00E030DA"/>
    <w:rsid w:val="00E17D26"/>
    <w:rsid w:val="00E214C0"/>
    <w:rsid w:val="00E30D85"/>
    <w:rsid w:val="00E444EB"/>
    <w:rsid w:val="00E77A69"/>
    <w:rsid w:val="00E81A42"/>
    <w:rsid w:val="00E961E8"/>
    <w:rsid w:val="00E96244"/>
    <w:rsid w:val="00E96DE0"/>
    <w:rsid w:val="00EB2BEC"/>
    <w:rsid w:val="00EB74BF"/>
    <w:rsid w:val="00EC0704"/>
    <w:rsid w:val="00EC508B"/>
    <w:rsid w:val="00ED6B5D"/>
    <w:rsid w:val="00EE4C99"/>
    <w:rsid w:val="00F01A47"/>
    <w:rsid w:val="00F153D7"/>
    <w:rsid w:val="00F1599C"/>
    <w:rsid w:val="00F2433F"/>
    <w:rsid w:val="00F244DC"/>
    <w:rsid w:val="00F378F4"/>
    <w:rsid w:val="00F40D76"/>
    <w:rsid w:val="00F47912"/>
    <w:rsid w:val="00F50C96"/>
    <w:rsid w:val="00F541B6"/>
    <w:rsid w:val="00F57702"/>
    <w:rsid w:val="00F61361"/>
    <w:rsid w:val="00F613E8"/>
    <w:rsid w:val="00F74D3C"/>
    <w:rsid w:val="00F74FC9"/>
    <w:rsid w:val="00F91F47"/>
    <w:rsid w:val="00FA4F36"/>
    <w:rsid w:val="00FA52CE"/>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40721">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50919259">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63440372">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00174892">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13525565">
      <w:bodyDiv w:val="1"/>
      <w:marLeft w:val="0"/>
      <w:marRight w:val="0"/>
      <w:marTop w:val="0"/>
      <w:marBottom w:val="0"/>
      <w:divBdr>
        <w:top w:val="none" w:sz="0" w:space="0" w:color="auto"/>
        <w:left w:val="none" w:sz="0" w:space="0" w:color="auto"/>
        <w:bottom w:val="none" w:sz="0" w:space="0" w:color="auto"/>
        <w:right w:val="none" w:sz="0" w:space="0" w:color="auto"/>
      </w:divBdr>
    </w:div>
    <w:div w:id="1991785050">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587F5D7C-B943-4694-8C9F-BB55ACB1F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1759</Words>
  <Characters>10027</Characters>
  <Application>Microsoft Office Word</Application>
  <DocSecurity>0</DocSecurity>
  <Lines>83</Lines>
  <Paragraphs>23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katarina.manduchova2@minv.sk</dc:creator>
  <cp:lastModifiedBy>Nikoleta Fekete</cp:lastModifiedBy>
  <cp:revision>2</cp:revision>
  <cp:lastPrinted>2025-09-10T08:37:00Z</cp:lastPrinted>
  <dcterms:created xsi:type="dcterms:W3CDTF">2025-09-23T09:56:00Z</dcterms:created>
  <dcterms:modified xsi:type="dcterms:W3CDTF">2025-09-23T09:56:00Z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