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7A1FAD" w14:textId="77777777" w:rsidR="003C7994" w:rsidRDefault="003C7994" w:rsidP="00563CE1">
      <w:pPr>
        <w:jc w:val="center"/>
        <w:rPr>
          <w:b/>
          <w:bCs/>
          <w:color w:val="000000" w:themeColor="text1"/>
        </w:rPr>
      </w:pPr>
    </w:p>
    <w:p w14:paraId="6B3D8A61" w14:textId="77777777" w:rsidR="003C7994" w:rsidRDefault="003C7994" w:rsidP="00563CE1">
      <w:pPr>
        <w:jc w:val="center"/>
        <w:rPr>
          <w:b/>
          <w:bCs/>
          <w:color w:val="000000" w:themeColor="text1"/>
        </w:rPr>
      </w:pPr>
    </w:p>
    <w:p w14:paraId="314926BA" w14:textId="3C1E2350" w:rsidR="00563CE1" w:rsidRPr="00BD7A1B" w:rsidRDefault="00563CE1" w:rsidP="00563CE1">
      <w:pPr>
        <w:jc w:val="center"/>
        <w:rPr>
          <w:b/>
          <w:bCs/>
          <w:color w:val="000000" w:themeColor="text1"/>
        </w:rPr>
      </w:pPr>
      <w:r w:rsidRPr="00BD7A1B">
        <w:rPr>
          <w:b/>
          <w:bCs/>
          <w:color w:val="000000" w:themeColor="text1"/>
        </w:rPr>
        <w:t>Dôvodová správa</w:t>
      </w:r>
    </w:p>
    <w:p w14:paraId="543AF480" w14:textId="77777777" w:rsidR="00563CE1" w:rsidRDefault="00563CE1" w:rsidP="00625BBA">
      <w:pPr>
        <w:rPr>
          <w:b/>
        </w:rPr>
      </w:pPr>
    </w:p>
    <w:p w14:paraId="1B0DE900" w14:textId="77777777" w:rsidR="003C7994" w:rsidRDefault="003C7994" w:rsidP="00625BBA">
      <w:pPr>
        <w:rPr>
          <w:b/>
        </w:rPr>
      </w:pPr>
    </w:p>
    <w:p w14:paraId="2CAF0171" w14:textId="77777777" w:rsidR="003C7994" w:rsidRDefault="003C7994" w:rsidP="00625BBA">
      <w:pPr>
        <w:rPr>
          <w:b/>
        </w:rPr>
      </w:pPr>
    </w:p>
    <w:p w14:paraId="48BB33D9" w14:textId="7FB06210" w:rsidR="00625BBA" w:rsidRPr="00625BBA" w:rsidRDefault="00625BBA" w:rsidP="00625BBA">
      <w:pPr>
        <w:rPr>
          <w:b/>
        </w:rPr>
      </w:pPr>
      <w:r w:rsidRPr="00625BBA">
        <w:rPr>
          <w:b/>
        </w:rPr>
        <w:t>B. Osobitná časť</w:t>
      </w:r>
    </w:p>
    <w:p w14:paraId="5920AB23" w14:textId="77777777" w:rsidR="00625BBA" w:rsidRDefault="00625BBA" w:rsidP="00625BBA">
      <w:pPr>
        <w:rPr>
          <w:b/>
        </w:rPr>
      </w:pPr>
    </w:p>
    <w:p w14:paraId="50C0E4C5" w14:textId="4C14E84D" w:rsidR="00625BBA" w:rsidRPr="00625BBA" w:rsidRDefault="00625BBA" w:rsidP="00625BBA">
      <w:pPr>
        <w:rPr>
          <w:b/>
        </w:rPr>
      </w:pPr>
      <w:r w:rsidRPr="00625BBA">
        <w:rPr>
          <w:b/>
        </w:rPr>
        <w:t>K Čl. I</w:t>
      </w:r>
    </w:p>
    <w:p w14:paraId="4F0A4A2B" w14:textId="77777777" w:rsidR="00625BBA" w:rsidRDefault="00625BBA" w:rsidP="00625BBA">
      <w:pPr>
        <w:rPr>
          <w:b/>
          <w:bCs/>
        </w:rPr>
      </w:pPr>
    </w:p>
    <w:p w14:paraId="13154AB6" w14:textId="55523D66" w:rsidR="00625BBA" w:rsidRPr="00625BBA" w:rsidRDefault="00625BBA" w:rsidP="00282A99">
      <w:pPr>
        <w:spacing w:after="120"/>
        <w:rPr>
          <w:b/>
          <w:bCs/>
        </w:rPr>
      </w:pPr>
      <w:r w:rsidRPr="00625BBA">
        <w:rPr>
          <w:b/>
          <w:bCs/>
        </w:rPr>
        <w:t xml:space="preserve">K bodu 1 </w:t>
      </w:r>
    </w:p>
    <w:p w14:paraId="32DFE63C" w14:textId="65A642A1" w:rsidR="00625BBA" w:rsidRPr="00625BBA" w:rsidRDefault="00625BBA" w:rsidP="0083758B">
      <w:pPr>
        <w:spacing w:line="276" w:lineRule="auto"/>
        <w:jc w:val="both"/>
      </w:pPr>
      <w:r w:rsidRPr="00625BBA">
        <w:t xml:space="preserve">Navrhované doplnenie § 1 precizuje z hľadiska terminológie </w:t>
      </w:r>
      <w:r w:rsidR="003A5CF7">
        <w:t xml:space="preserve">legislatívy </w:t>
      </w:r>
      <w:r w:rsidR="00A77F57">
        <w:t>EÚ týkajúcej sa detergentov a povrchovo aktívnych látok v detergentoch</w:t>
      </w:r>
      <w:r w:rsidRPr="00625BBA">
        <w:t xml:space="preserve">, že predmetom úpravy nie je len uvedenie na trh ako prvé sprístupnenie, ale aj ďalšie sprístupňovania na trhu, ktoré znamenajú akékoľvek dodanie na distribúciu, spotrebu alebo použitie na trhu Európskej únie v rámci obchodnej činnosti. Z rovnakého dôvodu precizovania predmetu úpravy a terminológie sa do </w:t>
      </w:r>
      <w:proofErr w:type="spellStart"/>
      <w:r w:rsidRPr="00625BBA">
        <w:t>ust</w:t>
      </w:r>
      <w:proofErr w:type="spellEnd"/>
      <w:r w:rsidRPr="00625BBA">
        <w:t xml:space="preserve">. § 1 dopĺňa aj pojem „povrchovo aktívne látky“. </w:t>
      </w:r>
    </w:p>
    <w:p w14:paraId="757F6896" w14:textId="77777777" w:rsidR="00282A99" w:rsidRDefault="00282A99" w:rsidP="0083758B">
      <w:pPr>
        <w:spacing w:line="276" w:lineRule="auto"/>
        <w:jc w:val="both"/>
      </w:pPr>
    </w:p>
    <w:p w14:paraId="7FE7295F" w14:textId="5A658027" w:rsidR="00282A99" w:rsidRPr="00625BBA" w:rsidRDefault="00282A99" w:rsidP="00282A99">
      <w:pPr>
        <w:spacing w:after="120"/>
        <w:jc w:val="both"/>
        <w:rPr>
          <w:b/>
          <w:bCs/>
        </w:rPr>
      </w:pPr>
      <w:r w:rsidRPr="00625BBA">
        <w:rPr>
          <w:b/>
          <w:bCs/>
        </w:rPr>
        <w:t xml:space="preserve">K bodu </w:t>
      </w:r>
      <w:r w:rsidR="00216E61">
        <w:rPr>
          <w:b/>
          <w:bCs/>
        </w:rPr>
        <w:t>2</w:t>
      </w:r>
    </w:p>
    <w:p w14:paraId="062DEBB2" w14:textId="4B65C1B6" w:rsidR="00625BBA" w:rsidRPr="00625BBA" w:rsidRDefault="00625BBA" w:rsidP="00AC63A2">
      <w:pPr>
        <w:spacing w:after="120" w:line="276" w:lineRule="auto"/>
        <w:jc w:val="both"/>
      </w:pPr>
      <w:r w:rsidRPr="00625BBA">
        <w:t xml:space="preserve">V odkaze 6 sa už neúčinné </w:t>
      </w:r>
      <w:r w:rsidRPr="00AC63A2">
        <w:t>nariadenie (ES) č. 689/2008</w:t>
      </w:r>
      <w:r w:rsidRPr="00625BBA">
        <w:t xml:space="preserve"> o vývoze a dovoze nebezpečných</w:t>
      </w:r>
      <w:r w:rsidR="00733596">
        <w:t xml:space="preserve"> </w:t>
      </w:r>
      <w:r w:rsidRPr="00625BBA">
        <w:t xml:space="preserve">chemikálií nahrádza </w:t>
      </w:r>
      <w:r w:rsidR="00733596">
        <w:t>n</w:t>
      </w:r>
      <w:r w:rsidR="00733596" w:rsidRPr="00C603AD">
        <w:t>ariaden</w:t>
      </w:r>
      <w:r w:rsidR="00733596">
        <w:t>ím</w:t>
      </w:r>
      <w:r w:rsidR="00733596" w:rsidRPr="00C603AD">
        <w:t xml:space="preserve"> Európskeho parlamentu a Rady (EÚ) č. 649/2012 zo 4. júla 2012 o vývoze a dovoze nebezpečných chemikálií (Ú. v. EÚ L 201, 27.7.2012) v platnom znení</w:t>
      </w:r>
      <w:r w:rsidR="00733596">
        <w:t xml:space="preserve"> (ďalej len „nariadenie</w:t>
      </w:r>
      <w:r w:rsidR="00A723FF">
        <w:t xml:space="preserve"> (EÚ)</w:t>
      </w:r>
      <w:r w:rsidR="00733596">
        <w:t xml:space="preserve"> č. 64</w:t>
      </w:r>
      <w:r w:rsidR="007D4B2D">
        <w:t>9</w:t>
      </w:r>
      <w:r w:rsidR="00733596">
        <w:t>/2012 v platnom znení)</w:t>
      </w:r>
      <w:r w:rsidRPr="00625BBA">
        <w:t>, ktoré ho zrušilo a uplatňuje sa na vybrané nebezpečné chemikálie, ktoré podliehajú postupu udeľovania predbežného súhlasu po predchádzajúcom ohlásení podľa Rotterdamského dohovoru (tzv. postupu PIC), na určité nebezpečné chemikálie, ktoré sú v Európskej únii alebo jej členských štátoch zakázané alebo prísne obmedzené a na vyvážané chemikálie, pokiaľ ide o ich klasifikáciu, označovanie a balenie.</w:t>
      </w:r>
    </w:p>
    <w:p w14:paraId="1AF20E2C" w14:textId="77777777" w:rsidR="00625BBA" w:rsidRDefault="00625BBA" w:rsidP="00625BBA">
      <w:pPr>
        <w:jc w:val="both"/>
        <w:rPr>
          <w:b/>
          <w:bCs/>
        </w:rPr>
      </w:pPr>
    </w:p>
    <w:p w14:paraId="2AB7C25D" w14:textId="02F233A9" w:rsidR="00625BBA" w:rsidRPr="00625BBA" w:rsidRDefault="00625BBA" w:rsidP="00462E19">
      <w:pPr>
        <w:spacing w:after="120"/>
        <w:jc w:val="both"/>
        <w:rPr>
          <w:b/>
          <w:bCs/>
        </w:rPr>
      </w:pPr>
      <w:r w:rsidRPr="00625BBA">
        <w:rPr>
          <w:b/>
          <w:bCs/>
        </w:rPr>
        <w:t xml:space="preserve">K bodu </w:t>
      </w:r>
      <w:r w:rsidR="00216E61">
        <w:rPr>
          <w:b/>
          <w:bCs/>
        </w:rPr>
        <w:t>3</w:t>
      </w:r>
    </w:p>
    <w:p w14:paraId="66A83430" w14:textId="77777777" w:rsidR="00625BBA" w:rsidRPr="00625BBA" w:rsidRDefault="00625BBA" w:rsidP="00994FB6">
      <w:pPr>
        <w:spacing w:line="23" w:lineRule="atLeast"/>
        <w:jc w:val="both"/>
      </w:pPr>
      <w:r w:rsidRPr="00625BBA">
        <w:t>Doplnenie pojmu „distribútor“ ako nositeľa práv a povinností podľa tohto zákona je potrebné z dôvodu precizovania predmetu úpravy v § 1, pretože tento pojem sa používa v aktuálnom znení zákona spolu s ostatnými nositeľmi práv a povinností uvedenými v tomto ustanovení.</w:t>
      </w:r>
    </w:p>
    <w:p w14:paraId="5DE6FD70" w14:textId="52B54940" w:rsidR="00625BBA" w:rsidRPr="00625BBA" w:rsidRDefault="00625BBA" w:rsidP="00994FB6">
      <w:pPr>
        <w:spacing w:after="120" w:line="23" w:lineRule="atLeast"/>
        <w:jc w:val="both"/>
      </w:pPr>
      <w:r w:rsidRPr="00625BBA">
        <w:t xml:space="preserve">Dopĺňa sa poznámka pod čiarou k odkazu 9a, ktorá uvádza ustanovenie definujúce pojem „distribútor“ podľa </w:t>
      </w:r>
      <w:r w:rsidR="009978BB" w:rsidRPr="00586075">
        <w:rPr>
          <w:color w:val="000000"/>
        </w:rPr>
        <w:t>Nariadenie Európskeho parlamentu a Rady (ES) č. 1272/2008 zo 16. decembra 2008 o klasifikácii, označovaní a balení látok a zmesí, o zmene, doplnení a zrušení smerníc 67/548/EHS a 1999/45/ES a o zmene a doplnení nariadenia (ES) č. 1907/2006 (Ú. v. EÚ L 353, 31. 12. 2008) v platnom znení</w:t>
      </w:r>
      <w:r w:rsidR="009978BB">
        <w:rPr>
          <w:color w:val="000000"/>
        </w:rPr>
        <w:t xml:space="preserve"> (ďalej len „nariadenie</w:t>
      </w:r>
      <w:r w:rsidR="00A723FF">
        <w:rPr>
          <w:color w:val="000000"/>
        </w:rPr>
        <w:t xml:space="preserve"> (ES)</w:t>
      </w:r>
      <w:r w:rsidR="002273ED">
        <w:rPr>
          <w:color w:val="000000"/>
        </w:rPr>
        <w:t xml:space="preserve"> </w:t>
      </w:r>
      <w:r w:rsidR="002273ED" w:rsidRPr="00586075">
        <w:rPr>
          <w:color w:val="000000"/>
        </w:rPr>
        <w:t>č. 1272/2008</w:t>
      </w:r>
      <w:r w:rsidR="002273ED">
        <w:rPr>
          <w:color w:val="000000"/>
        </w:rPr>
        <w:t xml:space="preserve"> v platnom znení)</w:t>
      </w:r>
      <w:r w:rsidR="009978BB">
        <w:rPr>
          <w:color w:val="000000"/>
        </w:rPr>
        <w:t xml:space="preserve"> </w:t>
      </w:r>
      <w:r w:rsidRPr="00625BBA">
        <w:t>(tzv. CLP), podľa ktorého sa definujú v zákone aj pojmy „výrobcovia“, „dovozcovia“, „následní užívatelia“ a „dodávatelia“.</w:t>
      </w:r>
    </w:p>
    <w:p w14:paraId="1C9A3E0F" w14:textId="77777777" w:rsidR="00625BBA" w:rsidRDefault="00625BBA" w:rsidP="00625BBA">
      <w:pPr>
        <w:jc w:val="both"/>
        <w:rPr>
          <w:b/>
          <w:bCs/>
        </w:rPr>
      </w:pPr>
    </w:p>
    <w:p w14:paraId="6478315D" w14:textId="38864DB2" w:rsidR="00216E61" w:rsidRPr="00625BBA" w:rsidRDefault="00216E61" w:rsidP="00216E61">
      <w:pPr>
        <w:spacing w:after="120"/>
        <w:jc w:val="both"/>
        <w:rPr>
          <w:b/>
          <w:bCs/>
        </w:rPr>
      </w:pPr>
      <w:r w:rsidRPr="00625BBA">
        <w:rPr>
          <w:b/>
          <w:bCs/>
        </w:rPr>
        <w:t>K bod</w:t>
      </w:r>
      <w:r>
        <w:rPr>
          <w:b/>
          <w:bCs/>
        </w:rPr>
        <w:t>om</w:t>
      </w:r>
      <w:r w:rsidRPr="00625BBA">
        <w:rPr>
          <w:b/>
          <w:bCs/>
        </w:rPr>
        <w:t xml:space="preserve"> </w:t>
      </w:r>
      <w:r>
        <w:rPr>
          <w:b/>
          <w:bCs/>
        </w:rPr>
        <w:t>4, 5, 9, 16, 34, 39, 58 a 59</w:t>
      </w:r>
    </w:p>
    <w:p w14:paraId="36341FA6" w14:textId="33DFC14F" w:rsidR="00216E61" w:rsidRDefault="00216E61" w:rsidP="00625BBA">
      <w:pPr>
        <w:jc w:val="both"/>
        <w:rPr>
          <w:b/>
          <w:bCs/>
        </w:rPr>
      </w:pPr>
      <w:r>
        <w:t>Upravujú sa citácie poznámok pod čiarou podľa aktuálneho právneho stavu.</w:t>
      </w:r>
    </w:p>
    <w:p w14:paraId="30FB3283" w14:textId="77777777" w:rsidR="00DA212C" w:rsidRDefault="00DA212C" w:rsidP="00447EB8">
      <w:pPr>
        <w:jc w:val="both"/>
        <w:rPr>
          <w:b/>
          <w:bCs/>
        </w:rPr>
      </w:pPr>
    </w:p>
    <w:p w14:paraId="117B9650" w14:textId="20B4858E" w:rsidR="00625BBA" w:rsidRPr="00625BBA" w:rsidRDefault="00625BBA" w:rsidP="00AA31F9">
      <w:pPr>
        <w:spacing w:after="120"/>
        <w:jc w:val="both"/>
        <w:rPr>
          <w:b/>
          <w:bCs/>
        </w:rPr>
      </w:pPr>
      <w:r w:rsidRPr="00625BBA">
        <w:rPr>
          <w:b/>
          <w:bCs/>
        </w:rPr>
        <w:t xml:space="preserve">K bodu </w:t>
      </w:r>
      <w:r w:rsidR="00216E61">
        <w:rPr>
          <w:b/>
          <w:bCs/>
        </w:rPr>
        <w:t>6</w:t>
      </w:r>
    </w:p>
    <w:p w14:paraId="4D4244DE" w14:textId="5E729C3C" w:rsidR="00625BBA" w:rsidRPr="00625BBA" w:rsidRDefault="00625BBA" w:rsidP="00F74AAF">
      <w:pPr>
        <w:spacing w:after="120"/>
        <w:jc w:val="both"/>
      </w:pPr>
      <w:r w:rsidRPr="00625BBA">
        <w:t xml:space="preserve">Navrhuje sa vypustenie pojmu „existujúca látka“, pretože tento pojem sa v zákone ďalej nepoužíva. Namiesto neho sa definuje pojem „látka“ z dôvodu určitosti predmetu úpravy a na </w:t>
      </w:r>
      <w:r w:rsidRPr="00625BBA">
        <w:lastRenderedPageBreak/>
        <w:t xml:space="preserve">základe vhodnejšieho prístupu odkazovať na </w:t>
      </w:r>
      <w:r w:rsidR="00F74AAF">
        <w:rPr>
          <w:color w:val="000000"/>
          <w:lang w:eastAsia="cs-CZ"/>
        </w:rPr>
        <w:t>N</w:t>
      </w:r>
      <w:r w:rsidR="00F74AAF" w:rsidRPr="00586075">
        <w:rPr>
          <w:color w:val="000000"/>
        </w:rPr>
        <w:t>ariadeni</w:t>
      </w:r>
      <w:r w:rsidR="00F74AAF">
        <w:rPr>
          <w:color w:val="000000"/>
        </w:rPr>
        <w:t>e</w:t>
      </w:r>
      <w:r w:rsidR="00F74AAF" w:rsidRPr="00586075">
        <w:rPr>
          <w:color w:val="000000"/>
        </w:rPr>
        <w:t xml:space="preserve"> Európskeho parlamentu a Rady (ES) č. 1907/2006 z 18. decembra 2006 o registrácii, hodnotení, autorizácii a obmedzovaní chemických látok (REACH) a o zriadení Európskej chemickej agentúry, o zmene a doplnení smernice 1999/45/ES a o zrušení nariadenia Rady (EHS) č. 793/93 a nariadenia Komisie (ES) č. 1488/94, smernice Rady 76/769/EHS a smerníc Komisie 91/155/EHS, 93/67/EHS, 93/105/ES a 2000/21/ES (Ú. v. EÚ L 396, 30. 12. 2006) v platnom znení</w:t>
      </w:r>
      <w:r w:rsidR="00F74AAF">
        <w:rPr>
          <w:color w:val="000000"/>
        </w:rPr>
        <w:t xml:space="preserve"> (ďalej len „nariadenie (ES) </w:t>
      </w:r>
      <w:r w:rsidR="00F74AAF" w:rsidRPr="00586075">
        <w:rPr>
          <w:color w:val="000000"/>
        </w:rPr>
        <w:t>č. 1907/2006</w:t>
      </w:r>
      <w:r w:rsidR="00F74AAF">
        <w:rPr>
          <w:color w:val="000000"/>
        </w:rPr>
        <w:t xml:space="preserve"> v platnom znení“) </w:t>
      </w:r>
      <w:r w:rsidRPr="00625BBA">
        <w:t xml:space="preserve"> (tzv. REACH). V prípade zmeny definície v nariadení Európskej únie (ktoré sa v minulých rokoch po prijatí chemického zákona udiali) tak nebude musieť byť novelizovaný aj tento zákon.</w:t>
      </w:r>
    </w:p>
    <w:p w14:paraId="4B41CB9F" w14:textId="51F8EEA9" w:rsidR="00625BBA" w:rsidRPr="00A66EA1" w:rsidRDefault="00625BBA" w:rsidP="00625BBA">
      <w:pPr>
        <w:spacing w:line="276" w:lineRule="auto"/>
        <w:jc w:val="both"/>
      </w:pPr>
      <w:r w:rsidRPr="00625BBA">
        <w:t>Navrhuje sa aj zmena znenia poznámky pod čiarou k odkazu 13, keďže sa už nebude vzťahovať na definíciu pojmu „existujúca látka“, ale na definíciu pojmu „látka“.</w:t>
      </w:r>
    </w:p>
    <w:p w14:paraId="72334BC0" w14:textId="77777777" w:rsidR="00170BEE" w:rsidRDefault="00170BEE" w:rsidP="00625BBA">
      <w:pPr>
        <w:spacing w:line="276" w:lineRule="auto"/>
        <w:jc w:val="both"/>
      </w:pPr>
    </w:p>
    <w:p w14:paraId="376750B9" w14:textId="4C57FF99" w:rsidR="00625BBA" w:rsidRPr="00625BBA" w:rsidRDefault="00625BBA" w:rsidP="00625BBA">
      <w:pPr>
        <w:spacing w:line="276" w:lineRule="auto"/>
        <w:jc w:val="both"/>
      </w:pPr>
      <w:r w:rsidRPr="00625BBA">
        <w:t xml:space="preserve">Navrhuje sa </w:t>
      </w:r>
      <w:r w:rsidR="006F79D4">
        <w:t xml:space="preserve">aj </w:t>
      </w:r>
      <w:r w:rsidRPr="00625BBA">
        <w:t>vypustenie pojmu „nová látka“, pretože tento pojem sa v zákone ďalej nepoužíva. Namiesto neho sa definuje pojem „zmes“ z dôvodu určitosti predmetu úpravy a na základe vhodnejšieho prístupu odkazovať na nariadenie (ES) č. 1907/2006</w:t>
      </w:r>
      <w:r w:rsidR="0016419D">
        <w:t xml:space="preserve"> v platnom znení</w:t>
      </w:r>
      <w:r w:rsidRPr="00625BBA">
        <w:t>. V prípade zmeny definície v nariadení Európskej únie</w:t>
      </w:r>
      <w:r w:rsidR="00A46BB7">
        <w:t xml:space="preserve"> (</w:t>
      </w:r>
      <w:r w:rsidRPr="00625BBA">
        <w:t>ktoré sa v minulých rokoch po prijatí chemického zákona udiali</w:t>
      </w:r>
      <w:r w:rsidR="00A46BB7">
        <w:t>)</w:t>
      </w:r>
      <w:r w:rsidR="006F79D4">
        <w:t xml:space="preserve"> </w:t>
      </w:r>
      <w:r w:rsidRPr="00625BBA">
        <w:t>tak nebude musieť byť novelizovaný aj tento zákon.</w:t>
      </w:r>
    </w:p>
    <w:p w14:paraId="11909E54" w14:textId="1563F71B" w:rsidR="00625BBA" w:rsidRPr="00625BBA" w:rsidRDefault="00625BBA" w:rsidP="00625BBA">
      <w:pPr>
        <w:spacing w:line="276" w:lineRule="auto"/>
        <w:jc w:val="both"/>
      </w:pPr>
      <w:r w:rsidRPr="00625BBA">
        <w:t xml:space="preserve">Navrhuje sa vloženie nového odkazu 13a a poznámky pod čiarou k nemu s uvedením </w:t>
      </w:r>
      <w:r w:rsidR="006F79D4">
        <w:t xml:space="preserve">citácie </w:t>
      </w:r>
      <w:r w:rsidRPr="00625BBA">
        <w:t xml:space="preserve">ustanovenia </w:t>
      </w:r>
      <w:r w:rsidRPr="004C43D1">
        <w:t>tzv. REACH obsahujúceho</w:t>
      </w:r>
      <w:r w:rsidRPr="00625BBA">
        <w:t xml:space="preserve"> definíciu tohto pojmu.</w:t>
      </w:r>
    </w:p>
    <w:p w14:paraId="079AE266" w14:textId="77777777" w:rsidR="00625BBA" w:rsidRDefault="00625BBA" w:rsidP="00625BBA">
      <w:pPr>
        <w:spacing w:line="276" w:lineRule="auto"/>
        <w:jc w:val="both"/>
        <w:rPr>
          <w:b/>
          <w:bCs/>
        </w:rPr>
      </w:pPr>
    </w:p>
    <w:p w14:paraId="7416BD2D" w14:textId="4874640A" w:rsidR="00625BBA" w:rsidRPr="00625BBA" w:rsidRDefault="00625BBA" w:rsidP="00AA31F9">
      <w:pPr>
        <w:spacing w:after="120" w:line="276" w:lineRule="auto"/>
        <w:jc w:val="both"/>
        <w:rPr>
          <w:b/>
          <w:bCs/>
        </w:rPr>
      </w:pPr>
      <w:r w:rsidRPr="00625BBA">
        <w:rPr>
          <w:b/>
          <w:bCs/>
        </w:rPr>
        <w:t xml:space="preserve">K bodu </w:t>
      </w:r>
      <w:r w:rsidR="00216E61">
        <w:rPr>
          <w:b/>
          <w:bCs/>
        </w:rPr>
        <w:t>7</w:t>
      </w:r>
    </w:p>
    <w:p w14:paraId="27645E30" w14:textId="33B26AB5" w:rsidR="00625BBA" w:rsidRPr="00625BBA" w:rsidRDefault="00625BBA" w:rsidP="00625BBA">
      <w:pPr>
        <w:spacing w:line="276" w:lineRule="auto"/>
        <w:jc w:val="both"/>
      </w:pPr>
      <w:r w:rsidRPr="00625BBA">
        <w:t>Navrhuje sa vypustenie pojmu „no-</w:t>
      </w:r>
      <w:proofErr w:type="spellStart"/>
      <w:r w:rsidRPr="00625BBA">
        <w:t>longer</w:t>
      </w:r>
      <w:proofErr w:type="spellEnd"/>
      <w:r w:rsidRPr="00625BBA">
        <w:t xml:space="preserve"> </w:t>
      </w:r>
      <w:proofErr w:type="spellStart"/>
      <w:r w:rsidRPr="00625BBA">
        <w:t>polymer</w:t>
      </w:r>
      <w:proofErr w:type="spellEnd"/>
      <w:r w:rsidRPr="00625BBA">
        <w:t>“, pretože tento pojem sa v zákone ďalej nepoužíva. V nadväznosti na vypustenie pojmu sa odkaz k nemu viažuci mení podľa príslušnej právnej úpravy v nariadení (ES) č. 1907/2006</w:t>
      </w:r>
      <w:r w:rsidR="00B41245">
        <w:t xml:space="preserve"> v platnom znení</w:t>
      </w:r>
      <w:r w:rsidRPr="00625BBA">
        <w:t xml:space="preserve"> na odkaz k pojmu „výrobok“.</w:t>
      </w:r>
    </w:p>
    <w:p w14:paraId="090CC965" w14:textId="77777777" w:rsidR="00625BBA" w:rsidRDefault="00625BBA" w:rsidP="00625BBA">
      <w:pPr>
        <w:spacing w:line="276" w:lineRule="auto"/>
        <w:jc w:val="both"/>
        <w:rPr>
          <w:b/>
          <w:bCs/>
        </w:rPr>
      </w:pPr>
    </w:p>
    <w:p w14:paraId="507E0E36" w14:textId="00B2EAC0" w:rsidR="00625BBA" w:rsidRPr="00625BBA" w:rsidRDefault="00625BBA" w:rsidP="00AA31F9">
      <w:pPr>
        <w:spacing w:after="120" w:line="276" w:lineRule="auto"/>
        <w:jc w:val="both"/>
        <w:rPr>
          <w:b/>
          <w:bCs/>
        </w:rPr>
      </w:pPr>
      <w:r w:rsidRPr="00625BBA">
        <w:rPr>
          <w:b/>
          <w:bCs/>
        </w:rPr>
        <w:t xml:space="preserve">K bodu </w:t>
      </w:r>
      <w:r w:rsidR="00216E61">
        <w:rPr>
          <w:b/>
          <w:bCs/>
        </w:rPr>
        <w:t>8</w:t>
      </w:r>
    </w:p>
    <w:p w14:paraId="0EF3FEFE" w14:textId="7F3830FD" w:rsidR="00625BBA" w:rsidRPr="00625BBA" w:rsidRDefault="00625BBA" w:rsidP="00625BBA">
      <w:pPr>
        <w:spacing w:line="276" w:lineRule="auto"/>
        <w:jc w:val="both"/>
      </w:pPr>
      <w:r w:rsidRPr="00625BBA">
        <w:t>Definícia pojmu „výrobok“ sa upravuje na základe zvoleného vhodnejšieho prístupu odkazovať na nariadenia Európskej únie implementované v tomto zákone</w:t>
      </w:r>
      <w:r w:rsidR="00A46BB7">
        <w:t>,</w:t>
      </w:r>
      <w:r w:rsidRPr="00625BBA">
        <w:t xml:space="preserve"> v porovnaní s uvádzaním doslovných definícií podľa týchto nariadení. V prípade zmeny definície v nariadení Európskej únie (ktoré sa v minulých rokoch po prijatí chemického zákona udiali) tak nebude musieť byť novelizovaný aj tento zákon.</w:t>
      </w:r>
    </w:p>
    <w:p w14:paraId="04CF8E81" w14:textId="77777777" w:rsidR="00625BBA" w:rsidRDefault="00625BBA" w:rsidP="007F1367">
      <w:pPr>
        <w:spacing w:line="276" w:lineRule="auto"/>
        <w:jc w:val="both"/>
        <w:rPr>
          <w:b/>
          <w:bCs/>
        </w:rPr>
      </w:pPr>
    </w:p>
    <w:p w14:paraId="738461F8" w14:textId="6AE4753B" w:rsidR="00625BBA" w:rsidRPr="00625BBA" w:rsidRDefault="00625BBA" w:rsidP="00AA31F9">
      <w:pPr>
        <w:spacing w:after="120" w:line="276" w:lineRule="auto"/>
        <w:jc w:val="both"/>
        <w:rPr>
          <w:b/>
          <w:bCs/>
        </w:rPr>
      </w:pPr>
      <w:r w:rsidRPr="00625BBA">
        <w:rPr>
          <w:b/>
          <w:bCs/>
        </w:rPr>
        <w:t>K bodu 1</w:t>
      </w:r>
      <w:r w:rsidR="00216E61">
        <w:rPr>
          <w:b/>
          <w:bCs/>
        </w:rPr>
        <w:t>0</w:t>
      </w:r>
    </w:p>
    <w:p w14:paraId="38AF6786" w14:textId="03A0A5CA" w:rsidR="00625BBA" w:rsidRPr="00625BBA" w:rsidRDefault="00625BBA" w:rsidP="00D64DF5">
      <w:pPr>
        <w:spacing w:after="120"/>
        <w:jc w:val="both"/>
      </w:pPr>
      <w:r w:rsidRPr="00625BBA">
        <w:t xml:space="preserve">Upravuje sa definícia pojmu „inšpekcia testovacieho zariadenia“ (pôvodne „pracoviska“) podľa </w:t>
      </w:r>
      <w:r w:rsidR="00D64DF5" w:rsidRPr="00586075">
        <w:rPr>
          <w:color w:val="000000"/>
        </w:rPr>
        <w:t xml:space="preserve">Smernica Európskeho parlamentu a Rady 2004/9/ES z 11. februára 2004 o inšpekcii a overovaní správnej laboratórnej praxe (Mimoriadne vydanie Ú. v. EÚ, kap. 15/zv. 8) </w:t>
      </w:r>
      <w:r w:rsidR="00D64DF5" w:rsidRPr="00824272">
        <w:rPr>
          <w:color w:val="000000"/>
          <w:lang w:eastAsia="cs-CZ"/>
        </w:rPr>
        <w:t>v platnom znení</w:t>
      </w:r>
      <w:r w:rsidR="00D64DF5" w:rsidRPr="00824272">
        <w:t xml:space="preserve"> </w:t>
      </w:r>
      <w:r w:rsidR="00D64DF5">
        <w:t xml:space="preserve">(ďalej len </w:t>
      </w:r>
      <w:r w:rsidR="007823A8">
        <w:t>„</w:t>
      </w:r>
      <w:r w:rsidR="00D64DF5">
        <w:t xml:space="preserve">smernica </w:t>
      </w:r>
      <w:r w:rsidR="007D4B2D">
        <w:t>(</w:t>
      </w:r>
      <w:r w:rsidR="00D64DF5">
        <w:t>ES</w:t>
      </w:r>
      <w:r w:rsidR="007D4B2D">
        <w:t>)</w:t>
      </w:r>
      <w:r w:rsidR="00D64DF5">
        <w:t xml:space="preserve"> 2004/9 v platnom znení</w:t>
      </w:r>
      <w:r w:rsidR="007823A8">
        <w:t>“</w:t>
      </w:r>
      <w:r w:rsidR="00D64DF5">
        <w:t xml:space="preserve">) </w:t>
      </w:r>
      <w:r w:rsidRPr="00625BBA">
        <w:t>(SLP), z dôvodov problémov aplikačnej praxe.</w:t>
      </w:r>
    </w:p>
    <w:p w14:paraId="2BBF0105" w14:textId="77777777" w:rsidR="00625BBA" w:rsidRDefault="00625BBA" w:rsidP="007F1367">
      <w:pPr>
        <w:spacing w:line="276" w:lineRule="auto"/>
        <w:jc w:val="both"/>
        <w:rPr>
          <w:b/>
          <w:bCs/>
        </w:rPr>
      </w:pPr>
    </w:p>
    <w:p w14:paraId="3C23400B" w14:textId="59723C17" w:rsidR="00625BBA" w:rsidRPr="00625BBA" w:rsidRDefault="00625BBA" w:rsidP="00AA31F9">
      <w:pPr>
        <w:spacing w:after="120" w:line="276" w:lineRule="auto"/>
        <w:jc w:val="both"/>
        <w:rPr>
          <w:b/>
          <w:bCs/>
        </w:rPr>
      </w:pPr>
      <w:r w:rsidRPr="00625BBA">
        <w:rPr>
          <w:b/>
          <w:bCs/>
        </w:rPr>
        <w:t>K bodu 1</w:t>
      </w:r>
      <w:r w:rsidR="00216E61">
        <w:rPr>
          <w:b/>
          <w:bCs/>
        </w:rPr>
        <w:t>1</w:t>
      </w:r>
    </w:p>
    <w:p w14:paraId="2F5CC0F6" w14:textId="6661A78D" w:rsidR="00625BBA" w:rsidRDefault="00625BBA" w:rsidP="007D4B2D">
      <w:pPr>
        <w:spacing w:after="120"/>
        <w:jc w:val="both"/>
      </w:pPr>
      <w:r w:rsidRPr="00625BBA">
        <w:t xml:space="preserve">Upravuje sa definícia pojmu „audit štúdií“ (pôvodne „audit neklinickej štúdie“) </w:t>
      </w:r>
      <w:r w:rsidRPr="007D4B2D">
        <w:t xml:space="preserve">podľa </w:t>
      </w:r>
      <w:r w:rsidR="007D4B2D">
        <w:t xml:space="preserve">smernice (ES) 2004/9 v platnom znení </w:t>
      </w:r>
      <w:r w:rsidRPr="00625BBA">
        <w:t>z dôvodov problémov aplikačnej praxe.</w:t>
      </w:r>
    </w:p>
    <w:p w14:paraId="6CEE80D4" w14:textId="77777777" w:rsidR="00EE317D" w:rsidRPr="00625BBA" w:rsidRDefault="00EE317D" w:rsidP="007F1367">
      <w:pPr>
        <w:spacing w:line="276" w:lineRule="auto"/>
        <w:jc w:val="both"/>
      </w:pPr>
    </w:p>
    <w:p w14:paraId="1463647A" w14:textId="0E7813B4" w:rsidR="00625BBA" w:rsidRPr="00625BBA" w:rsidRDefault="00625BBA" w:rsidP="00AA31F9">
      <w:pPr>
        <w:spacing w:after="120" w:line="276" w:lineRule="auto"/>
        <w:jc w:val="both"/>
        <w:rPr>
          <w:b/>
          <w:bCs/>
        </w:rPr>
      </w:pPr>
      <w:r w:rsidRPr="00625BBA">
        <w:rPr>
          <w:b/>
          <w:bCs/>
        </w:rPr>
        <w:t>K bodu 1</w:t>
      </w:r>
      <w:r w:rsidR="00216E61">
        <w:rPr>
          <w:b/>
          <w:bCs/>
        </w:rPr>
        <w:t>2</w:t>
      </w:r>
      <w:r w:rsidRPr="00625BBA">
        <w:rPr>
          <w:b/>
          <w:bCs/>
        </w:rPr>
        <w:t xml:space="preserve"> </w:t>
      </w:r>
    </w:p>
    <w:p w14:paraId="44125E42" w14:textId="03EA8A3C" w:rsidR="00625BBA" w:rsidRPr="00625BBA" w:rsidRDefault="00625BBA" w:rsidP="007F1367">
      <w:pPr>
        <w:spacing w:line="276" w:lineRule="auto"/>
        <w:jc w:val="both"/>
      </w:pPr>
      <w:r w:rsidRPr="00625BBA">
        <w:lastRenderedPageBreak/>
        <w:t>Návrh reflektuje skutočnosť, že nariadenie (ES) č. 1272/2008</w:t>
      </w:r>
      <w:r w:rsidR="007D4B2D">
        <w:t xml:space="preserve"> v platnom znení</w:t>
      </w:r>
      <w:r w:rsidRPr="00625BBA">
        <w:t xml:space="preserve">, po revízii prostredníctvom nariadenia (EÚ) 2024/2865, už rozlišuje fyzické a digitálne označovanie (tzv. etikety), preto sa aj v § 3 ods. 3 a § 4 ods. 3 dopĺňa toto rozlíšenie. Zároveň sa dopĺňa odkaz 16a a poznámka pod čiarou k tomuto odkazu uvádzajúca ustanovenie obsahujúce pojem „fyzické a digitálne označovanie“. </w:t>
      </w:r>
    </w:p>
    <w:p w14:paraId="34B6F55D" w14:textId="77777777" w:rsidR="00625BBA" w:rsidRDefault="00625BBA" w:rsidP="007F1367">
      <w:pPr>
        <w:spacing w:line="276" w:lineRule="auto"/>
        <w:jc w:val="both"/>
        <w:rPr>
          <w:b/>
          <w:bCs/>
        </w:rPr>
      </w:pPr>
    </w:p>
    <w:p w14:paraId="0FB6DDD3" w14:textId="2F988F99" w:rsidR="00625BBA" w:rsidRPr="00625BBA" w:rsidRDefault="00625BBA" w:rsidP="00AA31F9">
      <w:pPr>
        <w:spacing w:after="120" w:line="276" w:lineRule="auto"/>
        <w:jc w:val="both"/>
        <w:rPr>
          <w:b/>
          <w:bCs/>
        </w:rPr>
      </w:pPr>
      <w:r w:rsidRPr="00625BBA">
        <w:rPr>
          <w:b/>
          <w:bCs/>
        </w:rPr>
        <w:t>K bodu 1</w:t>
      </w:r>
      <w:r w:rsidR="00216E61">
        <w:rPr>
          <w:b/>
          <w:bCs/>
        </w:rPr>
        <w:t>3</w:t>
      </w:r>
    </w:p>
    <w:p w14:paraId="7568A4F1" w14:textId="2402193D" w:rsidR="00625BBA" w:rsidRPr="00625BBA" w:rsidRDefault="00625BBA" w:rsidP="007F1367">
      <w:pPr>
        <w:spacing w:line="276" w:lineRule="auto"/>
        <w:jc w:val="both"/>
      </w:pPr>
      <w:r w:rsidRPr="00625BBA">
        <w:t>Výrobca je podľa nariadenia (ES) č. 1272/2008</w:t>
      </w:r>
      <w:r w:rsidR="007D4B2D">
        <w:t xml:space="preserve"> v platnom znení v</w:t>
      </w:r>
      <w:r w:rsidRPr="00625BBA">
        <w:t>ýrobcom látky, pričom § 4 upravuje klasifikáciu, označovanie a balenie zmesí, nie látok (to upravuje § 3). Výrobca zmesi je následným užívateľom. Preto sa ruší povinnosť výrobcov klasifikovať, označovať a baliť zmesi a ponecháva sa len pre dovozcov a následných užívateľov. Zároveň sa z dôvodu zrozumiteľnosti a určitosti dopĺňa, že medzi následných užívateľov patria aj výrobcovia zmesi, keďže z aplikačnej praxe vyplýva, že to dotknutým subjektom na trhu nie je vždy zrejmé.</w:t>
      </w:r>
    </w:p>
    <w:p w14:paraId="3A37BDAA" w14:textId="77777777" w:rsidR="00563CE1" w:rsidRDefault="00563CE1" w:rsidP="007F1367">
      <w:pPr>
        <w:spacing w:line="276" w:lineRule="auto"/>
        <w:jc w:val="both"/>
        <w:rPr>
          <w:b/>
          <w:bCs/>
        </w:rPr>
      </w:pPr>
    </w:p>
    <w:p w14:paraId="4A8CA1B8" w14:textId="0AC9A4B2" w:rsidR="00625BBA" w:rsidRPr="00625BBA" w:rsidRDefault="00625BBA" w:rsidP="00AA31F9">
      <w:pPr>
        <w:spacing w:after="120"/>
        <w:jc w:val="both"/>
        <w:rPr>
          <w:b/>
          <w:bCs/>
        </w:rPr>
      </w:pPr>
      <w:r w:rsidRPr="00625BBA">
        <w:rPr>
          <w:b/>
          <w:bCs/>
        </w:rPr>
        <w:t>K bodu 1</w:t>
      </w:r>
      <w:r w:rsidR="00216E61">
        <w:rPr>
          <w:b/>
          <w:bCs/>
        </w:rPr>
        <w:t>4</w:t>
      </w:r>
    </w:p>
    <w:p w14:paraId="1024E68A" w14:textId="229A463C" w:rsidR="00625BBA" w:rsidRPr="00625BBA" w:rsidRDefault="00625BBA" w:rsidP="007F1367">
      <w:pPr>
        <w:spacing w:line="276" w:lineRule="auto"/>
        <w:jc w:val="both"/>
      </w:pPr>
      <w:r w:rsidRPr="00625BBA">
        <w:t xml:space="preserve">Úprava ustanovenia vyplýva z dôvodu potreby jeho zosúladenia s čl. 31 ods. 5 nariadenia (ES) </w:t>
      </w:r>
      <w:r w:rsidRPr="00625BBA">
        <w:br/>
        <w:t>č. 1907/2006</w:t>
      </w:r>
      <w:r w:rsidR="00A02A4A">
        <w:t xml:space="preserve"> v platnom znení</w:t>
      </w:r>
      <w:r w:rsidRPr="00625BBA">
        <w:t xml:space="preserve">, berúc do úvahy aj oddiel 1.3. prílohy II, podľa ktorého dodávateľom karty bezpečnostných údajov môže byť výrobca, dovozca, výhradný zástupca, následný užívateľ alebo distribútor. Príprava slovenskej jazykovej verzie nie je výlučnou povinnosťou dodávateľa látky alebo zmesi, ako vyplýva z aktuálneho znenia zákona, ale povinnosťou dodávateľa karty bezpečnostných údajov. </w:t>
      </w:r>
    </w:p>
    <w:p w14:paraId="0255E61C" w14:textId="77777777" w:rsidR="00625BBA" w:rsidRDefault="00625BBA" w:rsidP="007F1367">
      <w:pPr>
        <w:spacing w:line="276" w:lineRule="auto"/>
        <w:jc w:val="both"/>
        <w:rPr>
          <w:b/>
          <w:bCs/>
        </w:rPr>
      </w:pPr>
    </w:p>
    <w:p w14:paraId="72ACF5AD" w14:textId="74BFF868" w:rsidR="00625BBA" w:rsidRPr="00625BBA" w:rsidRDefault="00625BBA" w:rsidP="00AA31F9">
      <w:pPr>
        <w:spacing w:after="120" w:line="276" w:lineRule="auto"/>
        <w:jc w:val="both"/>
        <w:rPr>
          <w:b/>
          <w:bCs/>
        </w:rPr>
      </w:pPr>
      <w:r w:rsidRPr="00625BBA">
        <w:rPr>
          <w:b/>
          <w:bCs/>
        </w:rPr>
        <w:t>K bodu 1</w:t>
      </w:r>
      <w:r w:rsidR="00216E61">
        <w:rPr>
          <w:b/>
          <w:bCs/>
        </w:rPr>
        <w:t>5</w:t>
      </w:r>
    </w:p>
    <w:p w14:paraId="7059DADE" w14:textId="4532A594" w:rsidR="00625BBA" w:rsidRPr="00625BBA" w:rsidRDefault="00625BBA" w:rsidP="007F1367">
      <w:pPr>
        <w:spacing w:line="276" w:lineRule="auto"/>
        <w:jc w:val="both"/>
      </w:pPr>
      <w:r w:rsidRPr="00625BBA">
        <w:t xml:space="preserve">Navrhovaná zmena súvisí so znením ustanovenia čl. 31 ods. 9 nariadenia (ES) č. 1907/2006 </w:t>
      </w:r>
      <w:r w:rsidR="00A02A4A">
        <w:t>v platnom znení</w:t>
      </w:r>
      <w:r w:rsidRPr="00625BBA">
        <w:t>, ktoré nestanovuje lehotu piatich pracovných dní na poskytnutie revidovanej podoby karty bezpečnostných údajov po aktualizácii.</w:t>
      </w:r>
    </w:p>
    <w:p w14:paraId="170D1121" w14:textId="77777777" w:rsidR="00625BBA" w:rsidRDefault="00625BBA" w:rsidP="007F1367">
      <w:pPr>
        <w:spacing w:line="276" w:lineRule="auto"/>
        <w:jc w:val="both"/>
        <w:rPr>
          <w:b/>
          <w:bCs/>
        </w:rPr>
      </w:pPr>
    </w:p>
    <w:p w14:paraId="3C991FB5" w14:textId="03A9B362" w:rsidR="00625BBA" w:rsidRPr="00625BBA" w:rsidRDefault="00625BBA" w:rsidP="00AA31F9">
      <w:pPr>
        <w:spacing w:after="120" w:line="276" w:lineRule="auto"/>
        <w:jc w:val="both"/>
        <w:rPr>
          <w:b/>
          <w:bCs/>
        </w:rPr>
      </w:pPr>
      <w:r w:rsidRPr="00625BBA">
        <w:rPr>
          <w:b/>
          <w:bCs/>
        </w:rPr>
        <w:t xml:space="preserve">K bodu </w:t>
      </w:r>
      <w:r w:rsidR="00C32F98">
        <w:rPr>
          <w:b/>
          <w:bCs/>
        </w:rPr>
        <w:t>1</w:t>
      </w:r>
      <w:r w:rsidR="00216E61">
        <w:rPr>
          <w:b/>
          <w:bCs/>
        </w:rPr>
        <w:t>7</w:t>
      </w:r>
    </w:p>
    <w:p w14:paraId="59623DF1" w14:textId="77777777" w:rsidR="00625BBA" w:rsidRPr="00625BBA" w:rsidRDefault="00625BBA" w:rsidP="007F1367">
      <w:pPr>
        <w:spacing w:line="276" w:lineRule="auto"/>
        <w:jc w:val="both"/>
      </w:pPr>
      <w:r w:rsidRPr="00625BBA">
        <w:t>Navrhuje sa vypustenie odsekov obsahujúcich splnomocňovacie ustanovenia pre Ministerstvo hospodárstva Slovenskej republiky na vydanie výnosov. Všetky tri výnosy boli po prijatá zákona vydané, z toho jeden (o ustanovení Európskeho zoznamu existujúcich komerčných chemických látok) už bol zrušený. Ostatné dva (o vydaní zoznamu no-</w:t>
      </w:r>
      <w:proofErr w:type="spellStart"/>
      <w:r w:rsidRPr="00625BBA">
        <w:t>longer</w:t>
      </w:r>
      <w:proofErr w:type="spellEnd"/>
      <w:r w:rsidRPr="00625BBA">
        <w:t xml:space="preserve"> </w:t>
      </w:r>
      <w:proofErr w:type="spellStart"/>
      <w:r w:rsidRPr="00625BBA">
        <w:t>polymers</w:t>
      </w:r>
      <w:proofErr w:type="spellEnd"/>
      <w:r w:rsidRPr="00625BBA">
        <w:t>, ktorým bolo priradené číslo Európskeho spoločenstva a o ustanovení podrobností o všeobecných požiadavkách na klasifikáciu, označovanie a balenie nebezpečných látok a zmesí) sú obsolentné a už nie sú v súlade s príslušnými nariadeniami Európskej únie. Vzhľadom na dôvod zakotvenia splnomocňovacích ustanovení v čase prijatia zákona a s ohľadom na ďalší vývoj a znenia príslušných ustanovení nariadení Európskej únie už nie je potreba ich zachovania v zákone.</w:t>
      </w:r>
    </w:p>
    <w:p w14:paraId="7DF18418" w14:textId="77777777" w:rsidR="00625BBA" w:rsidRDefault="00625BBA" w:rsidP="00625BBA">
      <w:pPr>
        <w:jc w:val="both"/>
        <w:rPr>
          <w:b/>
          <w:bCs/>
        </w:rPr>
      </w:pPr>
    </w:p>
    <w:p w14:paraId="28EF2291" w14:textId="3A55DBBB" w:rsidR="00625BBA" w:rsidRPr="00625BBA" w:rsidRDefault="00625BBA" w:rsidP="00AA31F9">
      <w:pPr>
        <w:spacing w:after="120"/>
        <w:jc w:val="both"/>
        <w:rPr>
          <w:b/>
          <w:bCs/>
        </w:rPr>
      </w:pPr>
      <w:r w:rsidRPr="00625BBA">
        <w:rPr>
          <w:b/>
          <w:bCs/>
        </w:rPr>
        <w:t xml:space="preserve">K bodu </w:t>
      </w:r>
      <w:r w:rsidR="00216E61">
        <w:rPr>
          <w:b/>
          <w:bCs/>
        </w:rPr>
        <w:t>18</w:t>
      </w:r>
    </w:p>
    <w:p w14:paraId="790DCA3F" w14:textId="232AF0DE" w:rsidR="00625BBA" w:rsidRPr="00625BBA" w:rsidRDefault="00625BBA" w:rsidP="007F1367">
      <w:pPr>
        <w:spacing w:line="276" w:lineRule="auto"/>
        <w:jc w:val="both"/>
      </w:pPr>
      <w:r w:rsidRPr="00625BBA">
        <w:t xml:space="preserve">Navrhované doplnenie nadpisu precizuje z hľadiska terminológie </w:t>
      </w:r>
      <w:r w:rsidR="00884427">
        <w:t>legislatívy EÚ týkajúcej sa detergentov a povrchovo aktívnych látok v detergentoch</w:t>
      </w:r>
      <w:r w:rsidRPr="00625BBA">
        <w:t xml:space="preserve">, že predmetom úpravy nie je len uvedenie na trh ako prvé sprístupnenie, ale aj ďalšie sprístupňovania na trhu, ktoré znamenajú </w:t>
      </w:r>
      <w:r w:rsidRPr="00625BBA">
        <w:lastRenderedPageBreak/>
        <w:t>akékoľvek dodanie na distribúciu, spotrebu alebo použitie na trhu Európskej únie v rámci obchodnej činnosti.</w:t>
      </w:r>
    </w:p>
    <w:p w14:paraId="15E733F2" w14:textId="77777777" w:rsidR="00625BBA" w:rsidRDefault="00625BBA" w:rsidP="007F1367">
      <w:pPr>
        <w:spacing w:line="276" w:lineRule="auto"/>
        <w:jc w:val="both"/>
        <w:rPr>
          <w:b/>
          <w:bCs/>
        </w:rPr>
      </w:pPr>
    </w:p>
    <w:p w14:paraId="2114CE39" w14:textId="30BCBFCB" w:rsidR="00625BBA" w:rsidRPr="00625BBA" w:rsidRDefault="00625BBA" w:rsidP="00AA31F9">
      <w:pPr>
        <w:spacing w:after="120" w:line="276" w:lineRule="auto"/>
        <w:jc w:val="both"/>
        <w:rPr>
          <w:b/>
          <w:bCs/>
        </w:rPr>
      </w:pPr>
      <w:r w:rsidRPr="00625BBA">
        <w:rPr>
          <w:b/>
          <w:bCs/>
        </w:rPr>
        <w:t xml:space="preserve">K bodu </w:t>
      </w:r>
      <w:r w:rsidR="00216E61">
        <w:rPr>
          <w:b/>
          <w:bCs/>
        </w:rPr>
        <w:t>19</w:t>
      </w:r>
    </w:p>
    <w:p w14:paraId="31EAD635" w14:textId="3C62DB9F" w:rsidR="0051503D" w:rsidRDefault="00625BBA" w:rsidP="00DD5A1C">
      <w:pPr>
        <w:spacing w:line="276" w:lineRule="auto"/>
        <w:jc w:val="both"/>
      </w:pPr>
      <w:r w:rsidRPr="00625BBA">
        <w:t xml:space="preserve">Navrhované doplnenie § 8 ods. 1 precizuje z hľadiska terminológie </w:t>
      </w:r>
      <w:r w:rsidR="00884427">
        <w:t>legislatívy EÚ týkajúcej sa detergentov a povrchovo aktívnych látok v detergentoch</w:t>
      </w:r>
      <w:r w:rsidRPr="00625BBA">
        <w:t>, že predmetom úpravy nie je len uvedenie na trh ako prvé sprístupnenie, ale aj ďalšie sprístupňovania na trhu, ktoré znamenajú akékoľvek dodanie na distribúciu, spotrebu alebo použitie na trhu Európskej únie v rámci obchodnej činnosti.</w:t>
      </w:r>
    </w:p>
    <w:p w14:paraId="32F05770" w14:textId="77777777" w:rsidR="00DD5A1C" w:rsidRPr="00DD5A1C" w:rsidRDefault="00DD5A1C" w:rsidP="00DD5A1C">
      <w:pPr>
        <w:spacing w:line="276" w:lineRule="auto"/>
        <w:jc w:val="both"/>
      </w:pPr>
    </w:p>
    <w:p w14:paraId="205421C8" w14:textId="5388607F" w:rsidR="00625BBA" w:rsidRPr="00625BBA" w:rsidRDefault="00625BBA" w:rsidP="00AA31F9">
      <w:pPr>
        <w:spacing w:after="120"/>
        <w:jc w:val="both"/>
        <w:rPr>
          <w:b/>
          <w:bCs/>
        </w:rPr>
      </w:pPr>
      <w:r w:rsidRPr="00625BBA">
        <w:rPr>
          <w:b/>
          <w:bCs/>
        </w:rPr>
        <w:t>K bodu 2</w:t>
      </w:r>
      <w:r w:rsidR="00216E61">
        <w:rPr>
          <w:b/>
          <w:bCs/>
        </w:rPr>
        <w:t>0</w:t>
      </w:r>
    </w:p>
    <w:p w14:paraId="56A0C9A6" w14:textId="14E2FFA2" w:rsidR="00625BBA" w:rsidRPr="00625BBA" w:rsidRDefault="00625BBA" w:rsidP="007F1367">
      <w:pPr>
        <w:spacing w:line="276" w:lineRule="auto"/>
        <w:jc w:val="both"/>
      </w:pPr>
      <w:r w:rsidRPr="00625BBA">
        <w:t xml:space="preserve">Subjektom povinnosti uvedenej v § 8 ods. 2 už nie sú iba výrobcovia, ale s poukazom na znenie </w:t>
      </w:r>
      <w:r w:rsidR="00775546" w:rsidRPr="003D5D42">
        <w:t>nariadenia Európskeho parlamentu a Rady (EÚ) 2026/405 z 11. februára 2026 o detergentoch a povrchovo aktívnych látkach a o zrušení nariadenia (ES) č. 648/2004 (Ú. v. EÚ L, 2026/405, 2. 3. 2026)</w:t>
      </w:r>
      <w:r w:rsidR="00775546" w:rsidRPr="00625BBA">
        <w:t xml:space="preserve"> </w:t>
      </w:r>
      <w:r w:rsidR="00884427" w:rsidRPr="00625BBA">
        <w:t>(ďalej len „nariadenie</w:t>
      </w:r>
      <w:r w:rsidR="00775546">
        <w:t xml:space="preserve"> </w:t>
      </w:r>
      <w:r w:rsidR="00775546" w:rsidRPr="00775546">
        <w:t>(EÚ) 2026/405</w:t>
      </w:r>
      <w:r w:rsidR="00884427" w:rsidRPr="00625BBA">
        <w:t>“)</w:t>
      </w:r>
      <w:r w:rsidRPr="00625BBA">
        <w:t xml:space="preserve"> je ním širší pojem „hospodárske subjekty“, ktorý zahŕňa okrem výrobcov aj splnomocnených zástupcov, dovozcov a distribútorov. Povinnosť označovať a baliť detergenty sa v súlade s novým nariadením </w:t>
      </w:r>
      <w:r w:rsidR="00AA31F9">
        <w:t xml:space="preserve">o detergentoch </w:t>
      </w:r>
      <w:r w:rsidRPr="00625BBA">
        <w:t>precizuje rozšírením povinnosti označovať a baliť aj povrchovo aktívne látky. Nové znenie poznámky pod čiarou k odkazu 22 uvádza ustanovenie nového nariadenia</w:t>
      </w:r>
      <w:r w:rsidR="00AA31F9">
        <w:t xml:space="preserve"> o detergentoch</w:t>
      </w:r>
      <w:r w:rsidRPr="00625BBA">
        <w:t xml:space="preserve">, ktoré definuje pojem „hospodársky subjekt“. Upravené znenie poznámky pod čiarou k odkazu 23 uvádza konkrétne ustanovenia nového nariadenia </w:t>
      </w:r>
      <w:r w:rsidR="00AA31F9">
        <w:t xml:space="preserve">o detergentoch </w:t>
      </w:r>
      <w:r w:rsidRPr="00625BBA">
        <w:t>k danej povinnosti hospodárskych subjektov.</w:t>
      </w:r>
    </w:p>
    <w:p w14:paraId="7164D6E5" w14:textId="62BA6FA9" w:rsidR="00625BBA" w:rsidRPr="00625BBA" w:rsidRDefault="00625BBA" w:rsidP="007F1367">
      <w:pPr>
        <w:spacing w:line="276" w:lineRule="auto"/>
        <w:jc w:val="both"/>
      </w:pPr>
      <w:r w:rsidRPr="00625BBA">
        <w:t xml:space="preserve">Je potrebná aj implementácia ustanovenia čl. 17 ods. 5 nového nariadenia </w:t>
      </w:r>
      <w:r w:rsidR="00AA31F9">
        <w:t xml:space="preserve">o detergentoch </w:t>
      </w:r>
      <w:r w:rsidRPr="00625BBA">
        <w:t>týkajúceho sa jazyku označovania, podľa ktorého má byť jazyk označovania ľahko zrozumiteľný koncovému používateľovi. Preto sa v návrhu zákona uvádza štátny jazyk, ktorý z hľadiska určitosti právnej úpravy ako jediný spĺňa podmienku ľahkej zrozumiteľnosti koncovým používateľom v Slovenskej republike.</w:t>
      </w:r>
    </w:p>
    <w:p w14:paraId="139923D5" w14:textId="77777777" w:rsidR="00625BBA" w:rsidRDefault="00625BBA" w:rsidP="00625BBA">
      <w:pPr>
        <w:jc w:val="both"/>
        <w:rPr>
          <w:b/>
          <w:bCs/>
        </w:rPr>
      </w:pPr>
    </w:p>
    <w:p w14:paraId="4494F71E" w14:textId="20E4A034" w:rsidR="00625BBA" w:rsidRPr="00625BBA" w:rsidRDefault="00625BBA" w:rsidP="00AA31F9">
      <w:pPr>
        <w:spacing w:after="120"/>
        <w:jc w:val="both"/>
        <w:rPr>
          <w:b/>
          <w:bCs/>
        </w:rPr>
      </w:pPr>
      <w:r w:rsidRPr="00625BBA">
        <w:rPr>
          <w:b/>
          <w:bCs/>
        </w:rPr>
        <w:t>K bodu 2</w:t>
      </w:r>
      <w:r w:rsidR="00216E61">
        <w:rPr>
          <w:b/>
          <w:bCs/>
        </w:rPr>
        <w:t>1</w:t>
      </w:r>
    </w:p>
    <w:p w14:paraId="21D91158" w14:textId="77777777" w:rsidR="00625BBA" w:rsidRPr="00625BBA" w:rsidRDefault="00625BBA" w:rsidP="007F1367">
      <w:pPr>
        <w:spacing w:line="276" w:lineRule="auto"/>
        <w:jc w:val="both"/>
      </w:pPr>
      <w:r w:rsidRPr="00625BBA">
        <w:t xml:space="preserve">Legislatívno-technická úprava v nadväznosti na zrušenie Centra pre chemické látky a prípravky od 1. januára 2014.  </w:t>
      </w:r>
    </w:p>
    <w:p w14:paraId="2BFB4C6D" w14:textId="77777777" w:rsidR="00625BBA" w:rsidRDefault="00625BBA" w:rsidP="007F1367">
      <w:pPr>
        <w:spacing w:line="276" w:lineRule="auto"/>
        <w:jc w:val="both"/>
        <w:rPr>
          <w:b/>
          <w:bCs/>
        </w:rPr>
      </w:pPr>
    </w:p>
    <w:p w14:paraId="1F7B0F79" w14:textId="7DE2BFEE" w:rsidR="00625BBA" w:rsidRPr="00625BBA" w:rsidRDefault="00625BBA" w:rsidP="00AA31F9">
      <w:pPr>
        <w:spacing w:after="120" w:line="276" w:lineRule="auto"/>
        <w:jc w:val="both"/>
        <w:rPr>
          <w:b/>
          <w:bCs/>
        </w:rPr>
      </w:pPr>
      <w:r w:rsidRPr="00625BBA">
        <w:rPr>
          <w:b/>
          <w:bCs/>
        </w:rPr>
        <w:t>K bodu 2</w:t>
      </w:r>
      <w:r w:rsidR="00216E61">
        <w:rPr>
          <w:b/>
          <w:bCs/>
        </w:rPr>
        <w:t>2</w:t>
      </w:r>
    </w:p>
    <w:p w14:paraId="302EE5EC" w14:textId="74A5E46A" w:rsidR="00132DE7" w:rsidRDefault="00625BBA" w:rsidP="00563CE1">
      <w:pPr>
        <w:spacing w:line="276" w:lineRule="auto"/>
        <w:jc w:val="both"/>
      </w:pPr>
      <w:r w:rsidRPr="00625BBA">
        <w:t xml:space="preserve">Navrhuje sa vypustiť ustanovenie, ktoré upravuje postup pri podaní žiadosti o udelenie výnimky z požiadavky na biologickú odbúrateľnosť podľa nariadenia (ES) č. 648/2004 </w:t>
      </w:r>
      <w:r w:rsidR="00775546">
        <w:t xml:space="preserve"> v platnom znení</w:t>
      </w:r>
      <w:r w:rsidRPr="00625BBA">
        <w:t xml:space="preserve">, keďže v novom nariadení </w:t>
      </w:r>
      <w:r w:rsidR="00AA31F9">
        <w:t xml:space="preserve">o detergentoch </w:t>
      </w:r>
      <w:r w:rsidRPr="00625BBA">
        <w:t>už tento proces upravený nebude.</w:t>
      </w:r>
    </w:p>
    <w:p w14:paraId="07B7EE24" w14:textId="77777777" w:rsidR="00563CE1" w:rsidRPr="00563CE1" w:rsidRDefault="00563CE1" w:rsidP="00563CE1">
      <w:pPr>
        <w:spacing w:line="276" w:lineRule="auto"/>
        <w:jc w:val="both"/>
      </w:pPr>
    </w:p>
    <w:p w14:paraId="4E133FCD" w14:textId="7EEA13E1" w:rsidR="00625BBA" w:rsidRPr="00625BBA" w:rsidRDefault="00625BBA" w:rsidP="00AA1886">
      <w:pPr>
        <w:spacing w:after="120" w:line="276" w:lineRule="auto"/>
        <w:jc w:val="both"/>
        <w:rPr>
          <w:b/>
          <w:bCs/>
        </w:rPr>
      </w:pPr>
      <w:r w:rsidRPr="00625BBA">
        <w:rPr>
          <w:b/>
          <w:bCs/>
        </w:rPr>
        <w:t>K bodu 2</w:t>
      </w:r>
      <w:r w:rsidR="00216E61">
        <w:rPr>
          <w:b/>
          <w:bCs/>
        </w:rPr>
        <w:t>3</w:t>
      </w:r>
    </w:p>
    <w:p w14:paraId="53838B31" w14:textId="15E9D981" w:rsidR="00625BBA" w:rsidRPr="00625BBA" w:rsidRDefault="00625BBA" w:rsidP="007F1367">
      <w:pPr>
        <w:spacing w:line="276" w:lineRule="auto"/>
        <w:jc w:val="both"/>
      </w:pPr>
      <w:r w:rsidRPr="00625BBA">
        <w:t>Pôvodný pojem „humánne lieky“ nepokrýva celý význam anglického pojmu „</w:t>
      </w:r>
      <w:proofErr w:type="spellStart"/>
      <w:r w:rsidRPr="00625BBA">
        <w:t>pharmaceutical</w:t>
      </w:r>
      <w:proofErr w:type="spellEnd"/>
      <w:r w:rsidRPr="00625BBA">
        <w:t xml:space="preserve"> </w:t>
      </w:r>
      <w:proofErr w:type="spellStart"/>
      <w:r w:rsidRPr="00625BBA">
        <w:t>products</w:t>
      </w:r>
      <w:proofErr w:type="spellEnd"/>
      <w:r w:rsidRPr="00625BBA">
        <w:t>“ uvedeného v </w:t>
      </w:r>
      <w:r w:rsidR="00863397">
        <w:t>s</w:t>
      </w:r>
      <w:r w:rsidR="00863397" w:rsidRPr="00863397">
        <w:t>mernic</w:t>
      </w:r>
      <w:r w:rsidR="002C1D51">
        <w:t>i</w:t>
      </w:r>
      <w:r w:rsidR="00863397" w:rsidRPr="00863397">
        <w:t xml:space="preserve"> Európskeho parlamentu a Rady 2004/10/ES z 11. februára 2004 o zosúlaďovaní zákonov, predpisov a správnych opatrení uplatňovaných na zásady správnej laboratórnej praxe a overovanie ich uplatňovania pri testoch chemických látok (Mimoriadne vydanie Ú. v. EÚ, kap. 15/zv. 8) </w:t>
      </w:r>
      <w:r w:rsidR="00863397">
        <w:t xml:space="preserve">v platnom znení (ďalej len „smernica </w:t>
      </w:r>
      <w:r w:rsidR="00863397" w:rsidRPr="00863397">
        <w:t>2004/10/ES</w:t>
      </w:r>
      <w:r w:rsidR="00863397">
        <w:t xml:space="preserve"> v platnom znení“)</w:t>
      </w:r>
      <w:r w:rsidR="00863397" w:rsidRPr="00863397">
        <w:t>.</w:t>
      </w:r>
      <w:r w:rsidRPr="00625BBA">
        <w:t xml:space="preserve"> Anglický pojem „</w:t>
      </w:r>
      <w:proofErr w:type="spellStart"/>
      <w:r w:rsidRPr="00625BBA">
        <w:t>pharmaceutical</w:t>
      </w:r>
      <w:proofErr w:type="spellEnd"/>
      <w:r w:rsidRPr="00625BBA">
        <w:t xml:space="preserve"> </w:t>
      </w:r>
      <w:proofErr w:type="spellStart"/>
      <w:r w:rsidRPr="00625BBA">
        <w:t>products</w:t>
      </w:r>
      <w:proofErr w:type="spellEnd"/>
      <w:r w:rsidRPr="00625BBA">
        <w:t xml:space="preserve">“ je v slovenskej jazykovej verzii </w:t>
      </w:r>
      <w:r w:rsidRPr="00625BBA">
        <w:lastRenderedPageBreak/>
        <w:t xml:space="preserve">preložený ako „farmaceutické výrobky“. K týmto výrobkom sa pridávajú aj </w:t>
      </w:r>
      <w:proofErr w:type="spellStart"/>
      <w:r w:rsidRPr="00625BBA">
        <w:t>nanomateriály</w:t>
      </w:r>
      <w:proofErr w:type="spellEnd"/>
      <w:r w:rsidRPr="00625BBA">
        <w:t xml:space="preserve"> a zdravotnícke pomôcky, o ktoré sa rozšírila predmetná právna úprava v Európskej únii</w:t>
      </w:r>
      <w:r w:rsidR="00132DE7">
        <w:t xml:space="preserve"> (n</w:t>
      </w:r>
      <w:r w:rsidR="00132DE7" w:rsidRPr="00132DE7">
        <w:t xml:space="preserve">ariadenie (EÚ) 2018/1881 </w:t>
      </w:r>
      <w:r w:rsidR="00132DE7">
        <w:t>a n</w:t>
      </w:r>
      <w:r w:rsidR="00132DE7" w:rsidRPr="00132DE7">
        <w:t>ariadenie (EÚ) 2017/745</w:t>
      </w:r>
      <w:r w:rsidR="00132DE7">
        <w:t>)</w:t>
      </w:r>
      <w:r w:rsidRPr="00625BBA">
        <w:t>. Pri slove „prípravky“ sa opravuje jeho gramatický tvar na „prípravkoch“.</w:t>
      </w:r>
    </w:p>
    <w:p w14:paraId="01AC6DEC" w14:textId="77777777" w:rsidR="00132DE7" w:rsidRPr="00132DE7" w:rsidRDefault="00132DE7" w:rsidP="007F1367">
      <w:pPr>
        <w:spacing w:line="276" w:lineRule="auto"/>
        <w:jc w:val="both"/>
        <w:rPr>
          <w:b/>
          <w:bCs/>
        </w:rPr>
      </w:pPr>
    </w:p>
    <w:p w14:paraId="54A880C2" w14:textId="750999D8" w:rsidR="00625BBA" w:rsidRPr="00625BBA" w:rsidRDefault="00625BBA" w:rsidP="00AA1886">
      <w:pPr>
        <w:spacing w:after="120" w:line="276" w:lineRule="auto"/>
        <w:jc w:val="both"/>
        <w:rPr>
          <w:b/>
          <w:bCs/>
        </w:rPr>
      </w:pPr>
      <w:r w:rsidRPr="00625BBA">
        <w:rPr>
          <w:b/>
          <w:bCs/>
        </w:rPr>
        <w:t>K bodu 2</w:t>
      </w:r>
      <w:r w:rsidR="00216E61">
        <w:rPr>
          <w:b/>
          <w:bCs/>
        </w:rPr>
        <w:t>4</w:t>
      </w:r>
    </w:p>
    <w:p w14:paraId="5F608172" w14:textId="09ACDCD6" w:rsidR="00625BBA" w:rsidRPr="00625BBA" w:rsidRDefault="00625BBA" w:rsidP="007F1367">
      <w:pPr>
        <w:spacing w:line="276" w:lineRule="auto"/>
        <w:jc w:val="both"/>
      </w:pPr>
      <w:r w:rsidRPr="00625BBA">
        <w:t>Pôvodný pojem „humánne lieky“ nepokrýva celý význam anglického pojmu „</w:t>
      </w:r>
      <w:proofErr w:type="spellStart"/>
      <w:r w:rsidRPr="00625BBA">
        <w:t>pharmaceutical</w:t>
      </w:r>
      <w:proofErr w:type="spellEnd"/>
      <w:r w:rsidRPr="00625BBA">
        <w:t xml:space="preserve"> </w:t>
      </w:r>
      <w:proofErr w:type="spellStart"/>
      <w:r w:rsidRPr="00625BBA">
        <w:t>products</w:t>
      </w:r>
      <w:proofErr w:type="spellEnd"/>
      <w:r w:rsidRPr="00625BBA">
        <w:t>“ uvedeného v </w:t>
      </w:r>
      <w:r w:rsidR="00DA0CD7">
        <w:t xml:space="preserve">smernici </w:t>
      </w:r>
      <w:r w:rsidR="00DA0CD7" w:rsidRPr="00863397">
        <w:t>2004/10/ES</w:t>
      </w:r>
      <w:r w:rsidR="00DA0CD7">
        <w:t xml:space="preserve"> v platnom znení</w:t>
      </w:r>
      <w:r w:rsidRPr="00625BBA">
        <w:t>. Anglický pojem „</w:t>
      </w:r>
      <w:proofErr w:type="spellStart"/>
      <w:r w:rsidRPr="00625BBA">
        <w:t>pharmaceutical</w:t>
      </w:r>
      <w:proofErr w:type="spellEnd"/>
      <w:r w:rsidRPr="00625BBA">
        <w:t xml:space="preserve"> </w:t>
      </w:r>
      <w:proofErr w:type="spellStart"/>
      <w:r w:rsidRPr="00625BBA">
        <w:t>products</w:t>
      </w:r>
      <w:proofErr w:type="spellEnd"/>
      <w:r w:rsidRPr="00625BBA">
        <w:t xml:space="preserve">“ je v slovenskej jazykovej verzii preložený ako „farmaceutické výrobky“. K týmto výrobkom sa pridávajú aj </w:t>
      </w:r>
      <w:proofErr w:type="spellStart"/>
      <w:r w:rsidRPr="00625BBA">
        <w:t>nanomateriály</w:t>
      </w:r>
      <w:proofErr w:type="spellEnd"/>
      <w:r w:rsidRPr="00625BBA">
        <w:t xml:space="preserve"> a zdravotnícke pomôcky, o ktoré sa rozšírila predmetná právna úprava v Európskej únii</w:t>
      </w:r>
      <w:r w:rsidR="006632C5">
        <w:t xml:space="preserve"> (n</w:t>
      </w:r>
      <w:r w:rsidR="006632C5" w:rsidRPr="00132DE7">
        <w:t xml:space="preserve">ariadenie (EÚ) 2018/1881 </w:t>
      </w:r>
      <w:r w:rsidR="006632C5">
        <w:t>a n</w:t>
      </w:r>
      <w:r w:rsidR="006632C5" w:rsidRPr="00132DE7">
        <w:t>ariadenie (EÚ) 2017/745</w:t>
      </w:r>
      <w:r w:rsidR="006632C5">
        <w:t>)</w:t>
      </w:r>
      <w:r w:rsidRPr="00625BBA">
        <w:t xml:space="preserve">. </w:t>
      </w:r>
    </w:p>
    <w:p w14:paraId="39F895F8" w14:textId="77777777" w:rsidR="00934EE7" w:rsidRDefault="00934EE7" w:rsidP="00AA1886">
      <w:pPr>
        <w:spacing w:after="120" w:line="276" w:lineRule="auto"/>
        <w:jc w:val="both"/>
        <w:rPr>
          <w:b/>
          <w:bCs/>
        </w:rPr>
      </w:pPr>
    </w:p>
    <w:p w14:paraId="1452CCA1" w14:textId="2BCB86A1" w:rsidR="00625BBA" w:rsidRPr="00625BBA" w:rsidRDefault="00625BBA" w:rsidP="00AA1886">
      <w:pPr>
        <w:spacing w:after="120" w:line="276" w:lineRule="auto"/>
        <w:jc w:val="both"/>
        <w:rPr>
          <w:b/>
          <w:bCs/>
        </w:rPr>
      </w:pPr>
      <w:r w:rsidRPr="00625BBA">
        <w:rPr>
          <w:b/>
          <w:bCs/>
        </w:rPr>
        <w:t>K bodu 2</w:t>
      </w:r>
      <w:r w:rsidR="00216E61">
        <w:rPr>
          <w:b/>
          <w:bCs/>
        </w:rPr>
        <w:t>5</w:t>
      </w:r>
    </w:p>
    <w:p w14:paraId="47810AA3" w14:textId="77777777" w:rsidR="00625BBA" w:rsidRPr="00625BBA" w:rsidRDefault="00625BBA" w:rsidP="007F1367">
      <w:pPr>
        <w:spacing w:line="276" w:lineRule="auto"/>
        <w:jc w:val="both"/>
      </w:pPr>
      <w:r w:rsidRPr="00625BBA">
        <w:t>Navrhuje sa zaviesť legislatívna skratka pre Európsku komisiu na tomto mieste z dôvodu navrhovaného vypustenia ustanovenia § 8 ods. 3, v ktorom sa pôvodne nachádzala a takisto z dôvodu, že ide o prvý nasledujúci výskyt pojmu v znení zákona.</w:t>
      </w:r>
    </w:p>
    <w:p w14:paraId="3C81FA5D" w14:textId="7F345DED" w:rsidR="00625BBA" w:rsidRPr="00625BBA" w:rsidRDefault="00625BBA" w:rsidP="00625BBA">
      <w:pPr>
        <w:jc w:val="both"/>
      </w:pPr>
      <w:r w:rsidRPr="00625BBA">
        <w:t>Toto ustanovenie nadobúda účinnosť až po vypustení § 8 ods. 3 (</w:t>
      </w:r>
      <w:r w:rsidRPr="0077171C">
        <w:t>bod 2</w:t>
      </w:r>
      <w:r w:rsidR="001D0C0B" w:rsidRPr="0077171C">
        <w:t>2</w:t>
      </w:r>
      <w:r w:rsidRPr="0077171C">
        <w:t>).</w:t>
      </w:r>
    </w:p>
    <w:p w14:paraId="616E91E2" w14:textId="77777777" w:rsidR="00625BBA" w:rsidRPr="00625BBA" w:rsidRDefault="00625BBA" w:rsidP="00625BBA">
      <w:pPr>
        <w:jc w:val="both"/>
      </w:pPr>
    </w:p>
    <w:p w14:paraId="69DF6B9B" w14:textId="54D8047A" w:rsidR="00625BBA" w:rsidRPr="00625BBA" w:rsidRDefault="00625BBA" w:rsidP="00AA1886">
      <w:pPr>
        <w:spacing w:after="120"/>
        <w:jc w:val="both"/>
        <w:rPr>
          <w:b/>
          <w:bCs/>
        </w:rPr>
      </w:pPr>
      <w:r w:rsidRPr="00625BBA">
        <w:rPr>
          <w:b/>
          <w:bCs/>
        </w:rPr>
        <w:t>K bodu 2</w:t>
      </w:r>
      <w:r w:rsidR="00216E61">
        <w:rPr>
          <w:b/>
          <w:bCs/>
        </w:rPr>
        <w:t>6</w:t>
      </w:r>
    </w:p>
    <w:p w14:paraId="3B3017B7" w14:textId="77777777" w:rsidR="00625BBA" w:rsidRPr="00625BBA" w:rsidRDefault="00625BBA" w:rsidP="007F1367">
      <w:pPr>
        <w:spacing w:line="276" w:lineRule="auto"/>
        <w:jc w:val="both"/>
      </w:pPr>
      <w:r w:rsidRPr="00625BBA">
        <w:t>Navrhuje sa zaviesť legislatívna skratka pre Ministerstvo hospodárstva Slovenskej republiky na tomto mieste z dôvodu navrhovaného vypustenia ustanovenia § 7 ods. 3, v ktorom sa pôvodne nachádzala a takisto z dôvodu, že ide o prvý nasledujúci výskyt pojmu v znení zákona.</w:t>
      </w:r>
    </w:p>
    <w:p w14:paraId="5337D172" w14:textId="77777777" w:rsidR="00625BBA" w:rsidRDefault="00625BBA" w:rsidP="007F1367">
      <w:pPr>
        <w:spacing w:line="276" w:lineRule="auto"/>
        <w:jc w:val="both"/>
        <w:rPr>
          <w:b/>
          <w:bCs/>
        </w:rPr>
      </w:pPr>
    </w:p>
    <w:p w14:paraId="3F0A8B5E" w14:textId="7E309A47" w:rsidR="00625BBA" w:rsidRPr="00625BBA" w:rsidRDefault="00625BBA" w:rsidP="00AA1886">
      <w:pPr>
        <w:spacing w:after="120" w:line="276" w:lineRule="auto"/>
        <w:jc w:val="both"/>
        <w:rPr>
          <w:b/>
          <w:bCs/>
        </w:rPr>
      </w:pPr>
      <w:r w:rsidRPr="00625BBA">
        <w:rPr>
          <w:b/>
          <w:bCs/>
        </w:rPr>
        <w:t xml:space="preserve">K bodu </w:t>
      </w:r>
      <w:r w:rsidR="00C32F98">
        <w:rPr>
          <w:b/>
          <w:bCs/>
        </w:rPr>
        <w:t>2</w:t>
      </w:r>
      <w:r w:rsidR="00216E61">
        <w:rPr>
          <w:b/>
          <w:bCs/>
        </w:rPr>
        <w:t>7</w:t>
      </w:r>
    </w:p>
    <w:p w14:paraId="12915E5B" w14:textId="6E7E3F4E" w:rsidR="00625BBA" w:rsidRPr="00625BBA" w:rsidRDefault="00625BBA" w:rsidP="007F1367">
      <w:pPr>
        <w:spacing w:line="276" w:lineRule="auto"/>
        <w:jc w:val="both"/>
      </w:pPr>
      <w:r w:rsidRPr="00625BBA">
        <w:t xml:space="preserve">Znenie § 11 ods. 3 písm. b) sa upravuje z dôvodu odstránenia chyby v písaní pri označení paragrafov upravujúcich pôsobnosť kontrolných orgánov, ako aj odstránenia neurčitého pojmu „ak je to možné“, keďže testovacie pracovisko má právo v každom prípade obdržať inšpekčnú správu v celosti. Potreba doplnenia regulačnej autority ako subjektu oprávneného na sprístupňovanie aj utajovaných údajov v inšpekčnej správe vyplýva zo znenia </w:t>
      </w:r>
      <w:r w:rsidR="00DA0CD7" w:rsidRPr="00625BBA">
        <w:t>v </w:t>
      </w:r>
      <w:r w:rsidR="00DA0CD7">
        <w:t xml:space="preserve">smernice </w:t>
      </w:r>
      <w:r w:rsidR="00DA0CD7" w:rsidRPr="00863397">
        <w:t>2004/10/ES</w:t>
      </w:r>
      <w:r w:rsidR="00DA0CD7">
        <w:t xml:space="preserve"> v platnom znení</w:t>
      </w:r>
      <w:r w:rsidRPr="00625BBA">
        <w:t>, podľa ktorej Európska agentúra pre lieky (EMA), Európska chemická agentúra (ECHA) a Európsky úrad pre bezpečnosť potravín (EFSA) ako regulačné autority požadujú v prípade pochybností o štúdiách od národných monitorovacích autorít audit a správu z inšpekcie a majú právo na prístup k úplnému zneniu správy z inšpekcie.</w:t>
      </w:r>
    </w:p>
    <w:p w14:paraId="28C691E2" w14:textId="77777777" w:rsidR="00AF411C" w:rsidRDefault="00AF411C" w:rsidP="007F1367">
      <w:pPr>
        <w:spacing w:line="276" w:lineRule="auto"/>
        <w:jc w:val="both"/>
        <w:rPr>
          <w:b/>
          <w:bCs/>
        </w:rPr>
      </w:pPr>
    </w:p>
    <w:p w14:paraId="6DDD8E4A" w14:textId="4F8E7820" w:rsidR="00625BBA" w:rsidRPr="00625BBA" w:rsidRDefault="00625BBA" w:rsidP="00AA1886">
      <w:pPr>
        <w:spacing w:after="120" w:line="276" w:lineRule="auto"/>
        <w:jc w:val="both"/>
        <w:rPr>
          <w:b/>
          <w:bCs/>
        </w:rPr>
      </w:pPr>
      <w:r w:rsidRPr="00625BBA">
        <w:rPr>
          <w:b/>
          <w:bCs/>
        </w:rPr>
        <w:t xml:space="preserve">K bodu </w:t>
      </w:r>
      <w:r w:rsidR="00216E61">
        <w:rPr>
          <w:b/>
          <w:bCs/>
        </w:rPr>
        <w:t>28</w:t>
      </w:r>
    </w:p>
    <w:p w14:paraId="67A8A6CA" w14:textId="77777777" w:rsidR="00625BBA" w:rsidRPr="00625BBA" w:rsidRDefault="00625BBA" w:rsidP="007F1367">
      <w:pPr>
        <w:spacing w:line="276" w:lineRule="auto"/>
        <w:jc w:val="both"/>
      </w:pPr>
      <w:r w:rsidRPr="00625BBA">
        <w:t>Znenie § 12 ods. 2 písm. b) sa upravuje z dôvodu potreby doplnenia regulačnej autority (Európskej agentúry pre lieky (EMA), Európskej chemickej agentúry (ECHA) a Európskeho úradu pre bezpečnosť potravín (EFSA)) ako subjektov oprávnených požadovať mimoriadnu inšpekciu testovacieho zariadenia a auditov štúdií.</w:t>
      </w:r>
    </w:p>
    <w:p w14:paraId="5D2A55C6" w14:textId="77777777" w:rsidR="00625BBA" w:rsidRDefault="00625BBA" w:rsidP="007F1367">
      <w:pPr>
        <w:spacing w:line="276" w:lineRule="auto"/>
        <w:jc w:val="both"/>
        <w:rPr>
          <w:b/>
          <w:bCs/>
        </w:rPr>
      </w:pPr>
    </w:p>
    <w:p w14:paraId="099EC024" w14:textId="77777777" w:rsidR="006F3DF6" w:rsidRDefault="006F3DF6" w:rsidP="00AA1886">
      <w:pPr>
        <w:spacing w:after="120" w:line="276" w:lineRule="auto"/>
        <w:jc w:val="both"/>
        <w:rPr>
          <w:b/>
          <w:bCs/>
        </w:rPr>
      </w:pPr>
    </w:p>
    <w:p w14:paraId="1FFD4488" w14:textId="77777777" w:rsidR="006F3DF6" w:rsidRDefault="006F3DF6" w:rsidP="00AA1886">
      <w:pPr>
        <w:spacing w:after="120" w:line="276" w:lineRule="auto"/>
        <w:jc w:val="both"/>
        <w:rPr>
          <w:b/>
          <w:bCs/>
        </w:rPr>
      </w:pPr>
    </w:p>
    <w:p w14:paraId="3430B82A" w14:textId="77777777" w:rsidR="006F3DF6" w:rsidRDefault="006F3DF6" w:rsidP="00AA1886">
      <w:pPr>
        <w:spacing w:after="120" w:line="276" w:lineRule="auto"/>
        <w:jc w:val="both"/>
        <w:rPr>
          <w:b/>
          <w:bCs/>
        </w:rPr>
      </w:pPr>
    </w:p>
    <w:p w14:paraId="4C13819A" w14:textId="523AC8A8" w:rsidR="00625BBA" w:rsidRPr="00625BBA" w:rsidRDefault="00625BBA" w:rsidP="00AA1886">
      <w:pPr>
        <w:spacing w:after="120" w:line="276" w:lineRule="auto"/>
        <w:jc w:val="both"/>
        <w:rPr>
          <w:b/>
          <w:bCs/>
        </w:rPr>
      </w:pPr>
      <w:r w:rsidRPr="00625BBA">
        <w:rPr>
          <w:b/>
          <w:bCs/>
        </w:rPr>
        <w:t xml:space="preserve">K bodu </w:t>
      </w:r>
      <w:r w:rsidR="00216E61">
        <w:rPr>
          <w:b/>
          <w:bCs/>
        </w:rPr>
        <w:t>29</w:t>
      </w:r>
    </w:p>
    <w:p w14:paraId="235FD234" w14:textId="261D3C88" w:rsidR="00625BBA" w:rsidRPr="00625BBA" w:rsidRDefault="00625BBA" w:rsidP="007F1367">
      <w:pPr>
        <w:spacing w:line="276" w:lineRule="auto"/>
        <w:jc w:val="both"/>
      </w:pPr>
      <w:r w:rsidRPr="00625BBA">
        <w:t xml:space="preserve">Vypustenie slova „písomnej“ a doplnenie druhej vety sa navrhuje v zmysle platnej právnej úpravy podávania žiadostí podľa zákona č. 53/2023 Z. z. </w:t>
      </w:r>
      <w:r w:rsidR="0077171C" w:rsidRPr="0077171C">
        <w:t>o akreditácii orgánov posudzovania</w:t>
      </w:r>
      <w:r w:rsidR="0077171C" w:rsidRPr="0077171C">
        <w:rPr>
          <w:b/>
          <w:bCs/>
        </w:rPr>
        <w:t xml:space="preserve"> </w:t>
      </w:r>
      <w:r w:rsidR="0077171C" w:rsidRPr="0077171C">
        <w:t>zhody</w:t>
      </w:r>
      <w:r w:rsidR="0077171C">
        <w:rPr>
          <w:b/>
          <w:bCs/>
        </w:rPr>
        <w:t xml:space="preserve"> </w:t>
      </w:r>
      <w:r w:rsidRPr="00625BBA">
        <w:t>a aktuálnej aplikačnej praxe, keďže žiadosti o vydanie osvedčenia podávajú subjekty elektronicky prostredníctvom informačného systému, nie písomne. Nová poznámka pod čiarou 28a</w:t>
      </w:r>
      <w:r w:rsidR="0077171C">
        <w:t xml:space="preserve"> </w:t>
      </w:r>
      <w:r w:rsidRPr="00625BBA">
        <w:t>odkazuje na zákonné ustanovenia upravujúce proces podávania žiadostí podľa predchádzajúcej vety.</w:t>
      </w:r>
    </w:p>
    <w:p w14:paraId="1AEB2A28" w14:textId="77777777" w:rsidR="00625BBA" w:rsidRDefault="00625BBA" w:rsidP="007F1367">
      <w:pPr>
        <w:spacing w:line="276" w:lineRule="auto"/>
        <w:jc w:val="both"/>
        <w:rPr>
          <w:b/>
          <w:bCs/>
        </w:rPr>
      </w:pPr>
    </w:p>
    <w:p w14:paraId="2E0FE5E4" w14:textId="68BFC504" w:rsidR="00625BBA" w:rsidRPr="00625BBA" w:rsidRDefault="00625BBA" w:rsidP="00AA1886">
      <w:pPr>
        <w:spacing w:after="120" w:line="276" w:lineRule="auto"/>
        <w:jc w:val="both"/>
        <w:rPr>
          <w:b/>
          <w:bCs/>
        </w:rPr>
      </w:pPr>
      <w:r w:rsidRPr="00625BBA">
        <w:rPr>
          <w:b/>
          <w:bCs/>
        </w:rPr>
        <w:t xml:space="preserve">K bodu </w:t>
      </w:r>
      <w:r w:rsidR="00AA1886">
        <w:rPr>
          <w:b/>
          <w:bCs/>
        </w:rPr>
        <w:t>3</w:t>
      </w:r>
      <w:r w:rsidR="00216E61">
        <w:rPr>
          <w:b/>
          <w:bCs/>
        </w:rPr>
        <w:t>0</w:t>
      </w:r>
    </w:p>
    <w:p w14:paraId="32F31CDE" w14:textId="04A1438B" w:rsidR="00625BBA" w:rsidRPr="00625BBA" w:rsidRDefault="00625BBA" w:rsidP="007F1367">
      <w:pPr>
        <w:spacing w:line="276" w:lineRule="auto"/>
        <w:jc w:val="both"/>
      </w:pPr>
      <w:r w:rsidRPr="00625BBA">
        <w:t>Pôvodný pojem „humánne lieky“ nepokrýva celý význam anglického pojmu „</w:t>
      </w:r>
      <w:proofErr w:type="spellStart"/>
      <w:r w:rsidRPr="00625BBA">
        <w:t>pharmaceutical</w:t>
      </w:r>
      <w:proofErr w:type="spellEnd"/>
      <w:r w:rsidRPr="00625BBA">
        <w:t xml:space="preserve"> </w:t>
      </w:r>
      <w:proofErr w:type="spellStart"/>
      <w:r w:rsidRPr="00625BBA">
        <w:t>products</w:t>
      </w:r>
      <w:proofErr w:type="spellEnd"/>
      <w:r w:rsidRPr="00625BBA">
        <w:t>“</w:t>
      </w:r>
      <w:r w:rsidR="00BA7BC0">
        <w:t xml:space="preserve"> </w:t>
      </w:r>
      <w:r w:rsidRPr="00625BBA">
        <w:t>uvedeného</w:t>
      </w:r>
      <w:r w:rsidR="00DA0CD7">
        <w:t xml:space="preserve"> </w:t>
      </w:r>
      <w:r w:rsidRPr="00625BBA">
        <w:t>v </w:t>
      </w:r>
      <w:r w:rsidR="00DA0CD7" w:rsidRPr="00625BBA">
        <w:t> </w:t>
      </w:r>
      <w:r w:rsidR="00DA0CD7">
        <w:t xml:space="preserve">smernici </w:t>
      </w:r>
      <w:r w:rsidR="00DA0CD7" w:rsidRPr="00863397">
        <w:t>2004/10/ES</w:t>
      </w:r>
      <w:r w:rsidR="00DA0CD7">
        <w:t xml:space="preserve"> v platnom znení</w:t>
      </w:r>
      <w:r w:rsidR="00DA0CD7" w:rsidRPr="00625BBA">
        <w:t>.</w:t>
      </w:r>
      <w:r w:rsidRPr="00625BBA">
        <w:t xml:space="preserve"> Anglický pojem „</w:t>
      </w:r>
      <w:proofErr w:type="spellStart"/>
      <w:r w:rsidRPr="00625BBA">
        <w:t>pharmaceutical</w:t>
      </w:r>
      <w:proofErr w:type="spellEnd"/>
      <w:r w:rsidRPr="00625BBA">
        <w:t xml:space="preserve"> </w:t>
      </w:r>
      <w:proofErr w:type="spellStart"/>
      <w:r w:rsidRPr="00625BBA">
        <w:t>products</w:t>
      </w:r>
      <w:proofErr w:type="spellEnd"/>
      <w:r w:rsidRPr="00625BBA">
        <w:t xml:space="preserve">“ je v slovenskej jazykovej verzii preložený ako „farmaceutické výrobky“. K týmto výrobkom sa pridávajú aj </w:t>
      </w:r>
      <w:proofErr w:type="spellStart"/>
      <w:r w:rsidRPr="00625BBA">
        <w:t>nanomateriály</w:t>
      </w:r>
      <w:proofErr w:type="spellEnd"/>
      <w:r w:rsidRPr="00625BBA">
        <w:t xml:space="preserve"> a zdravotnícke pomôcky, o ktoré sa rozšírila predmetná právna úprava v Európskej únii</w:t>
      </w:r>
      <w:r w:rsidR="00E174DB">
        <w:t xml:space="preserve"> (n</w:t>
      </w:r>
      <w:r w:rsidR="00E174DB" w:rsidRPr="00132DE7">
        <w:t xml:space="preserve">ariadenie (EÚ) 2018/1881 </w:t>
      </w:r>
      <w:r w:rsidR="00E174DB">
        <w:t>a n</w:t>
      </w:r>
      <w:r w:rsidR="00E174DB" w:rsidRPr="00132DE7">
        <w:t>ariadenie (EÚ) 2017/745</w:t>
      </w:r>
      <w:r w:rsidR="00E174DB">
        <w:t>)</w:t>
      </w:r>
      <w:r w:rsidR="00E174DB" w:rsidRPr="00625BBA">
        <w:t>.</w:t>
      </w:r>
      <w:r w:rsidRPr="00625BBA">
        <w:t xml:space="preserve"> </w:t>
      </w:r>
    </w:p>
    <w:p w14:paraId="4E513DBE" w14:textId="77777777" w:rsidR="00625BBA" w:rsidRDefault="00625BBA" w:rsidP="00625BBA">
      <w:pPr>
        <w:jc w:val="both"/>
        <w:rPr>
          <w:b/>
          <w:bCs/>
        </w:rPr>
      </w:pPr>
    </w:p>
    <w:p w14:paraId="33A73D9A" w14:textId="1FF6221E" w:rsidR="00625BBA" w:rsidRPr="00625BBA" w:rsidRDefault="00625BBA" w:rsidP="00AA1886">
      <w:pPr>
        <w:spacing w:after="120"/>
        <w:jc w:val="both"/>
        <w:rPr>
          <w:b/>
          <w:bCs/>
        </w:rPr>
      </w:pPr>
      <w:r w:rsidRPr="00625BBA">
        <w:rPr>
          <w:b/>
          <w:bCs/>
        </w:rPr>
        <w:t>K bodu 3</w:t>
      </w:r>
      <w:r w:rsidR="00216E61">
        <w:rPr>
          <w:b/>
          <w:bCs/>
        </w:rPr>
        <w:t>1</w:t>
      </w:r>
    </w:p>
    <w:p w14:paraId="31F30554" w14:textId="77777777" w:rsidR="00625BBA" w:rsidRPr="00625BBA" w:rsidRDefault="00625BBA" w:rsidP="007F1367">
      <w:pPr>
        <w:spacing w:line="276" w:lineRule="auto"/>
        <w:jc w:val="both"/>
      </w:pPr>
      <w:r w:rsidRPr="00625BBA">
        <w:t>Navrhujú sa vypustiť ustanovenia o zmluvách, pretože podľa aplikačnej praxe akreditujúca osoba so žiadateľmi neuzatvára žiadnu zmluvu. Akreditujúca osoba koná na základe žiadosti o vydanie osvedčenia. Poznámka pod čiarou k odkazu 29 sa vypúšťa z dôvodu, že sa vypúšťa § 13 ods. 5, v ktorom sa predmetný odkaz uvádza.</w:t>
      </w:r>
    </w:p>
    <w:p w14:paraId="16E0D6F1" w14:textId="77777777" w:rsidR="00625BBA" w:rsidRDefault="00625BBA" w:rsidP="007F1367">
      <w:pPr>
        <w:spacing w:line="276" w:lineRule="auto"/>
        <w:jc w:val="both"/>
        <w:rPr>
          <w:b/>
          <w:bCs/>
        </w:rPr>
      </w:pPr>
    </w:p>
    <w:p w14:paraId="53202CD3" w14:textId="40878F72" w:rsidR="00625BBA" w:rsidRPr="00625BBA" w:rsidRDefault="00625BBA" w:rsidP="00AA1886">
      <w:pPr>
        <w:spacing w:after="120" w:line="276" w:lineRule="auto"/>
        <w:jc w:val="both"/>
        <w:rPr>
          <w:b/>
          <w:bCs/>
        </w:rPr>
      </w:pPr>
      <w:r w:rsidRPr="00625BBA">
        <w:rPr>
          <w:b/>
          <w:bCs/>
        </w:rPr>
        <w:t>K bodu 3</w:t>
      </w:r>
      <w:r w:rsidR="00216E61">
        <w:rPr>
          <w:b/>
          <w:bCs/>
        </w:rPr>
        <w:t>2</w:t>
      </w:r>
    </w:p>
    <w:p w14:paraId="1464752B" w14:textId="77777777" w:rsidR="00625BBA" w:rsidRPr="00625BBA" w:rsidRDefault="00625BBA" w:rsidP="007F1367">
      <w:pPr>
        <w:spacing w:line="276" w:lineRule="auto"/>
        <w:jc w:val="both"/>
      </w:pPr>
      <w:r w:rsidRPr="00625BBA">
        <w:t>Úprava predmetného znenia sa navrhuje z dôvodu, že akreditujúca osoba v aplikačnej praxi so žiadateľmi neuzatvára žiadne zmluvy. Akreditujúca osoba koná na základe žiadosti o vydanie osvedčenia. Žiadateľ má v priebehu celého konania možnosť vziať žiadosť späť.</w:t>
      </w:r>
    </w:p>
    <w:p w14:paraId="5B38BB7D" w14:textId="77777777" w:rsidR="00625BBA" w:rsidRDefault="00625BBA" w:rsidP="007F1367">
      <w:pPr>
        <w:spacing w:line="276" w:lineRule="auto"/>
        <w:jc w:val="both"/>
        <w:rPr>
          <w:b/>
          <w:bCs/>
        </w:rPr>
      </w:pPr>
    </w:p>
    <w:p w14:paraId="6CEFB647" w14:textId="2B96EB3F" w:rsidR="00625BBA" w:rsidRPr="00625BBA" w:rsidRDefault="00625BBA" w:rsidP="00AA1886">
      <w:pPr>
        <w:spacing w:after="120" w:line="276" w:lineRule="auto"/>
        <w:jc w:val="both"/>
        <w:rPr>
          <w:b/>
          <w:bCs/>
        </w:rPr>
      </w:pPr>
      <w:r w:rsidRPr="00625BBA">
        <w:rPr>
          <w:b/>
          <w:bCs/>
        </w:rPr>
        <w:t>K bodu 3</w:t>
      </w:r>
      <w:r w:rsidR="00216E61">
        <w:rPr>
          <w:b/>
          <w:bCs/>
        </w:rPr>
        <w:t>3</w:t>
      </w:r>
    </w:p>
    <w:p w14:paraId="4330C2D2" w14:textId="77777777" w:rsidR="00625BBA" w:rsidRPr="00625BBA" w:rsidRDefault="00625BBA" w:rsidP="007F1367">
      <w:pPr>
        <w:spacing w:line="276" w:lineRule="auto"/>
        <w:jc w:val="both"/>
      </w:pPr>
      <w:r w:rsidRPr="00625BBA">
        <w:t>Veta, ktorá sa navrhuje vypustiť, obsahuje povinnosť doručiť odpis osvedčenia elektronickou formou Ministerstvu hospodárstva Slovenskej republiky a Európskej komisii. Zoznam testovacích pracovísk s dobou platnosti osvedčenia zverejňuje akreditujúca osoba na svojom webovom sídle a raz ročne vo Vestníku Úradu pre normalizáciu, metrológiu a skúšobníctvo Slovenskej republiky. V rámci aplikačnej praxe nevznikla potreba doručovať odpis vydaného osvedčenia Ministerstvu hospodárstva Slovenskej republiky a Európskej komisii. Informácia o osvedčení je verejne dostupnou informáciou, ktorú akreditujúca osoba bezodkladne v prípade akejkoľvek zmeny osvedčenia zverejňuje na svojom webovom sídle.</w:t>
      </w:r>
    </w:p>
    <w:p w14:paraId="01B9CEFF" w14:textId="77777777" w:rsidR="00DA212C" w:rsidRDefault="00DA212C" w:rsidP="007F1367">
      <w:pPr>
        <w:spacing w:line="276" w:lineRule="auto"/>
        <w:jc w:val="both"/>
        <w:rPr>
          <w:b/>
          <w:bCs/>
        </w:rPr>
      </w:pPr>
    </w:p>
    <w:p w14:paraId="17B18398" w14:textId="57CB99C4" w:rsidR="00625BBA" w:rsidRPr="00625BBA" w:rsidRDefault="00625BBA" w:rsidP="00AA1886">
      <w:pPr>
        <w:spacing w:after="120" w:line="276" w:lineRule="auto"/>
        <w:jc w:val="both"/>
        <w:rPr>
          <w:b/>
          <w:bCs/>
        </w:rPr>
      </w:pPr>
      <w:r w:rsidRPr="00625BBA">
        <w:rPr>
          <w:b/>
          <w:bCs/>
        </w:rPr>
        <w:t>K bodu 3</w:t>
      </w:r>
      <w:r w:rsidR="0018242B">
        <w:rPr>
          <w:b/>
          <w:bCs/>
        </w:rPr>
        <w:t>5</w:t>
      </w:r>
    </w:p>
    <w:p w14:paraId="10122A59" w14:textId="77777777" w:rsidR="00625BBA" w:rsidRPr="00625BBA" w:rsidRDefault="00625BBA" w:rsidP="007F1367">
      <w:pPr>
        <w:spacing w:line="276" w:lineRule="auto"/>
        <w:jc w:val="both"/>
      </w:pPr>
      <w:r w:rsidRPr="00625BBA">
        <w:t>V osvedčení sa neuvádza predmet a rozsah, ale uvádzajú sa typy neklinických štúdií v súlade s členením OECD podľa „Princípov správnej laboratórnej praxe (OECD Usmerňovací dokument č. 2)“. Rovnaký spôsob uvádzania využívajú všetky národné monitorovacie autority.</w:t>
      </w:r>
    </w:p>
    <w:p w14:paraId="08328D11" w14:textId="77777777" w:rsidR="00625BBA" w:rsidRDefault="00625BBA" w:rsidP="007F1367">
      <w:pPr>
        <w:spacing w:line="276" w:lineRule="auto"/>
        <w:jc w:val="both"/>
        <w:rPr>
          <w:b/>
          <w:bCs/>
        </w:rPr>
      </w:pPr>
    </w:p>
    <w:p w14:paraId="23EF60CA" w14:textId="38D6D1CA" w:rsidR="00625BBA" w:rsidRPr="00625BBA" w:rsidRDefault="00625BBA" w:rsidP="00AA1886">
      <w:pPr>
        <w:spacing w:after="120" w:line="276" w:lineRule="auto"/>
        <w:jc w:val="both"/>
      </w:pPr>
      <w:r w:rsidRPr="00625BBA">
        <w:rPr>
          <w:b/>
          <w:bCs/>
        </w:rPr>
        <w:lastRenderedPageBreak/>
        <w:t>K</w:t>
      </w:r>
      <w:r w:rsidRPr="00625BBA">
        <w:t> </w:t>
      </w:r>
      <w:r w:rsidRPr="00625BBA">
        <w:rPr>
          <w:b/>
          <w:bCs/>
        </w:rPr>
        <w:t>bodu 3</w:t>
      </w:r>
      <w:r w:rsidR="0018242B">
        <w:rPr>
          <w:b/>
          <w:bCs/>
        </w:rPr>
        <w:t>6</w:t>
      </w:r>
    </w:p>
    <w:p w14:paraId="269EA1F0" w14:textId="7CC0ECB8" w:rsidR="0077171C" w:rsidRDefault="00625BBA" w:rsidP="00D74785">
      <w:pPr>
        <w:spacing w:line="276" w:lineRule="auto"/>
        <w:jc w:val="both"/>
      </w:pPr>
      <w:r w:rsidRPr="00625BBA">
        <w:t>Úprava sa navrhuje z dôvodu zosúladenia s aplikačnou praxou, potreby doplnenia pravidelnej aktualizácie zoznamu a ročnej periodicity jeho zverejňovania v uvedenom Vestníku.</w:t>
      </w:r>
    </w:p>
    <w:p w14:paraId="741413F3" w14:textId="77777777" w:rsidR="00D74785" w:rsidRPr="00D74785" w:rsidRDefault="00D74785" w:rsidP="00D74785">
      <w:pPr>
        <w:spacing w:line="276" w:lineRule="auto"/>
        <w:jc w:val="both"/>
      </w:pPr>
    </w:p>
    <w:p w14:paraId="6F23B6C9" w14:textId="4AA7E8E6" w:rsidR="00625BBA" w:rsidRPr="00625BBA" w:rsidRDefault="00625BBA" w:rsidP="00AA1886">
      <w:pPr>
        <w:spacing w:after="120" w:line="276" w:lineRule="auto"/>
        <w:jc w:val="both"/>
        <w:rPr>
          <w:b/>
          <w:bCs/>
        </w:rPr>
      </w:pPr>
      <w:r w:rsidRPr="00625BBA">
        <w:rPr>
          <w:b/>
          <w:bCs/>
        </w:rPr>
        <w:t xml:space="preserve">K bodu </w:t>
      </w:r>
      <w:r w:rsidR="00C32F98">
        <w:rPr>
          <w:b/>
          <w:bCs/>
        </w:rPr>
        <w:t>3</w:t>
      </w:r>
      <w:r w:rsidR="0018242B">
        <w:rPr>
          <w:b/>
          <w:bCs/>
        </w:rPr>
        <w:t>7</w:t>
      </w:r>
    </w:p>
    <w:p w14:paraId="4828276B" w14:textId="5A5FDBAF" w:rsidR="00625BBA" w:rsidRPr="00625BBA" w:rsidRDefault="00625BBA" w:rsidP="007F1367">
      <w:pPr>
        <w:spacing w:line="276" w:lineRule="auto"/>
        <w:jc w:val="both"/>
      </w:pPr>
      <w:r w:rsidRPr="00625BBA">
        <w:t>V prípade zistenia nezhôd akreditujúca osoba nemusí vykonať následnú, resp. opakovanú inšpekciu testovacieho pracoviska. Pre posúdenie odstránenia nezhody postačuje posúdenie predložených dôkazov. Na základe predložených dôkazov je možné konštatovať plnenie, resp. neplnenie požiadaviek správnej laboratórnej praxe. Návrhom sa ruší ustanovenie, z ktorého vyplývala povinnosť akreditujúcej osoby informovať Ministerstvo hospodárstva Slovenskej republiky a Európsku komisiu o svojom postupe pri zistení nezhody dodržiavania zásad správnej laboratórnej praxe. Cieľom vypustenia tretej vety je znížiť administratívnu záťaž štátnych inštitúcií. Z</w:t>
      </w:r>
      <w:r w:rsidR="007B45C7">
        <w:t>o</w:t>
      </w:r>
      <w:r w:rsidRPr="00625BBA">
        <w:t> </w:t>
      </w:r>
      <w:r w:rsidR="007B45C7">
        <w:t xml:space="preserve">smernice </w:t>
      </w:r>
      <w:r w:rsidR="007B45C7" w:rsidRPr="00863397">
        <w:t>2004/10/ES</w:t>
      </w:r>
      <w:r w:rsidR="007B45C7">
        <w:t xml:space="preserve"> v platnom znení</w:t>
      </w:r>
      <w:r w:rsidRPr="00625BBA">
        <w:t xml:space="preserve"> a národnej legislatívy takáto povinnosť nevyplýva a doterajšia aplikačná prax nepotvrdzuje jej praktický význam.</w:t>
      </w:r>
    </w:p>
    <w:p w14:paraId="5EEBF1A9" w14:textId="77777777" w:rsidR="00625BBA" w:rsidRDefault="00625BBA" w:rsidP="00625BBA">
      <w:pPr>
        <w:jc w:val="both"/>
        <w:rPr>
          <w:b/>
          <w:bCs/>
        </w:rPr>
      </w:pPr>
    </w:p>
    <w:p w14:paraId="477D0B03" w14:textId="3F5083F4" w:rsidR="00625BBA" w:rsidRPr="00625BBA" w:rsidRDefault="00625BBA" w:rsidP="00AA1886">
      <w:pPr>
        <w:spacing w:after="120"/>
        <w:jc w:val="both"/>
        <w:rPr>
          <w:b/>
          <w:bCs/>
        </w:rPr>
      </w:pPr>
      <w:r w:rsidRPr="00625BBA">
        <w:rPr>
          <w:b/>
          <w:bCs/>
        </w:rPr>
        <w:t xml:space="preserve">K bodu </w:t>
      </w:r>
      <w:r w:rsidR="0018242B">
        <w:rPr>
          <w:b/>
          <w:bCs/>
        </w:rPr>
        <w:t>38</w:t>
      </w:r>
    </w:p>
    <w:p w14:paraId="7CDC1B15" w14:textId="0BA664C3" w:rsidR="00563CE1" w:rsidRDefault="00625BBA" w:rsidP="007F1367">
      <w:pPr>
        <w:spacing w:line="276" w:lineRule="auto"/>
        <w:jc w:val="both"/>
      </w:pPr>
      <w:r w:rsidRPr="00625BBA">
        <w:t xml:space="preserve">Akreditujúca osoba informácie o platných a zrušených osvedčeniach zverejňuje na svojom webovom sídle. Zároveň sa informácie o platných odsvedčeniach zverejňujú vo Vestníku </w:t>
      </w:r>
      <w:r w:rsidR="00806355">
        <w:t>Ú</w:t>
      </w:r>
      <w:r w:rsidRPr="00625BBA">
        <w:t>radu pre normalizáciu, metrológiu a skúšobníctvo Slovenskej republiky. Navrhuje sa preto vypustenie časti ustanovenia, ktoré nie je na základe aplikačnej praxe potrebné.</w:t>
      </w:r>
    </w:p>
    <w:p w14:paraId="4CE828AF" w14:textId="77777777" w:rsidR="00C0269D" w:rsidRPr="00C0269D" w:rsidRDefault="00C0269D" w:rsidP="007F1367">
      <w:pPr>
        <w:spacing w:line="276" w:lineRule="auto"/>
        <w:jc w:val="both"/>
      </w:pPr>
    </w:p>
    <w:p w14:paraId="01127101" w14:textId="0EE30322" w:rsidR="00625BBA" w:rsidRPr="00625BBA" w:rsidRDefault="00625BBA" w:rsidP="00FD203D">
      <w:pPr>
        <w:spacing w:after="120" w:line="276" w:lineRule="auto"/>
        <w:jc w:val="both"/>
        <w:rPr>
          <w:b/>
          <w:bCs/>
        </w:rPr>
      </w:pPr>
      <w:r w:rsidRPr="00625BBA">
        <w:rPr>
          <w:b/>
          <w:bCs/>
        </w:rPr>
        <w:t>K bodu 4</w:t>
      </w:r>
      <w:r w:rsidR="0018242B">
        <w:rPr>
          <w:b/>
          <w:bCs/>
        </w:rPr>
        <w:t>0</w:t>
      </w:r>
    </w:p>
    <w:p w14:paraId="3A00F818" w14:textId="321F2611" w:rsidR="00330794" w:rsidRDefault="00625BBA" w:rsidP="00563CE1">
      <w:pPr>
        <w:spacing w:line="276" w:lineRule="auto"/>
        <w:jc w:val="both"/>
      </w:pPr>
      <w:r w:rsidRPr="00625BBA">
        <w:t>Zasielaním oznámení vývozcov a dovozcov o vývoze a dovoze priamo prostredníctvom portálu „</w:t>
      </w:r>
      <w:proofErr w:type="spellStart"/>
      <w:r w:rsidRPr="00625BBA">
        <w:t>ePIC</w:t>
      </w:r>
      <w:proofErr w:type="spellEnd"/>
      <w:r w:rsidRPr="00625BBA">
        <w:t>“ Európskej chemickej agentúry Ministerstvu hospodárstva Slovenskej republiky ako poverenému vnútroštátnemu orgánu členského štátu a ďalej Európskej komisii, sa zmenili nariadením (</w:t>
      </w:r>
      <w:r w:rsidRPr="00D36ADF">
        <w:t>EÚ) č. 649/2012</w:t>
      </w:r>
      <w:r w:rsidR="0077171C" w:rsidRPr="00D36ADF">
        <w:t xml:space="preserve"> v platnom znení</w:t>
      </w:r>
      <w:r w:rsidRPr="00D36ADF">
        <w:t xml:space="preserve"> postupy</w:t>
      </w:r>
      <w:r w:rsidRPr="00625BBA">
        <w:t xml:space="preserve"> pri vývoze a dovoze nebezpečných chemikálií, čím sa výrazne eliminovali úlohy dotknutých štátnych orgánov.</w:t>
      </w:r>
    </w:p>
    <w:p w14:paraId="52DB344C" w14:textId="77777777" w:rsidR="00563CE1" w:rsidRPr="00563CE1" w:rsidRDefault="00563CE1" w:rsidP="00563CE1">
      <w:pPr>
        <w:spacing w:line="276" w:lineRule="auto"/>
        <w:jc w:val="both"/>
      </w:pPr>
    </w:p>
    <w:p w14:paraId="1AD03976" w14:textId="35FBDA83" w:rsidR="00625BBA" w:rsidRPr="00625BBA" w:rsidRDefault="00625BBA" w:rsidP="00FD203D">
      <w:pPr>
        <w:spacing w:after="120" w:line="276" w:lineRule="auto"/>
        <w:jc w:val="both"/>
        <w:rPr>
          <w:b/>
          <w:bCs/>
        </w:rPr>
      </w:pPr>
      <w:r w:rsidRPr="00625BBA">
        <w:rPr>
          <w:b/>
          <w:bCs/>
        </w:rPr>
        <w:t>K bodu 4</w:t>
      </w:r>
      <w:r w:rsidR="0018242B">
        <w:rPr>
          <w:b/>
          <w:bCs/>
        </w:rPr>
        <w:t>1</w:t>
      </w:r>
    </w:p>
    <w:p w14:paraId="41393191" w14:textId="499FE700" w:rsidR="00625BBA" w:rsidRPr="00625BBA" w:rsidRDefault="00625BBA" w:rsidP="007F1367">
      <w:pPr>
        <w:spacing w:line="276" w:lineRule="auto"/>
        <w:jc w:val="both"/>
      </w:pPr>
      <w:r w:rsidRPr="00625BBA">
        <w:t xml:space="preserve">Nový § 16 ods. 4 zákona sa upravuje podľa postupov stanovených v nariadení (EÚ) </w:t>
      </w:r>
      <w:r w:rsidR="00FD203D">
        <w:br/>
      </w:r>
      <w:r w:rsidRPr="00625BBA">
        <w:t>č. 649/2012</w:t>
      </w:r>
      <w:r w:rsidR="002860E6">
        <w:t xml:space="preserve"> v platnom znení</w:t>
      </w:r>
      <w:r w:rsidRPr="00625BBA">
        <w:t>.</w:t>
      </w:r>
    </w:p>
    <w:p w14:paraId="4A2F6F60" w14:textId="77777777" w:rsidR="00625BBA" w:rsidRPr="00625BBA" w:rsidRDefault="00625BBA" w:rsidP="007F1367">
      <w:pPr>
        <w:spacing w:line="276" w:lineRule="auto"/>
        <w:jc w:val="both"/>
      </w:pPr>
      <w:r w:rsidRPr="00625BBA">
        <w:t xml:space="preserve">Zároveň sa navrhuje zaviesť legislatívna skratka pre Európsku chemickú agentúru na tomto mieste z dôvodu navrhovaného skoršieho výskytu tohto pojmu v novelizovanom znení zákona oproti jeho aktuálnemu zneniu. </w:t>
      </w:r>
    </w:p>
    <w:p w14:paraId="69BAE4D7" w14:textId="77777777" w:rsidR="00625BBA" w:rsidRDefault="00625BBA" w:rsidP="007F1367">
      <w:pPr>
        <w:spacing w:line="276" w:lineRule="auto"/>
        <w:jc w:val="both"/>
        <w:rPr>
          <w:b/>
          <w:bCs/>
        </w:rPr>
      </w:pPr>
    </w:p>
    <w:p w14:paraId="18D09EB4" w14:textId="19FA9F0C" w:rsidR="00625BBA" w:rsidRPr="00625BBA" w:rsidRDefault="00625BBA" w:rsidP="00711B8C">
      <w:pPr>
        <w:spacing w:after="120" w:line="276" w:lineRule="auto"/>
        <w:jc w:val="both"/>
        <w:rPr>
          <w:b/>
          <w:bCs/>
        </w:rPr>
      </w:pPr>
      <w:r w:rsidRPr="00625BBA">
        <w:rPr>
          <w:b/>
          <w:bCs/>
        </w:rPr>
        <w:t>K bodu 4</w:t>
      </w:r>
      <w:r w:rsidR="0018242B">
        <w:rPr>
          <w:b/>
          <w:bCs/>
        </w:rPr>
        <w:t>2</w:t>
      </w:r>
    </w:p>
    <w:p w14:paraId="1665174A" w14:textId="4E7AF7DD" w:rsidR="00625BBA" w:rsidRPr="00625BBA" w:rsidRDefault="00625BBA" w:rsidP="007F1367">
      <w:pPr>
        <w:spacing w:line="276" w:lineRule="auto"/>
        <w:jc w:val="both"/>
      </w:pPr>
      <w:r w:rsidRPr="00625BBA">
        <w:t>Úpravou znenia § 16 ods. 5 zákona sa zosúlaďuje postup s nariadením (EÚ) č. 649/2012</w:t>
      </w:r>
      <w:r w:rsidR="00AE4806" w:rsidRPr="00AE4806">
        <w:t xml:space="preserve"> </w:t>
      </w:r>
      <w:r w:rsidR="00AE4806">
        <w:t>v platnom znení</w:t>
      </w:r>
      <w:r w:rsidR="00AE4806" w:rsidRPr="00625BBA">
        <w:t>.</w:t>
      </w:r>
    </w:p>
    <w:p w14:paraId="4740CE67" w14:textId="77777777" w:rsidR="00625BBA" w:rsidRDefault="00625BBA" w:rsidP="007F1367">
      <w:pPr>
        <w:spacing w:line="276" w:lineRule="auto"/>
        <w:jc w:val="both"/>
        <w:rPr>
          <w:b/>
          <w:bCs/>
        </w:rPr>
      </w:pPr>
    </w:p>
    <w:p w14:paraId="3F3B38B1" w14:textId="3EB43F77" w:rsidR="00625BBA" w:rsidRPr="00625BBA" w:rsidRDefault="00625BBA" w:rsidP="00711B8C">
      <w:pPr>
        <w:spacing w:after="120" w:line="276" w:lineRule="auto"/>
        <w:jc w:val="both"/>
        <w:rPr>
          <w:b/>
          <w:bCs/>
        </w:rPr>
      </w:pPr>
      <w:r w:rsidRPr="00625BBA">
        <w:rPr>
          <w:b/>
          <w:bCs/>
        </w:rPr>
        <w:t>K bodu 4</w:t>
      </w:r>
      <w:r w:rsidR="0018242B">
        <w:rPr>
          <w:b/>
          <w:bCs/>
        </w:rPr>
        <w:t>3</w:t>
      </w:r>
    </w:p>
    <w:p w14:paraId="5DFAAABA" w14:textId="77777777" w:rsidR="00625BBA" w:rsidRPr="00625BBA" w:rsidRDefault="00625BBA" w:rsidP="007F1367">
      <w:pPr>
        <w:spacing w:line="276" w:lineRule="auto"/>
        <w:jc w:val="both"/>
      </w:pPr>
      <w:r w:rsidRPr="00625BBA">
        <w:t xml:space="preserve">Do ustanovenia § 17 sa dopĺňa špecifikácia oblasti výkonu štátnej správy o detergenty, povrchovo aktívne látky a ich uvedenia na trh a sprístupňovania na trhu. Zavádzajú sa legislatívne skratky názvov ministerstiev z dôvodu ich predchádzajúceho vypustenia </w:t>
      </w:r>
      <w:r w:rsidRPr="00625BBA">
        <w:lastRenderedPageBreak/>
        <w:t>v pôvodnom ustanovení § 16 ods. 4 a takisto z dôvodu, že ide o prvý nasledujúci výskyt pojmov v znení zákona. Zároveň sa upravuje názov Ministerstva pôdohospodárstva a rozvoja vidieka Slovenskej republiky podľa jeho aktuálneho znenia a vypúšťa sa Centrum pre chemické látky a prípravky („centrum“), ktoré už nie je samostatným orgánom štátnej správy, ale súčasťou Ministerstva hospodárstva Slovenskej republiky.</w:t>
      </w:r>
    </w:p>
    <w:p w14:paraId="22985F3F" w14:textId="77777777" w:rsidR="00625BBA" w:rsidRDefault="00625BBA" w:rsidP="007F1367">
      <w:pPr>
        <w:spacing w:line="276" w:lineRule="auto"/>
        <w:jc w:val="both"/>
        <w:rPr>
          <w:b/>
          <w:bCs/>
        </w:rPr>
      </w:pPr>
    </w:p>
    <w:p w14:paraId="747485E5" w14:textId="23F3833C" w:rsidR="00625BBA" w:rsidRPr="00625BBA" w:rsidRDefault="00625BBA" w:rsidP="00711B8C">
      <w:pPr>
        <w:spacing w:after="120" w:line="276" w:lineRule="auto"/>
        <w:jc w:val="both"/>
        <w:rPr>
          <w:b/>
          <w:bCs/>
        </w:rPr>
      </w:pPr>
      <w:r w:rsidRPr="00625BBA">
        <w:rPr>
          <w:b/>
          <w:bCs/>
        </w:rPr>
        <w:t>K bodu 4</w:t>
      </w:r>
      <w:r w:rsidR="0018242B">
        <w:rPr>
          <w:b/>
          <w:bCs/>
        </w:rPr>
        <w:t>4</w:t>
      </w:r>
    </w:p>
    <w:p w14:paraId="3541AAB6" w14:textId="307D4E89" w:rsidR="00625BBA" w:rsidRDefault="00625BBA" w:rsidP="007F1367">
      <w:pPr>
        <w:spacing w:line="276" w:lineRule="auto"/>
        <w:jc w:val="both"/>
      </w:pPr>
      <w:r w:rsidRPr="00625BBA">
        <w:t>Kompetencie Ministerstva hospodárstva Slovenskej republiky („ministerstvo hospodárstva“) sa upravujú v nadväznosti na skutočnosť, že Centrum pre chemické látky a prípravky („centrum“) je jeho organizačným útvarom a už nie je samostatným orgánom štátnej správy. V nadväznosti na vypustenie celého § 22 upravujúceho postavenie a kompetencie centra sa primerane dopĺňajú kompetencie ministerstva hospodárstva o kompetencie centra. Zároveň sa vypúšťa potreba vyjadrenia Ministerstva životného prostredia Slovenskej republiky, Ministerstva pôdohospodárstva a rozvoja vidieka Slovenskej republiky a Úradu verejného zdravotníctva Slovenskej republiky k vydaniu predbežného súhlasu na dovoz vybraných nebezpečných látok a nebezpečných zmesí a látok, ktoré sú predmetom tzv. PIC procedúry, v nadväznosti na postupy stanovené v nariadení (EÚ) č. 649/2012</w:t>
      </w:r>
      <w:r w:rsidR="001E77F2" w:rsidRPr="001E77F2">
        <w:t xml:space="preserve"> </w:t>
      </w:r>
      <w:r w:rsidR="001E77F2">
        <w:t>v platnom znení</w:t>
      </w:r>
      <w:r w:rsidR="001E77F2" w:rsidRPr="00625BBA">
        <w:t>.</w:t>
      </w:r>
      <w:r w:rsidRPr="00625BBA">
        <w:t xml:space="preserve"> Dopĺňa sa kompetencia podľa nového  nariadenia </w:t>
      </w:r>
      <w:r w:rsidR="00711B8C">
        <w:t xml:space="preserve">o detergentoch </w:t>
      </w:r>
      <w:r w:rsidRPr="00625BBA">
        <w:t>požadovať informácie a dokumentáciu spolu s príslušným odkazom a poznámkou pod čiarou.</w:t>
      </w:r>
    </w:p>
    <w:p w14:paraId="2D9059B0" w14:textId="5C808CB8" w:rsidR="00AB5D5E" w:rsidRPr="00625BBA" w:rsidRDefault="00AB5D5E" w:rsidP="007F1367">
      <w:pPr>
        <w:spacing w:line="276" w:lineRule="auto"/>
        <w:jc w:val="both"/>
      </w:pPr>
      <w:r>
        <w:t>Poznámka 33</w:t>
      </w:r>
      <w:r w:rsidR="00977CF8">
        <w:t xml:space="preserve"> je ak</w:t>
      </w:r>
      <w:r w:rsidR="00331DCB">
        <w:t>tualizácia práv</w:t>
      </w:r>
      <w:r w:rsidR="00E5245E">
        <w:t>neho predpisu.</w:t>
      </w:r>
    </w:p>
    <w:p w14:paraId="333EE029" w14:textId="352B0700" w:rsidR="00625BBA" w:rsidRPr="00625BBA" w:rsidRDefault="00625BBA" w:rsidP="007F1367">
      <w:pPr>
        <w:spacing w:line="276" w:lineRule="auto"/>
        <w:jc w:val="both"/>
      </w:pPr>
      <w:r w:rsidRPr="00625BBA">
        <w:t xml:space="preserve">Poznámka </w:t>
      </w:r>
      <w:r w:rsidR="00711B8C">
        <w:t>34</w:t>
      </w:r>
      <w:r w:rsidRPr="00625BBA">
        <w:t xml:space="preserve"> sa upravuje tak, že sa vypúšťa čl. 43 nariadenia (ES) č. 1272/2008 </w:t>
      </w:r>
      <w:r w:rsidR="006429EA">
        <w:t xml:space="preserve">v platnom znení </w:t>
      </w:r>
      <w:r w:rsidRPr="00625BBA">
        <w:t>upravujúci ustanovenie príslušných orgánov členských štátov, pretože v tomto odkaze je nadbytočný a zároveň je uvedený v </w:t>
      </w:r>
      <w:r w:rsidRPr="00E5245E">
        <w:t>odkaze 33.</w:t>
      </w:r>
    </w:p>
    <w:p w14:paraId="0E2A48C8" w14:textId="0F58017D" w:rsidR="00625BBA" w:rsidRPr="00625BBA" w:rsidRDefault="00625BBA" w:rsidP="007F1367">
      <w:pPr>
        <w:spacing w:line="276" w:lineRule="auto"/>
        <w:jc w:val="both"/>
      </w:pPr>
      <w:r w:rsidRPr="00D43391">
        <w:t xml:space="preserve">Navrhuje sa doplniť poznámka pod čiarou k odkazu </w:t>
      </w:r>
      <w:r w:rsidR="00711B8C" w:rsidRPr="00D43391">
        <w:t>34d</w:t>
      </w:r>
      <w:r w:rsidRPr="00D43391">
        <w:t xml:space="preserve">, ktorá vymenúva ustanovenia nového  nariadenia </w:t>
      </w:r>
      <w:r w:rsidR="00711B8C" w:rsidRPr="00D43391">
        <w:t xml:space="preserve">o detergentoch </w:t>
      </w:r>
      <w:r w:rsidRPr="00D43391">
        <w:t>konkretizujúce oprávnenie ministerstva hospodárstva požadovať informácie a dokumentáciu od príslušných subjektov.</w:t>
      </w:r>
    </w:p>
    <w:p w14:paraId="0736E9DD" w14:textId="56D28688" w:rsidR="00625BBA" w:rsidRPr="00625BBA" w:rsidRDefault="00625BBA" w:rsidP="007F1367">
      <w:pPr>
        <w:spacing w:line="276" w:lineRule="auto"/>
        <w:jc w:val="both"/>
      </w:pPr>
      <w:r w:rsidRPr="00625BBA">
        <w:t>Poznámka pod čiarou k odkazu 36 sa upravuje tak, že sa do nej zahŕňajú aj ustanovenia nariadení EÚ z odkazu 45, ktorý sa navrhuje vypustiť z dôvodu, že sa vypúšťa celý § 22 upravujúci kompetencie centra, ktoré prešli na ministerstvo hospodárstva. Zároveň sa do poznámky pod čiarou k </w:t>
      </w:r>
      <w:r w:rsidR="008C41C3">
        <w:t>§ 18</w:t>
      </w:r>
      <w:r w:rsidRPr="00625BBA">
        <w:t xml:space="preserve">odkazu 36 dopĺňa aj príslušné ustanovenie nariadenia (EÚ) 2023/1542 zakotvujúce možnosť pre členské štáty predložiť návrh obmedzenia látok, ktoré je potrebné implementovať do národnej legislatívy.  </w:t>
      </w:r>
    </w:p>
    <w:p w14:paraId="7DC71093" w14:textId="77777777" w:rsidR="0010253F" w:rsidRDefault="0010253F" w:rsidP="007F1367">
      <w:pPr>
        <w:spacing w:line="276" w:lineRule="auto"/>
        <w:jc w:val="both"/>
      </w:pPr>
    </w:p>
    <w:p w14:paraId="52F5DAA9" w14:textId="58D3CA6B" w:rsidR="0010253F" w:rsidRDefault="0010253F" w:rsidP="007F1367">
      <w:pPr>
        <w:spacing w:line="276" w:lineRule="auto"/>
        <w:jc w:val="both"/>
        <w:rPr>
          <w:b/>
          <w:bCs/>
        </w:rPr>
      </w:pPr>
      <w:r w:rsidRPr="00165024">
        <w:rPr>
          <w:b/>
          <w:bCs/>
        </w:rPr>
        <w:t>K bodu 45</w:t>
      </w:r>
    </w:p>
    <w:p w14:paraId="76CF5B15" w14:textId="13C210FE" w:rsidR="00B50687" w:rsidRDefault="0030756B" w:rsidP="00B50687">
      <w:pPr>
        <w:spacing w:line="276" w:lineRule="auto"/>
        <w:jc w:val="both"/>
      </w:pPr>
      <w:r>
        <w:t>Vypúšťa sa kompetencia ministerstva hospodárstva v</w:t>
      </w:r>
      <w:r w:rsidR="008C41C3">
        <w:t xml:space="preserve">  § 18  v písmene k) </w:t>
      </w:r>
      <w:r w:rsidR="00B50687" w:rsidRPr="00625BBA">
        <w:t>[predtým § 22 ods. 2 písm. j)] upravujúcom udelenie výnimky z požiadavky na biologickú odbúrateľnosť, ktorá sa už</w:t>
      </w:r>
      <w:r w:rsidR="00CB6D40">
        <w:t xml:space="preserve"> </w:t>
      </w:r>
      <w:r w:rsidR="00B50687" w:rsidRPr="00625BBA">
        <w:t>v </w:t>
      </w:r>
      <w:r w:rsidR="00CB6D40" w:rsidRPr="00625BBA">
        <w:t>nariaden</w:t>
      </w:r>
      <w:r w:rsidR="00E228C3">
        <w:t>í</w:t>
      </w:r>
      <w:r w:rsidR="00CB6D40">
        <w:t xml:space="preserve"> </w:t>
      </w:r>
      <w:r w:rsidR="00CB6D40" w:rsidRPr="00775546">
        <w:t>(EÚ) 2026/405</w:t>
      </w:r>
      <w:r w:rsidR="00CB6D40">
        <w:t xml:space="preserve"> (</w:t>
      </w:r>
      <w:r w:rsidR="00B50687" w:rsidRPr="00625BBA">
        <w:t>nov</w:t>
      </w:r>
      <w:r w:rsidR="00CB6D40">
        <w:t>é</w:t>
      </w:r>
      <w:r w:rsidR="00B50687" w:rsidRPr="00625BBA">
        <w:t xml:space="preserve"> nariaden</w:t>
      </w:r>
      <w:r w:rsidR="00CB6D40">
        <w:t>ie</w:t>
      </w:r>
      <w:r w:rsidR="00B50687" w:rsidRPr="00625BBA">
        <w:t xml:space="preserve"> </w:t>
      </w:r>
      <w:r w:rsidR="00B50687">
        <w:t>o</w:t>
      </w:r>
      <w:r w:rsidR="00CB6D40">
        <w:t> </w:t>
      </w:r>
      <w:r w:rsidR="00B50687">
        <w:t>detergentoch</w:t>
      </w:r>
      <w:r w:rsidR="00CB6D40">
        <w:t>)</w:t>
      </w:r>
      <w:r w:rsidR="00E228C3">
        <w:t xml:space="preserve"> </w:t>
      </w:r>
      <w:proofErr w:type="spellStart"/>
      <w:r w:rsidR="00E228C3">
        <w:t>nenacháza</w:t>
      </w:r>
      <w:proofErr w:type="spellEnd"/>
      <w:r w:rsidR="00B50687" w:rsidRPr="00625BBA">
        <w:t xml:space="preserve">. </w:t>
      </w:r>
      <w:r w:rsidR="00F17701">
        <w:t>P</w:t>
      </w:r>
      <w:r w:rsidR="00B50687" w:rsidRPr="00625BBA">
        <w:t xml:space="preserve">o začatí uplatňovania nového nariadenia </w:t>
      </w:r>
      <w:r w:rsidR="00B50687">
        <w:t xml:space="preserve">o detergentoch </w:t>
      </w:r>
      <w:r w:rsidR="00B50687" w:rsidRPr="00625BBA">
        <w:t xml:space="preserve">stratí účinnosť </w:t>
      </w:r>
      <w:r w:rsidR="00F17701">
        <w:t xml:space="preserve">aj poznámka </w:t>
      </w:r>
      <w:r w:rsidR="00E020F2">
        <w:t xml:space="preserve">pod čiarou </w:t>
      </w:r>
      <w:r w:rsidR="00347A59">
        <w:t xml:space="preserve">k odkazu </w:t>
      </w:r>
      <w:r w:rsidR="00E020F2">
        <w:t xml:space="preserve">34c </w:t>
      </w:r>
      <w:r w:rsidR="00B50687" w:rsidRPr="00625BBA">
        <w:t>spolu s predmetným ustanovením.</w:t>
      </w:r>
    </w:p>
    <w:p w14:paraId="46F26D8C" w14:textId="77777777" w:rsidR="00625BBA" w:rsidRDefault="00625BBA" w:rsidP="007F1367">
      <w:pPr>
        <w:spacing w:line="276" w:lineRule="auto"/>
        <w:jc w:val="both"/>
        <w:rPr>
          <w:b/>
          <w:bCs/>
        </w:rPr>
      </w:pPr>
    </w:p>
    <w:p w14:paraId="23DB1B6D" w14:textId="4FFE67D1" w:rsidR="00625BBA" w:rsidRPr="00625BBA" w:rsidRDefault="00625BBA" w:rsidP="006A309C">
      <w:pPr>
        <w:spacing w:after="120" w:line="276" w:lineRule="auto"/>
        <w:jc w:val="both"/>
        <w:rPr>
          <w:b/>
          <w:bCs/>
        </w:rPr>
      </w:pPr>
      <w:r w:rsidRPr="00625BBA">
        <w:rPr>
          <w:b/>
          <w:bCs/>
        </w:rPr>
        <w:t xml:space="preserve">K bodu </w:t>
      </w:r>
      <w:r w:rsidR="00C32F98">
        <w:rPr>
          <w:b/>
          <w:bCs/>
        </w:rPr>
        <w:t>4</w:t>
      </w:r>
      <w:r w:rsidR="0018242B">
        <w:rPr>
          <w:b/>
          <w:bCs/>
        </w:rPr>
        <w:t>6</w:t>
      </w:r>
    </w:p>
    <w:p w14:paraId="27B7EC3B" w14:textId="46C75EA8" w:rsidR="00625BBA" w:rsidRPr="00625BBA" w:rsidRDefault="00625BBA" w:rsidP="007F1367">
      <w:pPr>
        <w:spacing w:line="276" w:lineRule="auto"/>
        <w:jc w:val="both"/>
      </w:pPr>
      <w:r w:rsidRPr="00625BBA">
        <w:t xml:space="preserve">Doplnenie kompetencie pomocou rozšírenia odkazu 38 vyplýva z implementácie nariadenia (EÚ) 2023/1542 o batériách a odpadových batériách, ktoré zakotvuje možnosť pre členské štáty predložiť návrh obmedzenia látok. Preto je potrebné, aby v národnej legislatíve bola táto kompetencia zakotvená pre konkrétny orgán štátnej správy. Ministerstvo hospodárstva </w:t>
      </w:r>
      <w:r w:rsidRPr="00625BBA">
        <w:lastRenderedPageBreak/>
        <w:t xml:space="preserve">Slovenskej republiky je, v postavení príslušného orgánu podľa nariadenia (ES) č. 1907/2006 </w:t>
      </w:r>
      <w:r w:rsidR="00047D43">
        <w:t>v platnom znení</w:t>
      </w:r>
      <w:r w:rsidRPr="00625BBA">
        <w:t>, takýmto orgánom. Zároveň je potrebné doplniť do zákona aj povinnosť pre Ministerstvo zdravotníctva Slovenskej republiky a Ministerstvo životného prostredia Slovenskej republiky poskytnúť Ministerstvu hospodárstva Slovenskej republiky v tejto veci súčinnosť, keďže v danom prípade ide o posúdenie rizika pre zdravie a životné prostredie.</w:t>
      </w:r>
    </w:p>
    <w:p w14:paraId="52837A04" w14:textId="77777777" w:rsidR="007F1367" w:rsidRDefault="007F1367" w:rsidP="007F1367">
      <w:pPr>
        <w:spacing w:line="276" w:lineRule="auto"/>
        <w:jc w:val="both"/>
        <w:rPr>
          <w:b/>
          <w:bCs/>
        </w:rPr>
      </w:pPr>
    </w:p>
    <w:p w14:paraId="55EE5FC9" w14:textId="03DD1DCF" w:rsidR="00625BBA" w:rsidRPr="00625BBA" w:rsidRDefault="00625BBA" w:rsidP="006A309C">
      <w:pPr>
        <w:spacing w:after="120" w:line="276" w:lineRule="auto"/>
        <w:jc w:val="both"/>
        <w:rPr>
          <w:b/>
          <w:bCs/>
        </w:rPr>
      </w:pPr>
      <w:r w:rsidRPr="00625BBA">
        <w:rPr>
          <w:b/>
          <w:bCs/>
        </w:rPr>
        <w:t xml:space="preserve">K bodu </w:t>
      </w:r>
      <w:r w:rsidR="0018242B">
        <w:rPr>
          <w:b/>
          <w:bCs/>
        </w:rPr>
        <w:t>47</w:t>
      </w:r>
    </w:p>
    <w:p w14:paraId="34DD7F62" w14:textId="18FDB654" w:rsidR="00625BBA" w:rsidRPr="00625BBA" w:rsidRDefault="00625BBA" w:rsidP="007F1367">
      <w:pPr>
        <w:spacing w:line="276" w:lineRule="auto"/>
        <w:jc w:val="both"/>
      </w:pPr>
      <w:r w:rsidRPr="00625BBA">
        <w:t xml:space="preserve">Z dôvodu prijatia revízie nariadenia č. 1272/2008 </w:t>
      </w:r>
      <w:r w:rsidR="006429EA">
        <w:t xml:space="preserve">v platnom znení </w:t>
      </w:r>
      <w:r w:rsidRPr="00625BBA">
        <w:t xml:space="preserve"> prostredníctvom nariadenia (EÚ) 2024/2865 sa v znení § 19 písm. b) navrhuje rozšíriť kompetencia Ministerstva zdravotníctva Slovenskej republiky prijímať prostredníctvom Národného toxikologického informačného centra informácie aj od distribútorov, ktorí uvádzajú na trh zmesi klasifikované ako nebezpečné na základe ich účinkov na zdravie alebo fyzikálnych účinkov a zároveň sa navrhuje vypustiť výrobcov, keďže výrobcami sa rozumejú výrobcovia látok. V tomto prípade sa však jedná o výrobcov zmesí, ktorí sa považujú podľa CLP za následných užívateľov. Zároveň sa z dôvodu zrozumiteľnosti a určitosti dopĺňa, že medzi následných užívateľov patria aj výrobcovia zmesi, keďže z aplikačnej praxe vyplýva, že to dotknutým subjektom na trhu nie je vždy zrejmé.</w:t>
      </w:r>
    </w:p>
    <w:p w14:paraId="306C9284" w14:textId="70B7A62B" w:rsidR="00625BBA" w:rsidRPr="00625BBA" w:rsidRDefault="00625BBA" w:rsidP="007F1367">
      <w:pPr>
        <w:spacing w:line="276" w:lineRule="auto"/>
        <w:jc w:val="both"/>
      </w:pPr>
      <w:r w:rsidRPr="00625BBA">
        <w:t xml:space="preserve">Nová poznámka pod čiarou k odkazu 39a uvádza čl. 45 ods. </w:t>
      </w:r>
      <w:r w:rsidRPr="00CE3095">
        <w:t xml:space="preserve">1c </w:t>
      </w:r>
      <w:r w:rsidRPr="00D74785">
        <w:t>CLP</w:t>
      </w:r>
      <w:r w:rsidRPr="00625BBA">
        <w:t xml:space="preserve"> upravujúci povinnosť distribútorov, ktorí na trh uvádzajú zmesi klasifikované ako nebezpečné na základe ich účinkov na zdravie alebo ich fyzikálnych účinkov, predkladať ustanovenému orgánu informácie uvedené v časti B prílohy VIII uvedeného nariadenia, pokiaľ tieto zmesi následne distribuujú v iných členských štátoch alebo pokiaľ ich znova označujú, či uvádzajú na trh pod inou značkou.</w:t>
      </w:r>
    </w:p>
    <w:p w14:paraId="1A9D5313" w14:textId="77777777" w:rsidR="00D43391" w:rsidRDefault="00D43391" w:rsidP="006A309C">
      <w:pPr>
        <w:spacing w:after="120" w:line="276" w:lineRule="auto"/>
        <w:jc w:val="both"/>
        <w:rPr>
          <w:b/>
          <w:bCs/>
        </w:rPr>
      </w:pPr>
    </w:p>
    <w:p w14:paraId="503DA978" w14:textId="604967EF" w:rsidR="00625BBA" w:rsidRPr="00625BBA" w:rsidRDefault="00625BBA" w:rsidP="006A309C">
      <w:pPr>
        <w:spacing w:after="120" w:line="276" w:lineRule="auto"/>
        <w:jc w:val="both"/>
      </w:pPr>
      <w:r w:rsidRPr="00625BBA">
        <w:rPr>
          <w:b/>
          <w:bCs/>
        </w:rPr>
        <w:t xml:space="preserve">K bodu </w:t>
      </w:r>
      <w:r w:rsidR="0018242B">
        <w:rPr>
          <w:b/>
          <w:bCs/>
        </w:rPr>
        <w:t>48</w:t>
      </w:r>
    </w:p>
    <w:p w14:paraId="689B406D" w14:textId="0F0C94DD" w:rsidR="00625BBA" w:rsidRPr="00625BBA" w:rsidRDefault="00625BBA" w:rsidP="007F1367">
      <w:pPr>
        <w:spacing w:line="276" w:lineRule="auto"/>
        <w:jc w:val="both"/>
      </w:pPr>
      <w:r w:rsidRPr="00625BBA">
        <w:t xml:space="preserve">Navrhuje sa aktualizovanie kompetencie Ministerstva zdravotníctva Slovenskej republiky prijímať karty údajov o zložkách prostredníctvom Národného toxikologického informačného centra v súlade s novým nariadením </w:t>
      </w:r>
      <w:r w:rsidR="006A309C">
        <w:t>o detergentoch</w:t>
      </w:r>
      <w:r w:rsidRPr="00625BBA">
        <w:t xml:space="preserve">. Nová poznámka pod čiarou k odkazu </w:t>
      </w:r>
      <w:r w:rsidRPr="00371D6D">
        <w:t>39</w:t>
      </w:r>
      <w:r w:rsidR="00371D6D" w:rsidRPr="00371D6D">
        <w:t>f</w:t>
      </w:r>
      <w:r w:rsidRPr="00371D6D">
        <w:t xml:space="preserve"> uvádza ustanovenia nového nariadenia</w:t>
      </w:r>
      <w:r w:rsidR="006A309C" w:rsidRPr="00371D6D">
        <w:t xml:space="preserve"> o detergentoch</w:t>
      </w:r>
      <w:r w:rsidRPr="00371D6D">
        <w:t>, ktoré stanovuje formát poskytovania</w:t>
      </w:r>
      <w:r w:rsidRPr="00625BBA">
        <w:t xml:space="preserve"> karty údajov a zložkách, ako je uvedený v navrhovan</w:t>
      </w:r>
      <w:r w:rsidR="00D43391">
        <w:t>om</w:t>
      </w:r>
      <w:r w:rsidRPr="00625BBA">
        <w:t xml:space="preserve"> znen</w:t>
      </w:r>
      <w:r w:rsidR="00D43391">
        <w:t>í</w:t>
      </w:r>
      <w:r w:rsidRPr="00625BBA">
        <w:t xml:space="preserve"> § 19 písm. d).</w:t>
      </w:r>
    </w:p>
    <w:p w14:paraId="5FFD8EAC" w14:textId="77777777" w:rsidR="00B278F8" w:rsidRDefault="00B278F8" w:rsidP="00563CE1">
      <w:pPr>
        <w:spacing w:line="276" w:lineRule="auto"/>
        <w:jc w:val="both"/>
        <w:rPr>
          <w:b/>
          <w:bCs/>
        </w:rPr>
      </w:pPr>
    </w:p>
    <w:p w14:paraId="27037BA7" w14:textId="5A779883" w:rsidR="00625BBA" w:rsidRPr="00625BBA" w:rsidRDefault="00625BBA" w:rsidP="006A309C">
      <w:pPr>
        <w:spacing w:after="120" w:line="276" w:lineRule="auto"/>
        <w:jc w:val="both"/>
        <w:rPr>
          <w:b/>
          <w:bCs/>
        </w:rPr>
      </w:pPr>
      <w:r w:rsidRPr="00625BBA">
        <w:rPr>
          <w:b/>
          <w:bCs/>
        </w:rPr>
        <w:t xml:space="preserve">K bodu </w:t>
      </w:r>
      <w:r w:rsidR="00B278F8">
        <w:rPr>
          <w:b/>
          <w:bCs/>
        </w:rPr>
        <w:t>49</w:t>
      </w:r>
    </w:p>
    <w:p w14:paraId="0C3227FE" w14:textId="5CC7FCAF" w:rsidR="00625BBA" w:rsidRPr="00625BBA" w:rsidRDefault="00625BBA" w:rsidP="007F1367">
      <w:pPr>
        <w:spacing w:line="276" w:lineRule="auto"/>
        <w:jc w:val="both"/>
      </w:pPr>
      <w:r w:rsidRPr="00625BBA">
        <w:t>Z </w:t>
      </w:r>
      <w:proofErr w:type="spellStart"/>
      <w:r w:rsidRPr="00625BBA">
        <w:t>ust</w:t>
      </w:r>
      <w:proofErr w:type="spellEnd"/>
      <w:r w:rsidRPr="00625BBA">
        <w:t>. § 20 ods. 1 upravujúceho kompetencie Ministerstva životného prostredia Slovenskej republiky sa navrhuje vypustiť kompetencie týkajúce sa dovozu vybraných nebezpečných chemikálií, pretože zasielaním oznámení vývozcov a dovozcov o vývoze/dovoze priamo prostredníctvom portálu „</w:t>
      </w:r>
      <w:proofErr w:type="spellStart"/>
      <w:r w:rsidRPr="00625BBA">
        <w:t>ePIC</w:t>
      </w:r>
      <w:proofErr w:type="spellEnd"/>
      <w:r w:rsidRPr="00625BBA">
        <w:t xml:space="preserve">“ Európskej chemickej agentúry Ministerstvu hospodárstva Slovenskej republiky ako poverenému vnútroštátnemu orgánu členského štátu a ďalej Európskej komisii sa zmenili nariadením (EÚ) č. 649/2012 </w:t>
      </w:r>
      <w:r w:rsidR="006429EA">
        <w:t xml:space="preserve">v platnom znení </w:t>
      </w:r>
      <w:r w:rsidRPr="00625BBA">
        <w:t>postupy pri vývoze a dovoze nebezpečných chemikálií, čím sa výrazne eliminovali úlohy dotknutých štátnych orgánov. Vypustenie poznámky pod čiarou k odkazu 40 vyplýva zo skutočnosti, že sa navrhuje výmaz ustanovenia § 20 ods. 1 písm. b), v ktorom sa tento odkaz 40 nachádza.</w:t>
      </w:r>
    </w:p>
    <w:p w14:paraId="7B34F9D6" w14:textId="77777777" w:rsidR="00625BBA" w:rsidRPr="00625BBA" w:rsidRDefault="00625BBA" w:rsidP="00625BBA">
      <w:pPr>
        <w:jc w:val="both"/>
        <w:rPr>
          <w:b/>
          <w:bCs/>
        </w:rPr>
      </w:pPr>
    </w:p>
    <w:p w14:paraId="6692C5E2" w14:textId="77777777" w:rsidR="00B7659A" w:rsidRDefault="00B7659A" w:rsidP="006A309C">
      <w:pPr>
        <w:spacing w:after="120"/>
        <w:jc w:val="both"/>
        <w:rPr>
          <w:b/>
          <w:bCs/>
        </w:rPr>
      </w:pPr>
    </w:p>
    <w:p w14:paraId="4DC6EBC5" w14:textId="77777777" w:rsidR="00B7659A" w:rsidRDefault="00B7659A" w:rsidP="006A309C">
      <w:pPr>
        <w:spacing w:after="120"/>
        <w:jc w:val="both"/>
        <w:rPr>
          <w:b/>
          <w:bCs/>
        </w:rPr>
      </w:pPr>
    </w:p>
    <w:p w14:paraId="04AD3471" w14:textId="77777777" w:rsidR="00B7659A" w:rsidRDefault="00B7659A" w:rsidP="006A309C">
      <w:pPr>
        <w:spacing w:after="120"/>
        <w:jc w:val="both"/>
        <w:rPr>
          <w:b/>
          <w:bCs/>
        </w:rPr>
      </w:pPr>
    </w:p>
    <w:p w14:paraId="3A617A48" w14:textId="634FBA5C" w:rsidR="00625BBA" w:rsidRPr="00625BBA" w:rsidRDefault="00625BBA" w:rsidP="006A309C">
      <w:pPr>
        <w:spacing w:after="120"/>
        <w:jc w:val="both"/>
        <w:rPr>
          <w:b/>
          <w:bCs/>
        </w:rPr>
      </w:pPr>
      <w:r w:rsidRPr="00625BBA">
        <w:rPr>
          <w:b/>
          <w:bCs/>
        </w:rPr>
        <w:t>K bodu 5</w:t>
      </w:r>
      <w:r w:rsidR="00B278F8">
        <w:rPr>
          <w:b/>
          <w:bCs/>
        </w:rPr>
        <w:t>0</w:t>
      </w:r>
    </w:p>
    <w:p w14:paraId="041CA801" w14:textId="132CBBED" w:rsidR="00625BBA" w:rsidRDefault="00625BBA" w:rsidP="007F1367">
      <w:pPr>
        <w:spacing w:line="276" w:lineRule="auto"/>
        <w:jc w:val="both"/>
      </w:pPr>
      <w:r w:rsidRPr="00625BBA">
        <w:t xml:space="preserve">Navrhovaná zmena je zosúladením terminológie s aktuálne účinným nariadením (EÚ) </w:t>
      </w:r>
      <w:r w:rsidR="006A309C">
        <w:br/>
      </w:r>
      <w:r w:rsidRPr="00625BBA">
        <w:t>č. 649/2012</w:t>
      </w:r>
      <w:r w:rsidR="00047D43">
        <w:t xml:space="preserve"> v platnom znení</w:t>
      </w:r>
      <w:r w:rsidRPr="00625BBA">
        <w:t>, pričom v nadväznosti na toto zosúladenie nová poznámka pod čiarou 42a odkazuje na definíciu pojmu „právoplatné regulačné opatrenie“ podľa tohto nariadenia.</w:t>
      </w:r>
    </w:p>
    <w:p w14:paraId="21CFDDB4" w14:textId="77777777" w:rsidR="007F1367" w:rsidRPr="007F1367" w:rsidRDefault="007F1367" w:rsidP="007F1367">
      <w:pPr>
        <w:spacing w:line="276" w:lineRule="auto"/>
        <w:jc w:val="both"/>
      </w:pPr>
    </w:p>
    <w:p w14:paraId="649F5688" w14:textId="05D9B726" w:rsidR="007F1367" w:rsidRPr="007F1367" w:rsidRDefault="00625BBA" w:rsidP="006A309C">
      <w:pPr>
        <w:pStyle w:val="Textkomentra"/>
        <w:spacing w:after="120" w:line="276" w:lineRule="auto"/>
        <w:jc w:val="both"/>
        <w:rPr>
          <w:rFonts w:ascii="Times New Roman" w:hAnsi="Times New Roman" w:cs="Times New Roman"/>
          <w:b/>
          <w:bCs/>
          <w:sz w:val="24"/>
          <w:szCs w:val="24"/>
          <w:lang w:val="sk-SK"/>
        </w:rPr>
      </w:pPr>
      <w:r w:rsidRPr="007F1367">
        <w:rPr>
          <w:rFonts w:ascii="Times New Roman" w:hAnsi="Times New Roman" w:cs="Times New Roman"/>
          <w:b/>
          <w:bCs/>
          <w:sz w:val="24"/>
          <w:szCs w:val="24"/>
          <w:lang w:val="sk-SK"/>
        </w:rPr>
        <w:t>K bodu 5</w:t>
      </w:r>
      <w:r w:rsidR="002A1ADD">
        <w:rPr>
          <w:rFonts w:ascii="Times New Roman" w:hAnsi="Times New Roman" w:cs="Times New Roman"/>
          <w:b/>
          <w:bCs/>
          <w:sz w:val="24"/>
          <w:szCs w:val="24"/>
          <w:lang w:val="sk-SK"/>
        </w:rPr>
        <w:t>1</w:t>
      </w:r>
    </w:p>
    <w:p w14:paraId="1053D544" w14:textId="4FC79B0A" w:rsidR="00625BBA" w:rsidRPr="007F1367" w:rsidRDefault="00625BBA" w:rsidP="007F1367">
      <w:pPr>
        <w:pStyle w:val="Textkomentra"/>
        <w:spacing w:after="0" w:line="276" w:lineRule="auto"/>
        <w:jc w:val="both"/>
        <w:rPr>
          <w:rFonts w:ascii="Times New Roman" w:hAnsi="Times New Roman" w:cs="Times New Roman"/>
          <w:b/>
          <w:bCs/>
          <w:sz w:val="24"/>
          <w:szCs w:val="24"/>
          <w:lang w:val="sk-SK"/>
        </w:rPr>
      </w:pPr>
      <w:r w:rsidRPr="006A309C">
        <w:rPr>
          <w:rFonts w:ascii="Times New Roman" w:hAnsi="Times New Roman" w:cs="Times New Roman"/>
          <w:sz w:val="24"/>
          <w:szCs w:val="24"/>
          <w:lang w:val="sk-SK"/>
        </w:rPr>
        <w:t>Zmena sa navrhuje z dôvodu upresnenia terminológie v súlade s nariadením (ES) č. 1107/2009, v ktorom je pojem „prípravky na ochranu rastlín“ definovaný. Zároveň sa dopĺňa odkaz na uvedené nariadenie Európskej únie z dôvodu zadefinovania legálneho pojmu „prípravky na ochranu rastlín</w:t>
      </w:r>
      <w:r w:rsidRPr="007F1367">
        <w:rPr>
          <w:rFonts w:ascii="Times New Roman" w:hAnsi="Times New Roman" w:cs="Times New Roman"/>
          <w:sz w:val="24"/>
          <w:szCs w:val="24"/>
          <w:lang w:val="sk-SK"/>
        </w:rPr>
        <w:t>“.</w:t>
      </w:r>
    </w:p>
    <w:p w14:paraId="3503CF07" w14:textId="77777777" w:rsidR="007F1367" w:rsidRDefault="007F1367" w:rsidP="007F1367">
      <w:pPr>
        <w:pStyle w:val="Textkomentra"/>
        <w:spacing w:after="0" w:line="278" w:lineRule="auto"/>
        <w:jc w:val="both"/>
        <w:rPr>
          <w:rFonts w:ascii="Times New Roman" w:hAnsi="Times New Roman" w:cs="Times New Roman"/>
          <w:b/>
          <w:bCs/>
          <w:sz w:val="24"/>
          <w:szCs w:val="24"/>
        </w:rPr>
      </w:pPr>
    </w:p>
    <w:p w14:paraId="34E94B50" w14:textId="0C53F351" w:rsidR="00625BBA" w:rsidRPr="006A309C" w:rsidRDefault="00625BBA" w:rsidP="006A309C">
      <w:pPr>
        <w:pStyle w:val="Textkomentra"/>
        <w:spacing w:after="120" w:line="276" w:lineRule="auto"/>
        <w:jc w:val="both"/>
        <w:rPr>
          <w:rFonts w:ascii="Times New Roman" w:hAnsi="Times New Roman" w:cs="Times New Roman"/>
          <w:b/>
          <w:bCs/>
          <w:sz w:val="24"/>
          <w:szCs w:val="24"/>
          <w:lang w:val="sk-SK"/>
        </w:rPr>
      </w:pPr>
      <w:r w:rsidRPr="006A309C">
        <w:rPr>
          <w:rFonts w:ascii="Times New Roman" w:hAnsi="Times New Roman" w:cs="Times New Roman"/>
          <w:b/>
          <w:bCs/>
          <w:sz w:val="24"/>
          <w:szCs w:val="24"/>
          <w:lang w:val="sk-SK"/>
        </w:rPr>
        <w:t>K bodu 5</w:t>
      </w:r>
      <w:r w:rsidR="006A5B8B">
        <w:rPr>
          <w:rFonts w:ascii="Times New Roman" w:hAnsi="Times New Roman" w:cs="Times New Roman"/>
          <w:b/>
          <w:bCs/>
          <w:sz w:val="24"/>
          <w:szCs w:val="24"/>
          <w:lang w:val="sk-SK"/>
        </w:rPr>
        <w:t>2</w:t>
      </w:r>
    </w:p>
    <w:p w14:paraId="74FB1E97" w14:textId="5DEC43B0" w:rsidR="00625BBA" w:rsidRPr="00625BBA" w:rsidRDefault="00625BBA" w:rsidP="00275EB7">
      <w:pPr>
        <w:spacing w:after="120" w:line="276" w:lineRule="auto"/>
        <w:jc w:val="both"/>
      </w:pPr>
      <w:r w:rsidRPr="00625BBA">
        <w:t>Zmena odkazu je potrebná z dôvodu, že pôvodný odkaz 38 obsahuje v zmysle novelizačného</w:t>
      </w:r>
      <w:r w:rsidR="00047D43">
        <w:t xml:space="preserve"> </w:t>
      </w:r>
      <w:r w:rsidRPr="006A309C">
        <w:t xml:space="preserve">bodu </w:t>
      </w:r>
      <w:r w:rsidR="00253B54">
        <w:t>4</w:t>
      </w:r>
      <w:r w:rsidR="006A5B8B">
        <w:t>6</w:t>
      </w:r>
      <w:r w:rsidRPr="006A309C">
        <w:t xml:space="preserve"> aj</w:t>
      </w:r>
      <w:r w:rsidRPr="00625BBA">
        <w:t xml:space="preserve"> </w:t>
      </w:r>
      <w:r w:rsidR="00995B15">
        <w:t>n</w:t>
      </w:r>
      <w:r w:rsidR="00047D43" w:rsidRPr="003710D0">
        <w:t>ariadeni</w:t>
      </w:r>
      <w:r w:rsidR="00047D43">
        <w:t>e</w:t>
      </w:r>
      <w:r w:rsidR="00047D43" w:rsidRPr="003710D0">
        <w:t xml:space="preserve"> Európskeho parlamentu a Rady (EÚ) 2023/1542 z 12. júla 2023 o batériách a odpadových batériách, ktorým sa mení smernica 2008/98/ES a nariadenie (EÚ) 2019/1020 a zrušuje smernica 2006/66/ES</w:t>
      </w:r>
      <w:r w:rsidR="00047D43">
        <w:t xml:space="preserve"> </w:t>
      </w:r>
      <w:r w:rsidR="00047D43" w:rsidRPr="00FC1519">
        <w:t>(</w:t>
      </w:r>
      <w:r w:rsidR="00047D43" w:rsidRPr="003710D0">
        <w:t>Ú. v. EÚ L 191, 28.7.2023) v platnom znení</w:t>
      </w:r>
      <w:r w:rsidR="00047D43">
        <w:t>.</w:t>
      </w:r>
      <w:r w:rsidRPr="00625BBA">
        <w:t xml:space="preserve"> Kompetencia Ministerstva pôdohospodárstva a rozvoja vidieka Slovenskej republiky podľa tohto zákona však z predmetného nariadenia Európskej únie nevyplýva, preto je potrebné uviesť iný odkaz, ktorý ho neobsahuje. Zároveň je potrebné do predmetnej poznámky pod čiarou doplniť aj nariadenie Európskej únie týkajúce sa tzv. PIC postupu, keďže Ministerstvo pôdohospodárstva a rozvoja vidieka Slovenskej republiky je ako </w:t>
      </w:r>
      <w:proofErr w:type="spellStart"/>
      <w:r w:rsidRPr="00625BBA">
        <w:t>spolugestor</w:t>
      </w:r>
      <w:proofErr w:type="spellEnd"/>
      <w:r w:rsidRPr="00625BBA">
        <w:t xml:space="preserve"> spolu s Ministerstvom hospodárstva Slovenskej republiky ako gestorom povereným vnútroštátnym orgánom podľa čl. 4 predmetného nariadenia Európskej únie.</w:t>
      </w:r>
    </w:p>
    <w:p w14:paraId="796C8616" w14:textId="77777777" w:rsidR="00625BBA" w:rsidRDefault="00625BBA" w:rsidP="007F1367">
      <w:pPr>
        <w:spacing w:line="276" w:lineRule="auto"/>
        <w:rPr>
          <w:b/>
          <w:bCs/>
        </w:rPr>
      </w:pPr>
    </w:p>
    <w:p w14:paraId="60D18196" w14:textId="17D9DDA3" w:rsidR="00625BBA" w:rsidRPr="00625BBA" w:rsidRDefault="00625BBA" w:rsidP="007070D4">
      <w:pPr>
        <w:spacing w:after="120" w:line="276" w:lineRule="auto"/>
        <w:rPr>
          <w:b/>
          <w:bCs/>
        </w:rPr>
      </w:pPr>
      <w:r w:rsidRPr="00625BBA">
        <w:rPr>
          <w:b/>
          <w:bCs/>
        </w:rPr>
        <w:t>K bodu 5</w:t>
      </w:r>
      <w:r w:rsidR="006A5B8B">
        <w:rPr>
          <w:b/>
          <w:bCs/>
        </w:rPr>
        <w:t>3</w:t>
      </w:r>
    </w:p>
    <w:p w14:paraId="2B018465" w14:textId="2AA841DD" w:rsidR="00DA212C" w:rsidRPr="007F1367" w:rsidRDefault="00625BBA" w:rsidP="007F1367">
      <w:pPr>
        <w:spacing w:line="276" w:lineRule="auto"/>
        <w:jc w:val="both"/>
      </w:pPr>
      <w:r w:rsidRPr="00625BBA">
        <w:t>Vypustenie celého § 22 upravujúceho kompetencie Centra pre chemické látky a prípravky („centrum“) vyplýva zo skutočnosti, že tento pôvodne samostatný orgán štátnej správy sa stal súčasťou Ministerstva hospodárstva Slovenskej republiky („ministerstvo hospodárstva“) ako jeho organizačný útvar. Kompetencie centra tak boli zahrnuté do kompetencií ministerstva hospodárstva v § 18. Zároveň sa vypúšťa</w:t>
      </w:r>
      <w:r w:rsidR="007070D4">
        <w:t xml:space="preserve">jú </w:t>
      </w:r>
      <w:r w:rsidRPr="00625BBA">
        <w:t>aj poznámk</w:t>
      </w:r>
      <w:r w:rsidR="007070D4">
        <w:t>y</w:t>
      </w:r>
      <w:r w:rsidRPr="00625BBA">
        <w:t xml:space="preserve"> pod čiarou k</w:t>
      </w:r>
      <w:r w:rsidR="007070D4">
        <w:t> </w:t>
      </w:r>
      <w:r w:rsidRPr="00625BBA">
        <w:t>odkaz</w:t>
      </w:r>
      <w:r w:rsidR="007070D4">
        <w:t xml:space="preserve">om </w:t>
      </w:r>
      <w:r w:rsidR="00C406C0" w:rsidRPr="00C406C0">
        <w:t>43</w:t>
      </w:r>
      <w:r w:rsidR="007070D4" w:rsidRPr="00C406C0">
        <w:t xml:space="preserve"> až 49a</w:t>
      </w:r>
      <w:r w:rsidRPr="00C406C0">
        <w:t xml:space="preserve">, </w:t>
      </w:r>
      <w:r w:rsidR="007070D4" w:rsidRPr="00C406C0">
        <w:t>pričom odkaz 45</w:t>
      </w:r>
      <w:r w:rsidRPr="00C406C0">
        <w:t xml:space="preserve"> sa vyskytuje v znení zákona len jedenkrát v ustanovení § 22, ktorý</w:t>
      </w:r>
      <w:r w:rsidRPr="00625BBA">
        <w:t xml:space="preserve"> sa navrhuje celý vypustiť. Právne predpisy uvedené v poznámke pod čiarou k tomuto odkazu sú týmto návrhom subsumované pod poznámku pod čiarou k odkazu 36.</w:t>
      </w:r>
    </w:p>
    <w:p w14:paraId="3D0C0D0F" w14:textId="77777777" w:rsidR="006A5B8B" w:rsidRDefault="006A5B8B" w:rsidP="00563CE1">
      <w:pPr>
        <w:pStyle w:val="Textkomentra"/>
        <w:spacing w:after="0" w:line="276" w:lineRule="auto"/>
        <w:rPr>
          <w:rFonts w:ascii="Times New Roman" w:hAnsi="Times New Roman" w:cs="Times New Roman"/>
          <w:b/>
          <w:bCs/>
          <w:sz w:val="24"/>
          <w:szCs w:val="24"/>
          <w:lang w:val="sk-SK"/>
        </w:rPr>
      </w:pPr>
    </w:p>
    <w:p w14:paraId="28303860" w14:textId="1C187083" w:rsidR="00625BBA" w:rsidRPr="00625BBA" w:rsidRDefault="00625BBA" w:rsidP="007070D4">
      <w:pPr>
        <w:pStyle w:val="Textkomentra"/>
        <w:spacing w:after="120" w:line="276" w:lineRule="auto"/>
        <w:rPr>
          <w:rFonts w:ascii="Times New Roman" w:hAnsi="Times New Roman" w:cs="Times New Roman"/>
          <w:b/>
          <w:bCs/>
          <w:sz w:val="24"/>
          <w:szCs w:val="24"/>
          <w:lang w:val="sk-SK"/>
        </w:rPr>
      </w:pPr>
      <w:r w:rsidRPr="00625BBA">
        <w:rPr>
          <w:rFonts w:ascii="Times New Roman" w:hAnsi="Times New Roman" w:cs="Times New Roman"/>
          <w:b/>
          <w:bCs/>
          <w:sz w:val="24"/>
          <w:szCs w:val="24"/>
          <w:lang w:val="sk-SK"/>
        </w:rPr>
        <w:t>K bodu 5</w:t>
      </w:r>
      <w:r w:rsidR="006A5B8B">
        <w:rPr>
          <w:rFonts w:ascii="Times New Roman" w:hAnsi="Times New Roman" w:cs="Times New Roman"/>
          <w:b/>
          <w:bCs/>
          <w:sz w:val="24"/>
          <w:szCs w:val="24"/>
          <w:lang w:val="sk-SK"/>
        </w:rPr>
        <w:t>4</w:t>
      </w:r>
    </w:p>
    <w:p w14:paraId="50C963AA" w14:textId="59014F9E" w:rsidR="007F1367" w:rsidRDefault="00625BBA" w:rsidP="00563CE1">
      <w:pPr>
        <w:pStyle w:val="Textkomentra"/>
        <w:spacing w:after="0" w:line="276" w:lineRule="auto"/>
        <w:jc w:val="both"/>
        <w:rPr>
          <w:rFonts w:ascii="Times New Roman" w:hAnsi="Times New Roman" w:cs="Times New Roman"/>
          <w:kern w:val="2"/>
          <w:sz w:val="24"/>
          <w:szCs w:val="24"/>
          <w:lang w:val="sk-SK"/>
          <w14:ligatures w14:val="standardContextual"/>
        </w:rPr>
      </w:pPr>
      <w:r w:rsidRPr="00625BBA">
        <w:rPr>
          <w:rFonts w:ascii="Times New Roman" w:hAnsi="Times New Roman" w:cs="Times New Roman"/>
          <w:kern w:val="2"/>
          <w:sz w:val="24"/>
          <w:szCs w:val="24"/>
          <w:lang w:val="sk-SK"/>
          <w14:ligatures w14:val="standardContextual"/>
        </w:rPr>
        <w:t>V prípade Slovenskej inšpekcie životného prostredia je potrebné doplnenie okruhu kontrolovaných osôb (výrobcov) aj o následných užívateľov, lebo výrobca je výrobca látky a následný užívateľ je aj výrobca zmesi.</w:t>
      </w:r>
    </w:p>
    <w:p w14:paraId="2D7FCAAE" w14:textId="77777777" w:rsidR="007F1367" w:rsidRPr="007F1367" w:rsidRDefault="007F1367" w:rsidP="007F1367">
      <w:pPr>
        <w:pStyle w:val="Textkomentra"/>
        <w:spacing w:after="0" w:line="276" w:lineRule="auto"/>
        <w:jc w:val="both"/>
        <w:rPr>
          <w:rFonts w:ascii="Times New Roman" w:hAnsi="Times New Roman" w:cs="Times New Roman"/>
          <w:kern w:val="2"/>
          <w:sz w:val="24"/>
          <w:szCs w:val="24"/>
          <w:lang w:val="sk-SK"/>
          <w14:ligatures w14:val="standardContextual"/>
        </w:rPr>
      </w:pPr>
    </w:p>
    <w:p w14:paraId="311C48AF" w14:textId="77777777" w:rsidR="00B7659A" w:rsidRDefault="00B7659A" w:rsidP="007070D4">
      <w:pPr>
        <w:pStyle w:val="Textkomentra"/>
        <w:spacing w:after="120" w:line="276" w:lineRule="auto"/>
        <w:rPr>
          <w:rFonts w:ascii="Times New Roman" w:hAnsi="Times New Roman" w:cs="Times New Roman"/>
          <w:b/>
          <w:bCs/>
          <w:sz w:val="24"/>
          <w:szCs w:val="24"/>
        </w:rPr>
      </w:pPr>
    </w:p>
    <w:p w14:paraId="6B217E56" w14:textId="77777777" w:rsidR="00B7659A" w:rsidRDefault="00B7659A" w:rsidP="007070D4">
      <w:pPr>
        <w:pStyle w:val="Textkomentra"/>
        <w:spacing w:after="120" w:line="276" w:lineRule="auto"/>
        <w:rPr>
          <w:rFonts w:ascii="Times New Roman" w:hAnsi="Times New Roman" w:cs="Times New Roman"/>
          <w:b/>
          <w:bCs/>
          <w:sz w:val="24"/>
          <w:szCs w:val="24"/>
        </w:rPr>
      </w:pPr>
    </w:p>
    <w:p w14:paraId="6CD5D169" w14:textId="251D2BAE" w:rsidR="00625BBA" w:rsidRPr="00625BBA" w:rsidRDefault="00625BBA" w:rsidP="007070D4">
      <w:pPr>
        <w:pStyle w:val="Textkomentra"/>
        <w:spacing w:after="120" w:line="276" w:lineRule="auto"/>
        <w:rPr>
          <w:rFonts w:ascii="Times New Roman" w:hAnsi="Times New Roman" w:cs="Times New Roman"/>
          <w:b/>
          <w:bCs/>
          <w:sz w:val="24"/>
          <w:szCs w:val="24"/>
        </w:rPr>
      </w:pPr>
      <w:r w:rsidRPr="00625BBA">
        <w:rPr>
          <w:rFonts w:ascii="Times New Roman" w:hAnsi="Times New Roman" w:cs="Times New Roman"/>
          <w:b/>
          <w:bCs/>
          <w:sz w:val="24"/>
          <w:szCs w:val="24"/>
        </w:rPr>
        <w:lastRenderedPageBreak/>
        <w:t>K </w:t>
      </w:r>
      <w:r w:rsidRPr="00AC2E48">
        <w:rPr>
          <w:rFonts w:ascii="Times New Roman" w:hAnsi="Times New Roman" w:cs="Times New Roman"/>
          <w:b/>
          <w:bCs/>
          <w:sz w:val="24"/>
          <w:szCs w:val="24"/>
          <w:lang w:val="sk-SK"/>
        </w:rPr>
        <w:t>bodu</w:t>
      </w:r>
      <w:r w:rsidRPr="00625BBA">
        <w:rPr>
          <w:rFonts w:ascii="Times New Roman" w:hAnsi="Times New Roman" w:cs="Times New Roman"/>
          <w:b/>
          <w:bCs/>
          <w:sz w:val="24"/>
          <w:szCs w:val="24"/>
        </w:rPr>
        <w:t xml:space="preserve"> 5</w:t>
      </w:r>
      <w:r w:rsidR="006A5B8B">
        <w:rPr>
          <w:rFonts w:ascii="Times New Roman" w:hAnsi="Times New Roman" w:cs="Times New Roman"/>
          <w:b/>
          <w:bCs/>
          <w:sz w:val="24"/>
          <w:szCs w:val="24"/>
        </w:rPr>
        <w:t>5</w:t>
      </w:r>
    </w:p>
    <w:p w14:paraId="74B22352" w14:textId="21EE6A2B" w:rsidR="00625BBA" w:rsidRDefault="00625BBA" w:rsidP="00563CE1">
      <w:pPr>
        <w:spacing w:line="276" w:lineRule="auto"/>
        <w:jc w:val="both"/>
      </w:pPr>
      <w:r w:rsidRPr="00625BBA">
        <w:t xml:space="preserve">Vypustenie kompetencie Úradu verejného zdravotníctva Slovenskej republiky vyjadrovať sa k dovozu vybraných nebezpečných látok a vybraných nebezpečných zmesí podliehajúcich tzv. PIC postupu sa navrhuje vypustiť s ohľadom na aktuálnu právnu úpravu v nariadení (EÚ) </w:t>
      </w:r>
      <w:r w:rsidR="007070D4">
        <w:br/>
      </w:r>
      <w:r w:rsidRPr="00625BBA">
        <w:t>č. 649/2012</w:t>
      </w:r>
      <w:r w:rsidR="003C0B15">
        <w:t xml:space="preserve"> v platnom znení</w:t>
      </w:r>
      <w:r w:rsidRPr="00625BBA">
        <w:t>. Na prijímaní konečných rozhodnutí v danej veci sa podieľajú Ministerstvo hospodárstva Slovenskej republiky a Ministerstvo pôdohospodárstva a rozvoja vidieka Slovenskej republiky.</w:t>
      </w:r>
    </w:p>
    <w:p w14:paraId="3617E362" w14:textId="77777777" w:rsidR="007F1367" w:rsidRPr="007F1367" w:rsidRDefault="007F1367" w:rsidP="007F1367">
      <w:pPr>
        <w:spacing w:line="276" w:lineRule="auto"/>
        <w:jc w:val="both"/>
      </w:pPr>
    </w:p>
    <w:p w14:paraId="7101F36D" w14:textId="6E1DD9E5" w:rsidR="00625BBA" w:rsidRPr="00625BBA" w:rsidRDefault="00625BBA" w:rsidP="007070D4">
      <w:pPr>
        <w:pStyle w:val="Textkomentra"/>
        <w:spacing w:after="120" w:line="276" w:lineRule="auto"/>
        <w:jc w:val="both"/>
        <w:rPr>
          <w:rFonts w:ascii="Times New Roman" w:hAnsi="Times New Roman" w:cs="Times New Roman"/>
          <w:b/>
          <w:bCs/>
          <w:sz w:val="24"/>
          <w:szCs w:val="24"/>
        </w:rPr>
      </w:pPr>
      <w:r w:rsidRPr="00625BBA">
        <w:rPr>
          <w:rFonts w:ascii="Times New Roman" w:hAnsi="Times New Roman" w:cs="Times New Roman"/>
          <w:b/>
          <w:bCs/>
          <w:sz w:val="24"/>
          <w:szCs w:val="24"/>
        </w:rPr>
        <w:t>K </w:t>
      </w:r>
      <w:r w:rsidRPr="007070D4">
        <w:rPr>
          <w:rFonts w:ascii="Times New Roman" w:hAnsi="Times New Roman" w:cs="Times New Roman"/>
          <w:b/>
          <w:bCs/>
          <w:sz w:val="24"/>
          <w:szCs w:val="24"/>
          <w:lang w:val="sk-SK"/>
        </w:rPr>
        <w:t>bodu</w:t>
      </w:r>
      <w:r w:rsidRPr="00625BBA">
        <w:rPr>
          <w:rFonts w:ascii="Times New Roman" w:hAnsi="Times New Roman" w:cs="Times New Roman"/>
          <w:b/>
          <w:bCs/>
          <w:sz w:val="24"/>
          <w:szCs w:val="24"/>
        </w:rPr>
        <w:t xml:space="preserve"> </w:t>
      </w:r>
      <w:r w:rsidR="00C32F98">
        <w:rPr>
          <w:rFonts w:ascii="Times New Roman" w:hAnsi="Times New Roman" w:cs="Times New Roman"/>
          <w:b/>
          <w:bCs/>
          <w:sz w:val="24"/>
          <w:szCs w:val="24"/>
        </w:rPr>
        <w:t>5</w:t>
      </w:r>
      <w:r w:rsidR="006A5B8B">
        <w:rPr>
          <w:rFonts w:ascii="Times New Roman" w:hAnsi="Times New Roman" w:cs="Times New Roman"/>
          <w:b/>
          <w:bCs/>
          <w:sz w:val="24"/>
          <w:szCs w:val="24"/>
        </w:rPr>
        <w:t>6</w:t>
      </w:r>
    </w:p>
    <w:p w14:paraId="1AE9A4C8" w14:textId="4D7AEB8A" w:rsidR="00625BBA" w:rsidRDefault="00625BBA" w:rsidP="007F1367">
      <w:pPr>
        <w:spacing w:line="276" w:lineRule="auto"/>
        <w:jc w:val="both"/>
      </w:pPr>
      <w:r w:rsidRPr="00625BBA">
        <w:t>Doplnenie sa navrhuje kvôli potrebe zosúladiť text s kompetenčným rámcom podľa § 24 ods. 6 tohto zákona stanovujúceho orgán, ktorý dokončí konanie a uloží pokutu, ak pre to isté porušenie začnú orgány kontrolu v ten istý deň.</w:t>
      </w:r>
    </w:p>
    <w:p w14:paraId="58BF6366" w14:textId="77777777" w:rsidR="007F1367" w:rsidRPr="007F1367" w:rsidRDefault="007F1367" w:rsidP="007F1367">
      <w:pPr>
        <w:spacing w:line="276" w:lineRule="auto"/>
        <w:jc w:val="both"/>
      </w:pPr>
    </w:p>
    <w:p w14:paraId="46E1BBE9" w14:textId="64955DDA" w:rsidR="00625BBA" w:rsidRPr="00625BBA" w:rsidRDefault="00625BBA" w:rsidP="003E3271">
      <w:pPr>
        <w:pStyle w:val="Textkomentra"/>
        <w:spacing w:after="120" w:line="278" w:lineRule="auto"/>
        <w:jc w:val="both"/>
        <w:rPr>
          <w:rFonts w:ascii="Times New Roman" w:hAnsi="Times New Roman" w:cs="Times New Roman"/>
          <w:b/>
          <w:bCs/>
          <w:sz w:val="24"/>
          <w:szCs w:val="24"/>
          <w:lang w:val="sk-SK"/>
        </w:rPr>
      </w:pPr>
      <w:r w:rsidRPr="00625BBA">
        <w:rPr>
          <w:rFonts w:ascii="Times New Roman" w:hAnsi="Times New Roman" w:cs="Times New Roman"/>
          <w:b/>
          <w:bCs/>
          <w:sz w:val="24"/>
          <w:szCs w:val="24"/>
          <w:lang w:val="sk-SK"/>
        </w:rPr>
        <w:t xml:space="preserve">K bodu </w:t>
      </w:r>
      <w:r w:rsidR="006A5B8B">
        <w:rPr>
          <w:rFonts w:ascii="Times New Roman" w:hAnsi="Times New Roman" w:cs="Times New Roman"/>
          <w:b/>
          <w:bCs/>
          <w:sz w:val="24"/>
          <w:szCs w:val="24"/>
          <w:lang w:val="sk-SK"/>
        </w:rPr>
        <w:t>57</w:t>
      </w:r>
    </w:p>
    <w:p w14:paraId="5CF2AF96" w14:textId="7230E825" w:rsidR="00625BBA" w:rsidRPr="00625BBA" w:rsidRDefault="00625BBA" w:rsidP="007F1367">
      <w:pPr>
        <w:pStyle w:val="Textkomentra"/>
        <w:spacing w:after="0" w:line="278" w:lineRule="auto"/>
        <w:jc w:val="both"/>
        <w:rPr>
          <w:rFonts w:ascii="Times New Roman" w:hAnsi="Times New Roman" w:cs="Times New Roman"/>
          <w:kern w:val="2"/>
          <w:sz w:val="24"/>
          <w:szCs w:val="24"/>
          <w:lang w:val="sk-SK"/>
          <w14:ligatures w14:val="standardContextual"/>
        </w:rPr>
      </w:pPr>
      <w:r w:rsidRPr="00625BBA">
        <w:rPr>
          <w:rFonts w:ascii="Times New Roman" w:hAnsi="Times New Roman" w:cs="Times New Roman"/>
          <w:kern w:val="2"/>
          <w:sz w:val="24"/>
          <w:szCs w:val="24"/>
          <w:lang w:val="sk-SK"/>
          <w14:ligatures w14:val="standardContextual"/>
        </w:rPr>
        <w:t>Inšpektoráty práce nemajú v aktuálne účinnom znení zákona výslovne uvedenú kompetenciu ukladania nápravných opatrení podľa § 32 a pokút podľa § 33 až 35. Zároveň sú však vymenované medzi kontrolnými orgánmi v § 23. Ustanovenie § 36 zakotvuje všeobecné oprávnenie príslušných kontrolných orgánov uložiť pokutu s odkazom na § 2</w:t>
      </w:r>
      <w:r w:rsidR="0032458A">
        <w:rPr>
          <w:rFonts w:ascii="Times New Roman" w:hAnsi="Times New Roman" w:cs="Times New Roman"/>
          <w:kern w:val="2"/>
          <w:sz w:val="24"/>
          <w:szCs w:val="24"/>
          <w:lang w:val="sk-SK"/>
          <w14:ligatures w14:val="standardContextual"/>
        </w:rPr>
        <w:t>4</w:t>
      </w:r>
      <w:r w:rsidRPr="00625BBA">
        <w:rPr>
          <w:rFonts w:ascii="Times New Roman" w:hAnsi="Times New Roman" w:cs="Times New Roman"/>
          <w:kern w:val="2"/>
          <w:sz w:val="24"/>
          <w:szCs w:val="24"/>
          <w:lang w:val="sk-SK"/>
          <w14:ligatures w14:val="standardContextual"/>
        </w:rPr>
        <w:t xml:space="preserve"> ods. 6. Z dôvodu odstránenia neurčitosti a eliminovania aplikačných problémov sa navrhuje doplnenie § 28 ods. 2 písm. c), ktorá kompetenciu nariaďovať opatrenia podľa § 32 výslovne uvádza v obdobnom znení, ako je to už v zákone zakotvené pri inšpektorátoch Slovenskej obchodnej inšpekcie, regionálnych úradoch verejného zdravotníctva, inšpektorátoch životného prostredia a obvodných banských úradoch. Hrozba poškodenia zdravia alebo života je uvedená s ohľadom na definíciu inšpekcie práce podľa zákona č. 125/2006 Z. z.</w:t>
      </w:r>
      <w:r w:rsidR="0077346C">
        <w:rPr>
          <w:rFonts w:ascii="Times New Roman" w:hAnsi="Times New Roman" w:cs="Times New Roman"/>
          <w:kern w:val="2"/>
          <w:sz w:val="24"/>
          <w:szCs w:val="24"/>
          <w:lang w:val="sk-SK"/>
          <w14:ligatures w14:val="standardContextual"/>
        </w:rPr>
        <w:t xml:space="preserve"> </w:t>
      </w:r>
      <w:r w:rsidR="0077346C" w:rsidRPr="0077346C">
        <w:rPr>
          <w:rFonts w:ascii="Times New Roman" w:hAnsi="Times New Roman" w:cs="Times New Roman"/>
          <w:kern w:val="2"/>
          <w:sz w:val="24"/>
          <w:szCs w:val="24"/>
          <w:lang w:val="sk-SK"/>
          <w14:ligatures w14:val="standardContextual"/>
        </w:rPr>
        <w:t>o inšpekcii práce a o zmene a doplnení zákona č. </w:t>
      </w:r>
      <w:hyperlink r:id="rId8" w:tgtFrame="_blank" w:tooltip="Odkaz na predpis alebo ustanovenie" w:history="1">
        <w:r w:rsidR="0077346C" w:rsidRPr="0077346C">
          <w:rPr>
            <w:rFonts w:ascii="Times New Roman" w:hAnsi="Times New Roman" w:cs="Times New Roman"/>
            <w:kern w:val="2"/>
            <w:sz w:val="24"/>
            <w:szCs w:val="24"/>
            <w:lang w:val="sk-SK"/>
            <w14:ligatures w14:val="standardContextual"/>
          </w:rPr>
          <w:t>82/2005 Z. z.</w:t>
        </w:r>
      </w:hyperlink>
      <w:r w:rsidR="0077346C" w:rsidRPr="0077346C">
        <w:rPr>
          <w:rFonts w:ascii="Times New Roman" w:hAnsi="Times New Roman" w:cs="Times New Roman"/>
          <w:kern w:val="2"/>
          <w:sz w:val="24"/>
          <w:szCs w:val="24"/>
          <w:lang w:val="sk-SK"/>
          <w14:ligatures w14:val="standardContextual"/>
        </w:rPr>
        <w:t> o nelegálnej práci a nelegálnom zamestnávaní a o zmene a doplnení niektorých zákonov</w:t>
      </w:r>
      <w:r w:rsidR="0077346C">
        <w:rPr>
          <w:rFonts w:ascii="Times New Roman" w:hAnsi="Times New Roman" w:cs="Times New Roman"/>
          <w:kern w:val="2"/>
          <w:sz w:val="24"/>
          <w:szCs w:val="24"/>
          <w:lang w:val="sk-SK"/>
          <w14:ligatures w14:val="standardContextual"/>
        </w:rPr>
        <w:t xml:space="preserve"> v znení neskorších predpisov</w:t>
      </w:r>
      <w:r w:rsidRPr="00625BBA">
        <w:rPr>
          <w:rFonts w:ascii="Times New Roman" w:hAnsi="Times New Roman" w:cs="Times New Roman"/>
          <w:kern w:val="2"/>
          <w:sz w:val="24"/>
          <w:szCs w:val="24"/>
          <w:lang w:val="sk-SK"/>
          <w14:ligatures w14:val="standardContextual"/>
        </w:rPr>
        <w:t>.</w:t>
      </w:r>
    </w:p>
    <w:p w14:paraId="4D7D290B" w14:textId="77777777" w:rsidR="00625BBA" w:rsidRDefault="00625BBA" w:rsidP="007F1367">
      <w:pPr>
        <w:pStyle w:val="Textkomentra"/>
        <w:spacing w:after="0" w:line="276" w:lineRule="auto"/>
        <w:rPr>
          <w:rFonts w:ascii="Times New Roman" w:hAnsi="Times New Roman" w:cs="Times New Roman"/>
          <w:b/>
          <w:bCs/>
          <w:sz w:val="24"/>
          <w:szCs w:val="24"/>
        </w:rPr>
      </w:pPr>
    </w:p>
    <w:p w14:paraId="24CC2573" w14:textId="41F90D6B" w:rsidR="00DD6040" w:rsidRPr="00563CE1" w:rsidRDefault="00DD6040" w:rsidP="00DD6040">
      <w:pPr>
        <w:pStyle w:val="Textkomentra"/>
        <w:spacing w:after="120" w:line="276" w:lineRule="auto"/>
        <w:rPr>
          <w:rFonts w:ascii="Times New Roman" w:hAnsi="Times New Roman" w:cs="Times New Roman"/>
          <w:b/>
          <w:bCs/>
          <w:sz w:val="24"/>
          <w:szCs w:val="24"/>
          <w:lang w:val="sk-SK"/>
        </w:rPr>
      </w:pPr>
      <w:r w:rsidRPr="00563CE1">
        <w:rPr>
          <w:rFonts w:ascii="Times New Roman" w:hAnsi="Times New Roman" w:cs="Times New Roman"/>
          <w:b/>
          <w:bCs/>
          <w:sz w:val="24"/>
          <w:szCs w:val="24"/>
          <w:lang w:val="sk-SK"/>
        </w:rPr>
        <w:t>K bodu 6</w:t>
      </w:r>
      <w:r w:rsidR="006A5B8B">
        <w:rPr>
          <w:rFonts w:ascii="Times New Roman" w:hAnsi="Times New Roman" w:cs="Times New Roman"/>
          <w:b/>
          <w:bCs/>
          <w:sz w:val="24"/>
          <w:szCs w:val="24"/>
          <w:lang w:val="sk-SK"/>
        </w:rPr>
        <w:t>0</w:t>
      </w:r>
    </w:p>
    <w:p w14:paraId="46C57250" w14:textId="77777777" w:rsidR="00DD6040" w:rsidRPr="00563CE1" w:rsidRDefault="00DD6040" w:rsidP="00DD6040">
      <w:pPr>
        <w:pStyle w:val="Textkomentra"/>
        <w:spacing w:after="0" w:line="276" w:lineRule="auto"/>
        <w:jc w:val="both"/>
        <w:rPr>
          <w:rFonts w:ascii="Times New Roman" w:hAnsi="Times New Roman" w:cs="Times New Roman"/>
          <w:sz w:val="24"/>
          <w:szCs w:val="24"/>
          <w:lang w:val="sk-SK"/>
        </w:rPr>
      </w:pPr>
      <w:r w:rsidRPr="00563CE1">
        <w:rPr>
          <w:rFonts w:ascii="Times New Roman" w:hAnsi="Times New Roman" w:cs="Times New Roman"/>
          <w:sz w:val="24"/>
          <w:szCs w:val="24"/>
          <w:lang w:val="sk-SK"/>
        </w:rPr>
        <w:t>Navrhuje sa terminologické spresnenie podľa právnej úpravy z oblasti pôsobnosti colných úradov.</w:t>
      </w:r>
    </w:p>
    <w:p w14:paraId="775B32DF" w14:textId="77777777" w:rsidR="00DD6040" w:rsidRDefault="00DD6040" w:rsidP="007F1367">
      <w:pPr>
        <w:pStyle w:val="Textkomentra"/>
        <w:spacing w:after="0" w:line="276" w:lineRule="auto"/>
        <w:rPr>
          <w:rFonts w:ascii="Times New Roman" w:hAnsi="Times New Roman" w:cs="Times New Roman"/>
          <w:b/>
          <w:bCs/>
          <w:sz w:val="24"/>
          <w:szCs w:val="24"/>
        </w:rPr>
      </w:pPr>
    </w:p>
    <w:p w14:paraId="1D83FBBF" w14:textId="63B0E27A" w:rsidR="00625BBA" w:rsidRPr="003E3271" w:rsidRDefault="00625BBA" w:rsidP="003E3271">
      <w:pPr>
        <w:pStyle w:val="Textkomentra"/>
        <w:spacing w:after="120" w:line="276" w:lineRule="auto"/>
        <w:rPr>
          <w:rFonts w:ascii="Times New Roman" w:hAnsi="Times New Roman" w:cs="Times New Roman"/>
          <w:b/>
          <w:bCs/>
          <w:sz w:val="24"/>
          <w:szCs w:val="24"/>
          <w:lang w:val="sk-SK"/>
        </w:rPr>
      </w:pPr>
      <w:r w:rsidRPr="00625BBA">
        <w:rPr>
          <w:rFonts w:ascii="Times New Roman" w:hAnsi="Times New Roman" w:cs="Times New Roman"/>
          <w:b/>
          <w:bCs/>
          <w:sz w:val="24"/>
          <w:szCs w:val="24"/>
        </w:rPr>
        <w:t>K </w:t>
      </w:r>
      <w:r w:rsidRPr="003E3271">
        <w:rPr>
          <w:rFonts w:ascii="Times New Roman" w:hAnsi="Times New Roman" w:cs="Times New Roman"/>
          <w:b/>
          <w:bCs/>
          <w:sz w:val="24"/>
          <w:szCs w:val="24"/>
          <w:lang w:val="sk-SK"/>
        </w:rPr>
        <w:t>bodu 6</w:t>
      </w:r>
      <w:r w:rsidR="006A5B8B">
        <w:rPr>
          <w:rFonts w:ascii="Times New Roman" w:hAnsi="Times New Roman" w:cs="Times New Roman"/>
          <w:b/>
          <w:bCs/>
          <w:sz w:val="24"/>
          <w:szCs w:val="24"/>
          <w:lang w:val="sk-SK"/>
        </w:rPr>
        <w:t>1</w:t>
      </w:r>
    </w:p>
    <w:p w14:paraId="6B5D97AA" w14:textId="51FF91D1" w:rsidR="00625BBA" w:rsidRPr="00625BBA" w:rsidRDefault="00625BBA" w:rsidP="007F1367">
      <w:pPr>
        <w:spacing w:line="276" w:lineRule="auto"/>
        <w:jc w:val="both"/>
      </w:pPr>
      <w:r w:rsidRPr="00625BBA">
        <w:t>Navrhuje sa doplnenie kompetencie colných úradov podľa nového nariadenia</w:t>
      </w:r>
      <w:r w:rsidR="003E3271">
        <w:t xml:space="preserve"> o detergentoch</w:t>
      </w:r>
      <w:r w:rsidRPr="00625BBA">
        <w:t xml:space="preserve">, čím sa implementuje do národnej legislatívy. </w:t>
      </w:r>
    </w:p>
    <w:p w14:paraId="6F41EFF8" w14:textId="77777777" w:rsidR="00625BBA" w:rsidRDefault="00625BBA" w:rsidP="007F1367">
      <w:pPr>
        <w:pStyle w:val="Textkomentra"/>
        <w:spacing w:after="0" w:line="276" w:lineRule="auto"/>
        <w:rPr>
          <w:rFonts w:ascii="Times New Roman" w:hAnsi="Times New Roman" w:cs="Times New Roman"/>
          <w:b/>
          <w:bCs/>
          <w:sz w:val="24"/>
          <w:szCs w:val="24"/>
        </w:rPr>
      </w:pPr>
    </w:p>
    <w:p w14:paraId="00904754" w14:textId="13ED4022" w:rsidR="00625BBA" w:rsidRPr="003E3271" w:rsidRDefault="00625BBA" w:rsidP="003E3271">
      <w:pPr>
        <w:pStyle w:val="Textkomentra"/>
        <w:spacing w:after="120" w:line="276" w:lineRule="auto"/>
        <w:rPr>
          <w:rFonts w:ascii="Times New Roman" w:hAnsi="Times New Roman" w:cs="Times New Roman"/>
          <w:b/>
          <w:bCs/>
          <w:sz w:val="24"/>
          <w:szCs w:val="24"/>
          <w:lang w:val="sk-SK"/>
        </w:rPr>
      </w:pPr>
      <w:r w:rsidRPr="00625BBA">
        <w:rPr>
          <w:rFonts w:ascii="Times New Roman" w:hAnsi="Times New Roman" w:cs="Times New Roman"/>
          <w:b/>
          <w:bCs/>
          <w:sz w:val="24"/>
          <w:szCs w:val="24"/>
        </w:rPr>
        <w:t>K </w:t>
      </w:r>
      <w:r w:rsidRPr="003E3271">
        <w:rPr>
          <w:rFonts w:ascii="Times New Roman" w:hAnsi="Times New Roman" w:cs="Times New Roman"/>
          <w:b/>
          <w:bCs/>
          <w:sz w:val="24"/>
          <w:szCs w:val="24"/>
          <w:lang w:val="sk-SK"/>
        </w:rPr>
        <w:t>bodu 6</w:t>
      </w:r>
      <w:r w:rsidR="006A5B8B">
        <w:rPr>
          <w:rFonts w:ascii="Times New Roman" w:hAnsi="Times New Roman" w:cs="Times New Roman"/>
          <w:b/>
          <w:bCs/>
          <w:sz w:val="24"/>
          <w:szCs w:val="24"/>
          <w:lang w:val="sk-SK"/>
        </w:rPr>
        <w:t>2</w:t>
      </w:r>
    </w:p>
    <w:p w14:paraId="6A023C1A" w14:textId="526BAAB1" w:rsidR="00367866" w:rsidRDefault="0091381E" w:rsidP="00B7659A">
      <w:pPr>
        <w:spacing w:line="276" w:lineRule="auto"/>
        <w:jc w:val="both"/>
      </w:pPr>
      <w:r w:rsidRPr="0091381E">
        <w:t>Nariadenie Európskeho parlamentu a Rady (ES) č. 1102/2008 z 22. októbra 2008 o zákaze vývozu kovovej ortuti a určitých zlúčenín a zmesí ortuti a o bezpečnom skladovaní kovovej ortuti (Ú. v.</w:t>
      </w:r>
      <w:r>
        <w:t xml:space="preserve"> </w:t>
      </w:r>
      <w:r w:rsidRPr="0091381E">
        <w:t>EÚ L 304, 14.11.2008)</w:t>
      </w:r>
      <w:r>
        <w:rPr>
          <w:b/>
          <w:bCs/>
          <w:i/>
          <w:iCs/>
        </w:rPr>
        <w:t xml:space="preserve"> </w:t>
      </w:r>
      <w:r w:rsidR="00625BBA" w:rsidRPr="00625BBA">
        <w:t xml:space="preserve">už nie je účinné. Danú problematiku upravuje medzinárodná zmluva, a to </w:t>
      </w:r>
      <w:proofErr w:type="spellStart"/>
      <w:r w:rsidR="00625BBA" w:rsidRPr="00625BBA">
        <w:t>Minamatský</w:t>
      </w:r>
      <w:proofErr w:type="spellEnd"/>
      <w:r w:rsidR="00625BBA" w:rsidRPr="00625BBA">
        <w:t xml:space="preserve"> dohovor o ortuti (Oznámenie Ministerstva zahraničných vecí a európskych záležitostí Slovenskej republiky č. 220/2017 Z. z.). Z uvedeného dôvodu sa navrhuje vypustenie ustanovenia upravujúceho skutkovú podstatu správneho deliktu spočívajúcu v nesplnení informačnej povinnosti v stanovenej lehote podľa </w:t>
      </w:r>
      <w:r w:rsidR="00625BBA" w:rsidRPr="00625BBA">
        <w:lastRenderedPageBreak/>
        <w:t>predmetného nariadenia (ES) a rovnako sa navrhuje aj vypustenie poznámok pod čiarou tam uvedených.</w:t>
      </w:r>
    </w:p>
    <w:p w14:paraId="5C930F41" w14:textId="77777777" w:rsidR="00B7659A" w:rsidRPr="00B7659A" w:rsidRDefault="00B7659A" w:rsidP="00B7659A">
      <w:pPr>
        <w:spacing w:line="276" w:lineRule="auto"/>
        <w:jc w:val="both"/>
      </w:pPr>
    </w:p>
    <w:p w14:paraId="215E77CC" w14:textId="4111FC20" w:rsidR="00625BBA" w:rsidRPr="00625BBA" w:rsidRDefault="00625BBA" w:rsidP="003E3271">
      <w:pPr>
        <w:spacing w:after="120" w:line="276" w:lineRule="auto"/>
        <w:jc w:val="both"/>
        <w:rPr>
          <w:b/>
          <w:bCs/>
        </w:rPr>
      </w:pPr>
      <w:r w:rsidRPr="00625BBA">
        <w:rPr>
          <w:b/>
          <w:bCs/>
        </w:rPr>
        <w:t>K bodu 6</w:t>
      </w:r>
      <w:r w:rsidR="006A5B8B">
        <w:rPr>
          <w:b/>
          <w:bCs/>
        </w:rPr>
        <w:t>3</w:t>
      </w:r>
    </w:p>
    <w:p w14:paraId="402684DB" w14:textId="39A17F27" w:rsidR="00625BBA" w:rsidRPr="00625BBA" w:rsidRDefault="00625BBA" w:rsidP="007F1367">
      <w:pPr>
        <w:spacing w:line="276" w:lineRule="auto"/>
        <w:jc w:val="both"/>
      </w:pPr>
      <w:r w:rsidRPr="00625BBA">
        <w:t xml:space="preserve">V zmysle </w:t>
      </w:r>
      <w:r w:rsidR="00757F48" w:rsidRPr="00625BBA">
        <w:t>nariaden</w:t>
      </w:r>
      <w:r w:rsidR="00757F48">
        <w:t xml:space="preserve">ia </w:t>
      </w:r>
      <w:r w:rsidR="00757F48" w:rsidRPr="00775546">
        <w:t>(EÚ) 2026/405</w:t>
      </w:r>
      <w:r w:rsidR="00757F48">
        <w:t xml:space="preserve"> </w:t>
      </w:r>
      <w:r w:rsidRPr="00625BBA">
        <w:t>je hospodárskym subjektom výrobca, splnomocnený zástupca, dovozca alebo distribútor. Doplnenie tohto pojmu je potrebné, aby bol presne terminologicky stanovený okruh osôb zodpovedných za spáchanie správneho deliktu podľa § 35 v súlade s uvedeným nariadením.</w:t>
      </w:r>
    </w:p>
    <w:p w14:paraId="4ED41131" w14:textId="77777777" w:rsidR="00625BBA" w:rsidRDefault="00625BBA" w:rsidP="007F1367">
      <w:pPr>
        <w:spacing w:line="276" w:lineRule="auto"/>
        <w:jc w:val="both"/>
        <w:rPr>
          <w:b/>
          <w:bCs/>
        </w:rPr>
      </w:pPr>
    </w:p>
    <w:p w14:paraId="20C3A4CB" w14:textId="24ADFA46" w:rsidR="00625BBA" w:rsidRPr="00625BBA" w:rsidRDefault="00625BBA" w:rsidP="000E5948">
      <w:pPr>
        <w:spacing w:after="120" w:line="276" w:lineRule="auto"/>
        <w:jc w:val="both"/>
        <w:rPr>
          <w:b/>
          <w:bCs/>
        </w:rPr>
      </w:pPr>
      <w:r w:rsidRPr="00625BBA">
        <w:rPr>
          <w:b/>
          <w:bCs/>
        </w:rPr>
        <w:t>K bodu 6</w:t>
      </w:r>
      <w:r w:rsidR="006A5B8B">
        <w:rPr>
          <w:b/>
          <w:bCs/>
        </w:rPr>
        <w:t>4</w:t>
      </w:r>
    </w:p>
    <w:p w14:paraId="13A77893" w14:textId="4FAADB57" w:rsidR="00625BBA" w:rsidRDefault="00625BBA" w:rsidP="007F1367">
      <w:pPr>
        <w:spacing w:line="276" w:lineRule="auto"/>
        <w:jc w:val="both"/>
      </w:pPr>
      <w:r w:rsidRPr="00625BBA">
        <w:t>Poznámka pod čiarou k odkazu 43 sa v znení zákona vyskytuje pri definovaní postavenia a kompetencií Centra pre chemické látky a prípravky („centrum“) v </w:t>
      </w:r>
      <w:proofErr w:type="spellStart"/>
      <w:r w:rsidRPr="00625BBA">
        <w:t>ust</w:t>
      </w:r>
      <w:proofErr w:type="spellEnd"/>
      <w:r w:rsidRPr="00625BBA">
        <w:t>. § 22, ktorý sa navrhuje vypustiť, pretože centrum sa stalo organizačnou súčasťou Ministerstva hospodárstva Slovenskej republiky. Je vhodné preto vypustiť tento odkaz a poznámku pod čiarou k nemu a nahradiť ho odkazom 4, ktorý síce na rozdiel od poznámky pod čiarou k odkazu 43 neobsahuje nariadenie o detergentoch, ale skutková podstata týkajúca sa tejto oblasti právnej úpravy bude primerane zmenená v písm. m), ktorá odkazuje na nové nariadenie</w:t>
      </w:r>
      <w:r w:rsidR="000E5948">
        <w:t xml:space="preserve"> o detergentoch</w:t>
      </w:r>
      <w:r w:rsidRPr="00625BBA">
        <w:t xml:space="preserve">. </w:t>
      </w:r>
    </w:p>
    <w:p w14:paraId="4C13EAC4" w14:textId="77777777" w:rsidR="007F1367" w:rsidRPr="007F1367" w:rsidRDefault="007F1367" w:rsidP="007F1367">
      <w:pPr>
        <w:spacing w:line="276" w:lineRule="auto"/>
        <w:jc w:val="both"/>
      </w:pPr>
    </w:p>
    <w:p w14:paraId="6B02CA16" w14:textId="41670B26" w:rsidR="00625BBA" w:rsidRPr="000E5948" w:rsidRDefault="00625BBA" w:rsidP="000E5948">
      <w:pPr>
        <w:pStyle w:val="Textkomentra"/>
        <w:spacing w:after="120"/>
        <w:jc w:val="both"/>
        <w:rPr>
          <w:rFonts w:ascii="Times New Roman" w:hAnsi="Times New Roman" w:cs="Times New Roman"/>
          <w:b/>
          <w:bCs/>
          <w:kern w:val="2"/>
          <w:sz w:val="24"/>
          <w:szCs w:val="24"/>
          <w:lang w:val="sk-SK"/>
          <w14:ligatures w14:val="standardContextual"/>
        </w:rPr>
      </w:pPr>
      <w:r w:rsidRPr="00625BBA">
        <w:rPr>
          <w:rFonts w:ascii="Times New Roman" w:hAnsi="Times New Roman" w:cs="Times New Roman"/>
          <w:b/>
          <w:bCs/>
          <w:kern w:val="2"/>
          <w:sz w:val="24"/>
          <w:szCs w:val="24"/>
          <w14:ligatures w14:val="standardContextual"/>
        </w:rPr>
        <w:t>K </w:t>
      </w:r>
      <w:r w:rsidRPr="000E5948">
        <w:rPr>
          <w:rFonts w:ascii="Times New Roman" w:hAnsi="Times New Roman" w:cs="Times New Roman"/>
          <w:b/>
          <w:bCs/>
          <w:kern w:val="2"/>
          <w:sz w:val="24"/>
          <w:szCs w:val="24"/>
          <w:lang w:val="sk-SK"/>
          <w14:ligatures w14:val="standardContextual"/>
        </w:rPr>
        <w:t>bodu 6</w:t>
      </w:r>
      <w:r w:rsidR="006A5B8B">
        <w:rPr>
          <w:rFonts w:ascii="Times New Roman" w:hAnsi="Times New Roman" w:cs="Times New Roman"/>
          <w:b/>
          <w:bCs/>
          <w:kern w:val="2"/>
          <w:sz w:val="24"/>
          <w:szCs w:val="24"/>
          <w:lang w:val="sk-SK"/>
          <w14:ligatures w14:val="standardContextual"/>
        </w:rPr>
        <w:t>5</w:t>
      </w:r>
    </w:p>
    <w:p w14:paraId="650F9731" w14:textId="123C9806" w:rsidR="00625BBA" w:rsidRPr="00625BBA" w:rsidRDefault="00625BBA" w:rsidP="007F1367">
      <w:pPr>
        <w:pStyle w:val="Textkomentra"/>
        <w:spacing w:after="0" w:line="278" w:lineRule="auto"/>
        <w:jc w:val="both"/>
        <w:rPr>
          <w:rFonts w:ascii="Times New Roman" w:hAnsi="Times New Roman" w:cs="Times New Roman"/>
          <w:kern w:val="2"/>
          <w:sz w:val="24"/>
          <w:szCs w:val="24"/>
          <w:lang w:val="sk-SK"/>
          <w14:ligatures w14:val="standardContextual"/>
        </w:rPr>
      </w:pPr>
      <w:r w:rsidRPr="00625BBA">
        <w:rPr>
          <w:rFonts w:ascii="Times New Roman" w:hAnsi="Times New Roman" w:cs="Times New Roman"/>
          <w:kern w:val="2"/>
          <w:sz w:val="24"/>
          <w:szCs w:val="24"/>
          <w:lang w:val="sk-SK"/>
          <w14:ligatures w14:val="standardContextual"/>
        </w:rPr>
        <w:t xml:space="preserve">Znenie skutkovej podstaty správneho deliktu sa navrhuje upraviť podľa aktuálnej právnej úpravy na úrovni Európskej únie doplnením sprístupnenia na trhu detergentu alebo povrchovo aktívnej látky a vypustením charakteristík a medzných hodnôt, aby pod túto skutkovú podstatu mohol byť podradený aj správny delikt pod písmenom q) a takisto aj správny delikt vyplývajúci z nového nariadenia </w:t>
      </w:r>
      <w:r w:rsidR="000E5948">
        <w:rPr>
          <w:rFonts w:ascii="Times New Roman" w:hAnsi="Times New Roman" w:cs="Times New Roman"/>
          <w:kern w:val="2"/>
          <w:sz w:val="24"/>
          <w:szCs w:val="24"/>
          <w:lang w:val="sk-SK"/>
          <w14:ligatures w14:val="standardContextual"/>
        </w:rPr>
        <w:t xml:space="preserve">o detergentoch </w:t>
      </w:r>
      <w:r w:rsidRPr="00625BBA">
        <w:rPr>
          <w:rFonts w:ascii="Times New Roman" w:hAnsi="Times New Roman" w:cs="Times New Roman"/>
          <w:kern w:val="2"/>
          <w:sz w:val="24"/>
          <w:szCs w:val="24"/>
          <w:lang w:val="sk-SK"/>
          <w14:ligatures w14:val="standardContextual"/>
        </w:rPr>
        <w:t>týkajúci sa porušenia povinnosti v súvislosti s digitálnym pasom výrobku, technickej dokumentácie a dátového nosiča.</w:t>
      </w:r>
    </w:p>
    <w:p w14:paraId="22280D8B" w14:textId="52B73486" w:rsidR="00625BBA" w:rsidRPr="00625BBA" w:rsidRDefault="00625BBA" w:rsidP="00625BBA">
      <w:pPr>
        <w:pStyle w:val="Textkomentra"/>
        <w:spacing w:line="278" w:lineRule="auto"/>
        <w:jc w:val="both"/>
        <w:rPr>
          <w:rFonts w:ascii="Times New Roman" w:hAnsi="Times New Roman" w:cs="Times New Roman"/>
          <w:sz w:val="24"/>
          <w:szCs w:val="24"/>
          <w:lang w:val="sk-SK"/>
        </w:rPr>
      </w:pPr>
      <w:r w:rsidRPr="00625BBA">
        <w:rPr>
          <w:rFonts w:ascii="Times New Roman" w:hAnsi="Times New Roman" w:cs="Times New Roman"/>
          <w:kern w:val="2"/>
          <w:sz w:val="24"/>
          <w:szCs w:val="24"/>
          <w:lang w:val="sk-SK"/>
          <w14:ligatures w14:val="standardContextual"/>
        </w:rPr>
        <w:t>Pôvodné dve skutkové podstaty v písmenách  m) a o) sa z dôvodu prehľadnosti právneho predpisu navrhujú spojiť do jednej skutkovej podstaty. Zároveň sa znenie skutkovej podstaty precizuje o neposkytnutie informácie a dokumentácie ministerstvu hospodárstva ako príslušnému vnútroštátnemu orgánu, keďže oblasť detergentov bola vyňatá z písmena e), v ktorom sa pôvodne nachádzala v súlade s poznámkou</w:t>
      </w:r>
      <w:r w:rsidRPr="00625BBA">
        <w:rPr>
          <w:rFonts w:ascii="Times New Roman" w:hAnsi="Times New Roman" w:cs="Times New Roman"/>
          <w:sz w:val="24"/>
          <w:szCs w:val="24"/>
          <w:lang w:val="sk-SK"/>
        </w:rPr>
        <w:t xml:space="preserve"> pod čiarou k odkazu 43. </w:t>
      </w:r>
    </w:p>
    <w:p w14:paraId="759C3FB2" w14:textId="292381BB" w:rsidR="00625BBA" w:rsidRPr="00625BBA" w:rsidRDefault="00625BBA" w:rsidP="000E5948">
      <w:pPr>
        <w:pStyle w:val="Textkomentra"/>
        <w:spacing w:after="120" w:line="276" w:lineRule="auto"/>
        <w:jc w:val="both"/>
        <w:rPr>
          <w:rFonts w:ascii="Times New Roman" w:hAnsi="Times New Roman" w:cs="Times New Roman"/>
          <w:b/>
          <w:bCs/>
          <w:sz w:val="24"/>
          <w:szCs w:val="24"/>
          <w:lang w:val="sk-SK"/>
        </w:rPr>
      </w:pPr>
      <w:r w:rsidRPr="00625BBA">
        <w:rPr>
          <w:rFonts w:ascii="Times New Roman" w:hAnsi="Times New Roman" w:cs="Times New Roman"/>
          <w:b/>
          <w:bCs/>
          <w:sz w:val="24"/>
          <w:szCs w:val="24"/>
          <w:lang w:val="sk-SK"/>
        </w:rPr>
        <w:t>K bodu 6</w:t>
      </w:r>
      <w:r w:rsidR="006A5B8B">
        <w:rPr>
          <w:rFonts w:ascii="Times New Roman" w:hAnsi="Times New Roman" w:cs="Times New Roman"/>
          <w:b/>
          <w:bCs/>
          <w:sz w:val="24"/>
          <w:szCs w:val="24"/>
          <w:lang w:val="sk-SK"/>
        </w:rPr>
        <w:t>6</w:t>
      </w:r>
    </w:p>
    <w:p w14:paraId="06448455" w14:textId="5D13A2C3" w:rsidR="00625BBA" w:rsidRPr="00625BBA" w:rsidRDefault="00625BBA" w:rsidP="007F1367">
      <w:pPr>
        <w:pStyle w:val="Textkomentra"/>
        <w:spacing w:after="0" w:line="276" w:lineRule="auto"/>
        <w:jc w:val="both"/>
        <w:rPr>
          <w:rFonts w:ascii="Times New Roman" w:hAnsi="Times New Roman" w:cs="Times New Roman"/>
          <w:kern w:val="2"/>
          <w:sz w:val="24"/>
          <w:szCs w:val="24"/>
          <w:lang w:val="sk-SK"/>
          <w14:ligatures w14:val="standardContextual"/>
        </w:rPr>
      </w:pPr>
      <w:r w:rsidRPr="00625BBA">
        <w:rPr>
          <w:rFonts w:ascii="Times New Roman" w:hAnsi="Times New Roman" w:cs="Times New Roman"/>
          <w:kern w:val="2"/>
          <w:sz w:val="24"/>
          <w:szCs w:val="24"/>
          <w:lang w:val="sk-SK"/>
          <w14:ligatures w14:val="standardContextual"/>
        </w:rPr>
        <w:t>Aktualizovaná skutková podstata sa zakotvuje s ohľadom na povinnosť výrobcov, splnomocnených zástupcov, dovozcov a distribútorov poskytovať Národnému toxikologickému informačnému centru elektronicky prostredníctvom formátu stanovenom Európskou chemickou agentúrou kartu údajov o zložkách podľa nového nariadenia</w:t>
      </w:r>
      <w:r w:rsidR="000E5948">
        <w:rPr>
          <w:rFonts w:ascii="Times New Roman" w:hAnsi="Times New Roman" w:cs="Times New Roman"/>
          <w:kern w:val="2"/>
          <w:sz w:val="24"/>
          <w:szCs w:val="24"/>
          <w:lang w:val="sk-SK"/>
          <w14:ligatures w14:val="standardContextual"/>
        </w:rPr>
        <w:t xml:space="preserve"> o detergentoch</w:t>
      </w:r>
      <w:r w:rsidRPr="00625BBA">
        <w:rPr>
          <w:rFonts w:ascii="Times New Roman" w:hAnsi="Times New Roman" w:cs="Times New Roman"/>
          <w:kern w:val="2"/>
          <w:sz w:val="24"/>
          <w:szCs w:val="24"/>
          <w:lang w:val="sk-SK"/>
          <w14:ligatures w14:val="standardContextual"/>
        </w:rPr>
        <w:t>.</w:t>
      </w:r>
    </w:p>
    <w:p w14:paraId="03737F44" w14:textId="77777777" w:rsidR="00563CE1" w:rsidRDefault="00563CE1" w:rsidP="007F1367">
      <w:pPr>
        <w:pStyle w:val="Textkomentra"/>
        <w:spacing w:after="0" w:line="276" w:lineRule="auto"/>
        <w:jc w:val="both"/>
        <w:rPr>
          <w:rFonts w:ascii="Times New Roman" w:hAnsi="Times New Roman" w:cs="Times New Roman"/>
          <w:b/>
          <w:bCs/>
          <w:sz w:val="24"/>
          <w:szCs w:val="24"/>
          <w:lang w:val="sk-SK"/>
        </w:rPr>
      </w:pPr>
    </w:p>
    <w:p w14:paraId="0D955D51" w14:textId="52349D01" w:rsidR="00625BBA" w:rsidRPr="00625BBA" w:rsidRDefault="00625BBA" w:rsidP="000E5948">
      <w:pPr>
        <w:pStyle w:val="Textkomentra"/>
        <w:spacing w:after="120" w:line="276" w:lineRule="auto"/>
        <w:jc w:val="both"/>
        <w:rPr>
          <w:rFonts w:ascii="Times New Roman" w:hAnsi="Times New Roman" w:cs="Times New Roman"/>
          <w:b/>
          <w:bCs/>
          <w:sz w:val="24"/>
          <w:szCs w:val="24"/>
          <w:lang w:val="sk-SK"/>
        </w:rPr>
      </w:pPr>
      <w:r w:rsidRPr="00625BBA">
        <w:rPr>
          <w:rFonts w:ascii="Times New Roman" w:hAnsi="Times New Roman" w:cs="Times New Roman"/>
          <w:b/>
          <w:bCs/>
          <w:sz w:val="24"/>
          <w:szCs w:val="24"/>
          <w:lang w:val="sk-SK"/>
        </w:rPr>
        <w:t xml:space="preserve">K bodu </w:t>
      </w:r>
      <w:r w:rsidR="006A5B8B">
        <w:rPr>
          <w:rFonts w:ascii="Times New Roman" w:hAnsi="Times New Roman" w:cs="Times New Roman"/>
          <w:b/>
          <w:bCs/>
          <w:sz w:val="24"/>
          <w:szCs w:val="24"/>
          <w:lang w:val="sk-SK"/>
        </w:rPr>
        <w:t>67</w:t>
      </w:r>
    </w:p>
    <w:p w14:paraId="362994E3" w14:textId="62B487DE" w:rsidR="00625BBA" w:rsidRPr="00625BBA" w:rsidRDefault="00625BBA" w:rsidP="007F1367">
      <w:pPr>
        <w:pStyle w:val="Textkomentra"/>
        <w:spacing w:after="0" w:line="276" w:lineRule="auto"/>
        <w:jc w:val="both"/>
        <w:rPr>
          <w:rFonts w:ascii="Times New Roman" w:hAnsi="Times New Roman" w:cs="Times New Roman"/>
          <w:kern w:val="2"/>
          <w:sz w:val="24"/>
          <w:szCs w:val="24"/>
          <w:lang w:val="sk-SK"/>
          <w14:ligatures w14:val="standardContextual"/>
        </w:rPr>
      </w:pPr>
      <w:r w:rsidRPr="00625BBA">
        <w:rPr>
          <w:rFonts w:ascii="Times New Roman" w:hAnsi="Times New Roman" w:cs="Times New Roman"/>
          <w:kern w:val="2"/>
          <w:sz w:val="24"/>
          <w:szCs w:val="24"/>
          <w:lang w:val="sk-SK"/>
          <w14:ligatures w14:val="standardContextual"/>
        </w:rPr>
        <w:t xml:space="preserve">§ 35 písm. p) sa navrhuje v aktualizovanej podobe podľa </w:t>
      </w:r>
      <w:r w:rsidR="00883736" w:rsidRPr="00883736">
        <w:rPr>
          <w:rFonts w:ascii="Times New Roman" w:hAnsi="Times New Roman" w:cs="Times New Roman"/>
          <w:kern w:val="2"/>
          <w:sz w:val="24"/>
          <w:szCs w:val="24"/>
          <w:lang w:val="sk-SK"/>
          <w14:ligatures w14:val="standardContextual"/>
        </w:rPr>
        <w:t>nariaden</w:t>
      </w:r>
      <w:r w:rsidR="00883736">
        <w:rPr>
          <w:rFonts w:ascii="Times New Roman" w:hAnsi="Times New Roman" w:cs="Times New Roman"/>
          <w:kern w:val="2"/>
          <w:sz w:val="24"/>
          <w:szCs w:val="24"/>
          <w:lang w:val="sk-SK"/>
          <w14:ligatures w14:val="standardContextual"/>
        </w:rPr>
        <w:t>ia</w:t>
      </w:r>
      <w:r w:rsidR="00883736" w:rsidRPr="00883736">
        <w:rPr>
          <w:rFonts w:ascii="Times New Roman" w:hAnsi="Times New Roman" w:cs="Times New Roman"/>
          <w:kern w:val="2"/>
          <w:sz w:val="24"/>
          <w:szCs w:val="24"/>
          <w:lang w:val="sk-SK"/>
          <w14:ligatures w14:val="standardContextual"/>
        </w:rPr>
        <w:t xml:space="preserve"> (EÚ) 2026/405</w:t>
      </w:r>
      <w:r w:rsidR="00883736">
        <w:t xml:space="preserve"> </w:t>
      </w:r>
      <w:r w:rsidRPr="00625BBA">
        <w:rPr>
          <w:rFonts w:ascii="Times New Roman" w:hAnsi="Times New Roman" w:cs="Times New Roman"/>
          <w:kern w:val="2"/>
          <w:sz w:val="24"/>
          <w:szCs w:val="24"/>
          <w:lang w:val="sk-SK"/>
          <w14:ligatures w14:val="standardContextual"/>
        </w:rPr>
        <w:t>preniesť do nového písm. o), keďže pôvodné písm. o) sa navrhuje vypustiť. Písmeno q) sa navrhuje vypustiť, pretože predmetná skutková podstata môže byť podradená pod skutkovú podstatu uvedenú v § 35 písm. l).</w:t>
      </w:r>
    </w:p>
    <w:p w14:paraId="032E6286" w14:textId="77777777" w:rsidR="007F1367" w:rsidRDefault="007F1367" w:rsidP="007F1367">
      <w:pPr>
        <w:pStyle w:val="Textkomentra"/>
        <w:spacing w:after="0" w:line="276" w:lineRule="auto"/>
        <w:jc w:val="both"/>
        <w:rPr>
          <w:rFonts w:ascii="Times New Roman" w:hAnsi="Times New Roman" w:cs="Times New Roman"/>
          <w:b/>
          <w:bCs/>
          <w:sz w:val="24"/>
          <w:szCs w:val="24"/>
          <w:lang w:val="sk-SK"/>
        </w:rPr>
      </w:pPr>
    </w:p>
    <w:p w14:paraId="58A59991" w14:textId="77777777" w:rsidR="00883736" w:rsidRDefault="00883736" w:rsidP="000E5948">
      <w:pPr>
        <w:pStyle w:val="Textkomentra"/>
        <w:spacing w:after="120" w:line="276" w:lineRule="auto"/>
        <w:jc w:val="both"/>
        <w:rPr>
          <w:rFonts w:ascii="Times New Roman" w:hAnsi="Times New Roman" w:cs="Times New Roman"/>
          <w:b/>
          <w:bCs/>
          <w:sz w:val="24"/>
          <w:szCs w:val="24"/>
          <w:lang w:val="sk-SK"/>
        </w:rPr>
      </w:pPr>
    </w:p>
    <w:p w14:paraId="7441A599" w14:textId="42CD4A3B" w:rsidR="00625BBA" w:rsidRPr="00625BBA" w:rsidRDefault="00625BBA" w:rsidP="000E5948">
      <w:pPr>
        <w:pStyle w:val="Textkomentra"/>
        <w:spacing w:after="120" w:line="276" w:lineRule="auto"/>
        <w:jc w:val="both"/>
        <w:rPr>
          <w:rFonts w:ascii="Times New Roman" w:hAnsi="Times New Roman" w:cs="Times New Roman"/>
          <w:b/>
          <w:bCs/>
          <w:sz w:val="24"/>
          <w:szCs w:val="24"/>
          <w:lang w:val="sk-SK"/>
        </w:rPr>
      </w:pPr>
      <w:r w:rsidRPr="00625BBA">
        <w:rPr>
          <w:rFonts w:ascii="Times New Roman" w:hAnsi="Times New Roman" w:cs="Times New Roman"/>
          <w:b/>
          <w:bCs/>
          <w:sz w:val="24"/>
          <w:szCs w:val="24"/>
          <w:lang w:val="sk-SK"/>
        </w:rPr>
        <w:t>K bod</w:t>
      </w:r>
      <w:r w:rsidR="000E5948">
        <w:rPr>
          <w:rFonts w:ascii="Times New Roman" w:hAnsi="Times New Roman" w:cs="Times New Roman"/>
          <w:b/>
          <w:bCs/>
          <w:sz w:val="24"/>
          <w:szCs w:val="24"/>
          <w:lang w:val="sk-SK"/>
        </w:rPr>
        <w:t>om</w:t>
      </w:r>
      <w:r w:rsidRPr="00625BBA">
        <w:rPr>
          <w:rFonts w:ascii="Times New Roman" w:hAnsi="Times New Roman" w:cs="Times New Roman"/>
          <w:b/>
          <w:bCs/>
          <w:sz w:val="24"/>
          <w:szCs w:val="24"/>
          <w:lang w:val="sk-SK"/>
        </w:rPr>
        <w:t xml:space="preserve"> </w:t>
      </w:r>
      <w:r w:rsidR="006A5B8B">
        <w:rPr>
          <w:rFonts w:ascii="Times New Roman" w:hAnsi="Times New Roman" w:cs="Times New Roman"/>
          <w:b/>
          <w:bCs/>
          <w:sz w:val="24"/>
          <w:szCs w:val="24"/>
          <w:lang w:val="sk-SK"/>
        </w:rPr>
        <w:t>68</w:t>
      </w:r>
      <w:r w:rsidRPr="00625BBA">
        <w:rPr>
          <w:rFonts w:ascii="Times New Roman" w:hAnsi="Times New Roman" w:cs="Times New Roman"/>
          <w:b/>
          <w:bCs/>
          <w:sz w:val="24"/>
          <w:szCs w:val="24"/>
          <w:lang w:val="sk-SK"/>
        </w:rPr>
        <w:t xml:space="preserve"> a </w:t>
      </w:r>
      <w:r w:rsidR="006A5B8B">
        <w:rPr>
          <w:rFonts w:ascii="Times New Roman" w:hAnsi="Times New Roman" w:cs="Times New Roman"/>
          <w:b/>
          <w:bCs/>
          <w:sz w:val="24"/>
          <w:szCs w:val="24"/>
          <w:lang w:val="sk-SK"/>
        </w:rPr>
        <w:t>69</w:t>
      </w:r>
    </w:p>
    <w:p w14:paraId="157AD652" w14:textId="77777777" w:rsidR="00625BBA" w:rsidRPr="00625BBA" w:rsidRDefault="00625BBA" w:rsidP="007F1367">
      <w:pPr>
        <w:pStyle w:val="Textkomentra"/>
        <w:spacing w:after="0" w:line="276" w:lineRule="auto"/>
        <w:jc w:val="both"/>
        <w:rPr>
          <w:rFonts w:ascii="Times New Roman" w:hAnsi="Times New Roman" w:cs="Times New Roman"/>
          <w:sz w:val="24"/>
          <w:szCs w:val="24"/>
          <w:lang w:val="sk-SK"/>
        </w:rPr>
      </w:pPr>
      <w:r w:rsidRPr="00625BBA">
        <w:rPr>
          <w:rFonts w:ascii="Times New Roman" w:hAnsi="Times New Roman" w:cs="Times New Roman"/>
          <w:sz w:val="24"/>
          <w:szCs w:val="24"/>
          <w:lang w:val="sk-SK"/>
        </w:rPr>
        <w:t>V § 36 sa navrhuje formálna úprava v nadväznosti na zmeny v § 35 - spojenie a vypustenie dvoch skutkových podstát a zakotvenie novej skutkovej podstaty.</w:t>
      </w:r>
    </w:p>
    <w:p w14:paraId="2C76AC7A" w14:textId="77777777" w:rsidR="007F1367" w:rsidRDefault="007F1367" w:rsidP="007F1367">
      <w:pPr>
        <w:spacing w:line="276" w:lineRule="auto"/>
        <w:rPr>
          <w:b/>
          <w:bCs/>
        </w:rPr>
      </w:pPr>
    </w:p>
    <w:p w14:paraId="247CC575" w14:textId="0D7CC57F" w:rsidR="00625BBA" w:rsidRPr="00625BBA" w:rsidRDefault="00625BBA" w:rsidP="000E5948">
      <w:pPr>
        <w:spacing w:after="120" w:line="276" w:lineRule="auto"/>
        <w:rPr>
          <w:b/>
          <w:bCs/>
        </w:rPr>
      </w:pPr>
      <w:r w:rsidRPr="00625BBA">
        <w:rPr>
          <w:b/>
          <w:bCs/>
        </w:rPr>
        <w:t>K bodu 7</w:t>
      </w:r>
      <w:r w:rsidR="006A5B8B">
        <w:rPr>
          <w:b/>
          <w:bCs/>
        </w:rPr>
        <w:t>0</w:t>
      </w:r>
    </w:p>
    <w:p w14:paraId="61AFDFC9" w14:textId="23085E27" w:rsidR="00625BBA" w:rsidRPr="00625BBA" w:rsidRDefault="00625BBA" w:rsidP="007F1367">
      <w:pPr>
        <w:spacing w:line="276" w:lineRule="auto"/>
        <w:jc w:val="both"/>
      </w:pPr>
      <w:r w:rsidRPr="00625BBA">
        <w:t>Z aplikačnej praxe vyplýva potreba predĺženia tzv. objektívnej lehoty na zánik zodpovednosti za správny delikt. Kontrolný orgán sa dozvie o porušení až pri výkone kontroly, pričom sa často stáva, že k porušeniu došlo výrazne skôr. Podľa príslušnej legislatívy Európskej únie (tzv. REACH, tzv. CLP a aj nového nariadenia</w:t>
      </w:r>
      <w:r w:rsidR="005E1E70">
        <w:t xml:space="preserve"> o detergentoch</w:t>
      </w:r>
      <w:r w:rsidRPr="00625BBA">
        <w:t>) musia byť sankcie stanovené členskými štátmi účinné, primerané a odrádzajúce.  Odrádzajúci účinok sankcií je kľúčovým nástrojom na predchádzanie vzniku rizík pre ľudské zdravie a životné prostredie. Ak však nie je možné sankciu uložiť z dôvodu uplynutia objektívnej lehoty, dochádza k oslabeniu tohto preventívneho mechanizmu a k zníženiu úrovne ochrany verejného záujmu, ktorým bezpochyby ochrana ľudského zdravia a životného prostredia sú. Predĺžením tejto lehoty nevznikne záťaž pre podnikateľské prostredie, pretože podľa aktuálne účinných nariadení Európskej únie (tzv. REACH, tzv. CLP a aj nového nariadenia</w:t>
      </w:r>
      <w:r w:rsidR="005E1E70">
        <w:t xml:space="preserve"> o detergentoch</w:t>
      </w:r>
      <w:r w:rsidRPr="00625BBA">
        <w:t xml:space="preserve">) majú príslušné subjekty dodávateľského reťazca povinnosť uchovávať informácie a dokumentáciu (najmenej) počas desiatich rokov. Predmetné právne predpisy sú v Slovenskej republike priamo uplatniteľné, t. j. táto povinnosť musí byť bez potreby vnútroštátnej právnej úpravy zo strany povinných subjektov dodržiavaná. </w:t>
      </w:r>
    </w:p>
    <w:p w14:paraId="595B1778" w14:textId="5FC3A041" w:rsidR="00625BBA" w:rsidRDefault="00625BBA" w:rsidP="007F1367">
      <w:pPr>
        <w:spacing w:line="276" w:lineRule="auto"/>
        <w:jc w:val="both"/>
      </w:pPr>
      <w:r w:rsidRPr="00625BBA">
        <w:t>Navrhovaná právna úprava tak posilní efektívnosť výkonu dohľadu nad trhom a zabezpečí reálnu vymožiteľnosť práva bez navýšenia nákladov pre podnikateľské subjekty. Zároveň zabezpečí súlad s legislatívou Európskej únie.</w:t>
      </w:r>
    </w:p>
    <w:p w14:paraId="4F7A9501" w14:textId="77777777" w:rsidR="007F1367" w:rsidRPr="007F1367" w:rsidRDefault="007F1367" w:rsidP="007F1367">
      <w:pPr>
        <w:spacing w:line="276" w:lineRule="auto"/>
        <w:jc w:val="both"/>
      </w:pPr>
    </w:p>
    <w:p w14:paraId="48809F81" w14:textId="06B161E5" w:rsidR="00625BBA" w:rsidRPr="000E5948" w:rsidRDefault="00625BBA" w:rsidP="000E5948">
      <w:pPr>
        <w:pStyle w:val="Textkomentra"/>
        <w:spacing w:after="120" w:line="276" w:lineRule="auto"/>
        <w:jc w:val="both"/>
        <w:rPr>
          <w:rFonts w:ascii="Times New Roman" w:hAnsi="Times New Roman" w:cs="Times New Roman"/>
          <w:b/>
          <w:bCs/>
          <w:sz w:val="24"/>
          <w:szCs w:val="24"/>
          <w:lang w:val="sk-SK"/>
        </w:rPr>
      </w:pPr>
      <w:r w:rsidRPr="00625BBA">
        <w:rPr>
          <w:rFonts w:ascii="Times New Roman" w:hAnsi="Times New Roman" w:cs="Times New Roman"/>
          <w:b/>
          <w:bCs/>
          <w:sz w:val="24"/>
          <w:szCs w:val="24"/>
        </w:rPr>
        <w:t>K </w:t>
      </w:r>
      <w:r w:rsidRPr="000E5948">
        <w:rPr>
          <w:rFonts w:ascii="Times New Roman" w:hAnsi="Times New Roman" w:cs="Times New Roman"/>
          <w:b/>
          <w:bCs/>
          <w:sz w:val="24"/>
          <w:szCs w:val="24"/>
          <w:lang w:val="sk-SK"/>
        </w:rPr>
        <w:t>bodu 7</w:t>
      </w:r>
      <w:r w:rsidR="006A5B8B">
        <w:rPr>
          <w:rFonts w:ascii="Times New Roman" w:hAnsi="Times New Roman" w:cs="Times New Roman"/>
          <w:b/>
          <w:bCs/>
          <w:sz w:val="24"/>
          <w:szCs w:val="24"/>
          <w:lang w:val="sk-SK"/>
        </w:rPr>
        <w:t>1</w:t>
      </w:r>
    </w:p>
    <w:p w14:paraId="0973F767" w14:textId="77777777" w:rsidR="00625BBA" w:rsidRPr="00625BBA" w:rsidRDefault="00625BBA" w:rsidP="007F1367">
      <w:pPr>
        <w:spacing w:line="276" w:lineRule="auto"/>
        <w:jc w:val="both"/>
      </w:pPr>
      <w:r w:rsidRPr="00625BBA">
        <w:t>Z aplikačnej praxe vyplýva potreba vypustiť tzv. subjektívnu lehotu na uloženie poriadkovej pokuty a predĺžiť tzv. objektívnu lehotu z jedného na tri roky.</w:t>
      </w:r>
    </w:p>
    <w:p w14:paraId="40E4E1BF" w14:textId="77777777" w:rsidR="004278E2" w:rsidRDefault="004278E2" w:rsidP="007F1367">
      <w:pPr>
        <w:spacing w:line="276" w:lineRule="auto"/>
        <w:jc w:val="both"/>
        <w:rPr>
          <w:b/>
          <w:bCs/>
        </w:rPr>
      </w:pPr>
    </w:p>
    <w:p w14:paraId="40E6CE3C" w14:textId="5E054FFA" w:rsidR="00625BBA" w:rsidRPr="00625BBA" w:rsidRDefault="00625BBA" w:rsidP="000E5948">
      <w:pPr>
        <w:spacing w:after="120" w:line="276" w:lineRule="auto"/>
        <w:jc w:val="both"/>
        <w:rPr>
          <w:b/>
          <w:bCs/>
        </w:rPr>
      </w:pPr>
      <w:r w:rsidRPr="00625BBA">
        <w:rPr>
          <w:b/>
          <w:bCs/>
        </w:rPr>
        <w:t>K bodu 7</w:t>
      </w:r>
      <w:r w:rsidR="006A5B8B">
        <w:rPr>
          <w:b/>
          <w:bCs/>
        </w:rPr>
        <w:t>2</w:t>
      </w:r>
    </w:p>
    <w:p w14:paraId="72CB684E" w14:textId="28A339ED" w:rsidR="0014317E" w:rsidRPr="00563CE1" w:rsidRDefault="00625BBA" w:rsidP="00563CE1">
      <w:pPr>
        <w:spacing w:line="276" w:lineRule="auto"/>
        <w:jc w:val="both"/>
      </w:pPr>
      <w:r w:rsidRPr="00625BBA">
        <w:t>Zmena je potrebná z dôvodu, že Centrum pre chemické látky a prípravky ako pôvodne samostatný orgán štátnej správy sa stal súčasťou Ministerstva hospodárstva Slovenskej republiky ako jeho organizačný útvar</w:t>
      </w:r>
      <w:r w:rsidR="00AB3A44">
        <w:t>.</w:t>
      </w:r>
    </w:p>
    <w:p w14:paraId="2B5DA04A" w14:textId="77777777" w:rsidR="00563CE1" w:rsidRDefault="00563CE1" w:rsidP="007F1367">
      <w:pPr>
        <w:spacing w:line="276" w:lineRule="auto"/>
        <w:rPr>
          <w:b/>
          <w:bCs/>
        </w:rPr>
      </w:pPr>
    </w:p>
    <w:p w14:paraId="3C496387" w14:textId="32E83464" w:rsidR="00625BBA" w:rsidRPr="00625BBA" w:rsidRDefault="00625BBA" w:rsidP="007F1367">
      <w:pPr>
        <w:spacing w:line="276" w:lineRule="auto"/>
        <w:rPr>
          <w:b/>
          <w:bCs/>
        </w:rPr>
      </w:pPr>
      <w:r w:rsidRPr="00625BBA">
        <w:rPr>
          <w:b/>
          <w:bCs/>
        </w:rPr>
        <w:t>K ČI. II</w:t>
      </w:r>
    </w:p>
    <w:p w14:paraId="653AF560" w14:textId="77777777" w:rsidR="00625BBA" w:rsidRDefault="00625BBA" w:rsidP="007F1367">
      <w:pPr>
        <w:spacing w:line="276" w:lineRule="auto"/>
        <w:jc w:val="both"/>
      </w:pPr>
    </w:p>
    <w:p w14:paraId="667BFEB1" w14:textId="55A4EA15" w:rsidR="00625BBA" w:rsidRPr="00625BBA" w:rsidRDefault="00625BBA" w:rsidP="007F1367">
      <w:pPr>
        <w:spacing w:line="276" w:lineRule="auto"/>
        <w:jc w:val="both"/>
      </w:pPr>
      <w:r w:rsidRPr="00625BBA">
        <w:t xml:space="preserve">Účinnosť novely zákona sa navrhuje od 1. januára 2027 s výnimkou ustanovení, pri ktorých musí byť posunutá s ohľadom na neskorší začiatok uplatňovania </w:t>
      </w:r>
      <w:r w:rsidR="00883736" w:rsidRPr="00625BBA">
        <w:t>nariaden</w:t>
      </w:r>
      <w:r w:rsidR="00883736">
        <w:t xml:space="preserve">ia </w:t>
      </w:r>
      <w:r w:rsidR="00883736" w:rsidRPr="00775546">
        <w:t>(EÚ) 2026/405</w:t>
      </w:r>
      <w:r w:rsidRPr="00625BBA">
        <w:t>. Dovtedy bude účinné aktuálne znenie príslušných ustanovení zákona. Zároveň § 8 ods. 3</w:t>
      </w:r>
      <w:r w:rsidR="00883736">
        <w:t xml:space="preserve"> a § 18 písm. k)</w:t>
      </w:r>
      <w:r w:rsidRPr="00625BBA">
        <w:t xml:space="preserve"> </w:t>
      </w:r>
      <w:r w:rsidR="00883736">
        <w:t>sa vypúšťajú (</w:t>
      </w:r>
      <w:r w:rsidRPr="00625BBA">
        <w:t>str</w:t>
      </w:r>
      <w:r w:rsidR="00883736">
        <w:t>ácajú</w:t>
      </w:r>
      <w:r w:rsidRPr="00625BBA">
        <w:t xml:space="preserve"> účinnosť</w:t>
      </w:r>
      <w:r w:rsidR="00883736">
        <w:t>)</w:t>
      </w:r>
      <w:r w:rsidRPr="00625BBA">
        <w:t xml:space="preserve"> so začiatkom uplatňovania </w:t>
      </w:r>
      <w:r w:rsidR="00724755" w:rsidRPr="00625BBA">
        <w:t>nariaden</w:t>
      </w:r>
      <w:r w:rsidR="00724755">
        <w:t xml:space="preserve">ia </w:t>
      </w:r>
      <w:r w:rsidR="00724755" w:rsidRPr="00775546">
        <w:t>(EÚ) 2026/405</w:t>
      </w:r>
      <w:r w:rsidRPr="00625BBA">
        <w:t>, bez nahradenia iným ustanovením.</w:t>
      </w:r>
    </w:p>
    <w:p w14:paraId="400DF509" w14:textId="77777777" w:rsidR="00DA212C" w:rsidRDefault="00DA212C"/>
    <w:p w14:paraId="17F21859" w14:textId="77777777" w:rsidR="00DA212C" w:rsidRDefault="00DA212C"/>
    <w:sectPr w:rsidR="00DA212C" w:rsidSect="00563CE1">
      <w:footerReference w:type="default" r:id="rId9"/>
      <w:pgSz w:w="11906" w:h="16838"/>
      <w:pgMar w:top="993" w:right="1417" w:bottom="1276" w:left="1417"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E9A713" w14:textId="77777777" w:rsidR="00866E29" w:rsidRDefault="00866E29" w:rsidP="003F5DE5">
      <w:r>
        <w:separator/>
      </w:r>
    </w:p>
  </w:endnote>
  <w:endnote w:type="continuationSeparator" w:id="0">
    <w:p w14:paraId="108FB026" w14:textId="77777777" w:rsidR="00866E29" w:rsidRDefault="00866E29" w:rsidP="003F5D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68187698"/>
      <w:docPartObj>
        <w:docPartGallery w:val="Page Numbers (Bottom of Page)"/>
        <w:docPartUnique/>
      </w:docPartObj>
    </w:sdtPr>
    <w:sdtContent>
      <w:p w14:paraId="207FA8C9" w14:textId="3AF54981" w:rsidR="00563CE1" w:rsidRDefault="00563CE1">
        <w:pPr>
          <w:pStyle w:val="Pta"/>
          <w:jc w:val="right"/>
        </w:pPr>
        <w:r>
          <w:fldChar w:fldCharType="begin"/>
        </w:r>
        <w:r>
          <w:instrText>PAGE   \* MERGEFORMAT</w:instrText>
        </w:r>
        <w:r>
          <w:fldChar w:fldCharType="separate"/>
        </w:r>
        <w:r>
          <w:t>2</w:t>
        </w:r>
        <w:r>
          <w:fldChar w:fldCharType="end"/>
        </w:r>
      </w:p>
    </w:sdtContent>
  </w:sdt>
  <w:p w14:paraId="3180F78E" w14:textId="77777777" w:rsidR="00563CE1" w:rsidRDefault="00563CE1">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701DBB" w14:textId="77777777" w:rsidR="00866E29" w:rsidRDefault="00866E29" w:rsidP="003F5DE5">
      <w:r>
        <w:separator/>
      </w:r>
    </w:p>
  </w:footnote>
  <w:footnote w:type="continuationSeparator" w:id="0">
    <w:p w14:paraId="73A3ED9E" w14:textId="77777777" w:rsidR="00866E29" w:rsidRDefault="00866E29" w:rsidP="003F5D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506F3"/>
    <w:multiLevelType w:val="hybridMultilevel"/>
    <w:tmpl w:val="46B04D9C"/>
    <w:lvl w:ilvl="0" w:tplc="ADD40932">
      <w:start w:val="1"/>
      <w:numFmt w:val="lowerLetter"/>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1" w15:restartNumberingAfterBreak="0">
    <w:nsid w:val="05C332EC"/>
    <w:multiLevelType w:val="hybridMultilevel"/>
    <w:tmpl w:val="B130EBEC"/>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0BFE47EC"/>
    <w:multiLevelType w:val="hybridMultilevel"/>
    <w:tmpl w:val="F3083C50"/>
    <w:lvl w:ilvl="0" w:tplc="26C008F8">
      <w:start w:val="1"/>
      <w:numFmt w:val="decimal"/>
      <w:lvlText w:val="%1."/>
      <w:lvlJc w:val="left"/>
      <w:pPr>
        <w:ind w:left="1020" w:hanging="360"/>
      </w:pPr>
    </w:lvl>
    <w:lvl w:ilvl="1" w:tplc="611AADCE">
      <w:start w:val="1"/>
      <w:numFmt w:val="decimal"/>
      <w:lvlText w:val="%2."/>
      <w:lvlJc w:val="left"/>
      <w:pPr>
        <w:ind w:left="1020" w:hanging="360"/>
      </w:pPr>
    </w:lvl>
    <w:lvl w:ilvl="2" w:tplc="2550DA42">
      <w:start w:val="1"/>
      <w:numFmt w:val="decimal"/>
      <w:lvlText w:val="%3."/>
      <w:lvlJc w:val="left"/>
      <w:pPr>
        <w:ind w:left="1020" w:hanging="360"/>
      </w:pPr>
    </w:lvl>
    <w:lvl w:ilvl="3" w:tplc="D57A5A94">
      <w:start w:val="1"/>
      <w:numFmt w:val="decimal"/>
      <w:lvlText w:val="%4."/>
      <w:lvlJc w:val="left"/>
      <w:pPr>
        <w:ind w:left="1020" w:hanging="360"/>
      </w:pPr>
    </w:lvl>
    <w:lvl w:ilvl="4" w:tplc="5066EBAA">
      <w:start w:val="1"/>
      <w:numFmt w:val="decimal"/>
      <w:lvlText w:val="%5."/>
      <w:lvlJc w:val="left"/>
      <w:pPr>
        <w:ind w:left="1020" w:hanging="360"/>
      </w:pPr>
    </w:lvl>
    <w:lvl w:ilvl="5" w:tplc="81ECAB70">
      <w:start w:val="1"/>
      <w:numFmt w:val="decimal"/>
      <w:lvlText w:val="%6."/>
      <w:lvlJc w:val="left"/>
      <w:pPr>
        <w:ind w:left="1020" w:hanging="360"/>
      </w:pPr>
    </w:lvl>
    <w:lvl w:ilvl="6" w:tplc="544C5316">
      <w:start w:val="1"/>
      <w:numFmt w:val="decimal"/>
      <w:lvlText w:val="%7."/>
      <w:lvlJc w:val="left"/>
      <w:pPr>
        <w:ind w:left="1020" w:hanging="360"/>
      </w:pPr>
    </w:lvl>
    <w:lvl w:ilvl="7" w:tplc="E3FE0CFE">
      <w:start w:val="1"/>
      <w:numFmt w:val="decimal"/>
      <w:lvlText w:val="%8."/>
      <w:lvlJc w:val="left"/>
      <w:pPr>
        <w:ind w:left="1020" w:hanging="360"/>
      </w:pPr>
    </w:lvl>
    <w:lvl w:ilvl="8" w:tplc="E8CEA2C8">
      <w:start w:val="1"/>
      <w:numFmt w:val="decimal"/>
      <w:lvlText w:val="%9."/>
      <w:lvlJc w:val="left"/>
      <w:pPr>
        <w:ind w:left="1020" w:hanging="360"/>
      </w:pPr>
    </w:lvl>
  </w:abstractNum>
  <w:abstractNum w:abstractNumId="3" w15:restartNumberingAfterBreak="0">
    <w:nsid w:val="0CDB6F7E"/>
    <w:multiLevelType w:val="multilevel"/>
    <w:tmpl w:val="1C30B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8F2089"/>
    <w:multiLevelType w:val="hybridMultilevel"/>
    <w:tmpl w:val="CE4E242C"/>
    <w:lvl w:ilvl="0" w:tplc="041B000F">
      <w:start w:val="64"/>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1C1450EA"/>
    <w:multiLevelType w:val="hybridMultilevel"/>
    <w:tmpl w:val="A352ED3A"/>
    <w:lvl w:ilvl="0" w:tplc="041B0017">
      <w:start w:val="1"/>
      <w:numFmt w:val="lowerLetter"/>
      <w:lvlText w:val="%1)"/>
      <w:lvlJc w:val="left"/>
      <w:pPr>
        <w:ind w:left="1068" w:hanging="360"/>
      </w:pPr>
      <w:rPr>
        <w:rFonts w:hint="default"/>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6" w15:restartNumberingAfterBreak="0">
    <w:nsid w:val="20621168"/>
    <w:multiLevelType w:val="hybridMultilevel"/>
    <w:tmpl w:val="22E890AA"/>
    <w:lvl w:ilvl="0" w:tplc="42786BB8">
      <w:start w:val="1"/>
      <w:numFmt w:val="upperLetter"/>
      <w:lvlText w:val="%1."/>
      <w:lvlJc w:val="left"/>
      <w:pPr>
        <w:ind w:left="360" w:hanging="360"/>
      </w:pPr>
      <w:rPr>
        <w:rFonts w:ascii="Times New Roman" w:hAnsi="Times New Roman" w:cs="Times New Roman"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7" w15:restartNumberingAfterBreak="0">
    <w:nsid w:val="23510E01"/>
    <w:multiLevelType w:val="hybridMultilevel"/>
    <w:tmpl w:val="A720EA1E"/>
    <w:lvl w:ilvl="0" w:tplc="041B000F">
      <w:start w:val="5"/>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27EF31EC"/>
    <w:multiLevelType w:val="hybridMultilevel"/>
    <w:tmpl w:val="C4F68352"/>
    <w:lvl w:ilvl="0" w:tplc="83142C3C">
      <w:start w:val="4"/>
      <w:numFmt w:val="decimal"/>
      <w:lvlText w:val="%1."/>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9" w15:restartNumberingAfterBreak="0">
    <w:nsid w:val="2AA360D8"/>
    <w:multiLevelType w:val="hybridMultilevel"/>
    <w:tmpl w:val="17241B3C"/>
    <w:lvl w:ilvl="0" w:tplc="5762A292">
      <w:start w:val="1"/>
      <w:numFmt w:val="decimal"/>
      <w:lvlText w:val="%1."/>
      <w:lvlJc w:val="left"/>
      <w:pPr>
        <w:ind w:left="42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4C3E7C6C">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A164FC50">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0EA6609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DD4EB3A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DAACBC2A">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240A1A5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BB0A9DA">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ABF8D62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2ACD4251"/>
    <w:multiLevelType w:val="hybridMultilevel"/>
    <w:tmpl w:val="FC48EC52"/>
    <w:lvl w:ilvl="0" w:tplc="90EEA2AA">
      <w:start w:val="1"/>
      <w:numFmt w:val="lowerLetter"/>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11" w15:restartNumberingAfterBreak="0">
    <w:nsid w:val="2B5C2967"/>
    <w:multiLevelType w:val="hybridMultilevel"/>
    <w:tmpl w:val="0AB41A6E"/>
    <w:lvl w:ilvl="0" w:tplc="8662D5F8">
      <w:start w:val="1"/>
      <w:numFmt w:val="decimal"/>
      <w:suff w:val="space"/>
      <w:lvlText w:val="%1."/>
      <w:lvlJc w:val="left"/>
      <w:pPr>
        <w:ind w:left="2487" w:hanging="360"/>
      </w:pPr>
      <w:rPr>
        <w:rFonts w:hint="default"/>
      </w:rPr>
    </w:lvl>
    <w:lvl w:ilvl="1" w:tplc="041B0019" w:tentative="1">
      <w:start w:val="1"/>
      <w:numFmt w:val="lowerLetter"/>
      <w:lvlText w:val="%2."/>
      <w:lvlJc w:val="left"/>
      <w:pPr>
        <w:ind w:left="3207" w:hanging="360"/>
      </w:pPr>
    </w:lvl>
    <w:lvl w:ilvl="2" w:tplc="041B001B" w:tentative="1">
      <w:start w:val="1"/>
      <w:numFmt w:val="lowerRoman"/>
      <w:lvlText w:val="%3."/>
      <w:lvlJc w:val="right"/>
      <w:pPr>
        <w:ind w:left="3927" w:hanging="180"/>
      </w:pPr>
    </w:lvl>
    <w:lvl w:ilvl="3" w:tplc="041B000F" w:tentative="1">
      <w:start w:val="1"/>
      <w:numFmt w:val="decimal"/>
      <w:lvlText w:val="%4."/>
      <w:lvlJc w:val="left"/>
      <w:pPr>
        <w:ind w:left="4647" w:hanging="360"/>
      </w:pPr>
    </w:lvl>
    <w:lvl w:ilvl="4" w:tplc="041B0019" w:tentative="1">
      <w:start w:val="1"/>
      <w:numFmt w:val="lowerLetter"/>
      <w:lvlText w:val="%5."/>
      <w:lvlJc w:val="left"/>
      <w:pPr>
        <w:ind w:left="5367" w:hanging="360"/>
      </w:pPr>
    </w:lvl>
    <w:lvl w:ilvl="5" w:tplc="041B001B" w:tentative="1">
      <w:start w:val="1"/>
      <w:numFmt w:val="lowerRoman"/>
      <w:lvlText w:val="%6."/>
      <w:lvlJc w:val="right"/>
      <w:pPr>
        <w:ind w:left="6087" w:hanging="180"/>
      </w:pPr>
    </w:lvl>
    <w:lvl w:ilvl="6" w:tplc="041B000F" w:tentative="1">
      <w:start w:val="1"/>
      <w:numFmt w:val="decimal"/>
      <w:lvlText w:val="%7."/>
      <w:lvlJc w:val="left"/>
      <w:pPr>
        <w:ind w:left="6807" w:hanging="360"/>
      </w:pPr>
    </w:lvl>
    <w:lvl w:ilvl="7" w:tplc="041B0019" w:tentative="1">
      <w:start w:val="1"/>
      <w:numFmt w:val="lowerLetter"/>
      <w:lvlText w:val="%8."/>
      <w:lvlJc w:val="left"/>
      <w:pPr>
        <w:ind w:left="7527" w:hanging="360"/>
      </w:pPr>
    </w:lvl>
    <w:lvl w:ilvl="8" w:tplc="041B001B" w:tentative="1">
      <w:start w:val="1"/>
      <w:numFmt w:val="lowerRoman"/>
      <w:lvlText w:val="%9."/>
      <w:lvlJc w:val="right"/>
      <w:pPr>
        <w:ind w:left="8247" w:hanging="180"/>
      </w:pPr>
    </w:lvl>
  </w:abstractNum>
  <w:abstractNum w:abstractNumId="12" w15:restartNumberingAfterBreak="0">
    <w:nsid w:val="2C7302AC"/>
    <w:multiLevelType w:val="hybridMultilevel"/>
    <w:tmpl w:val="4010EFEC"/>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2FB97FC2"/>
    <w:multiLevelType w:val="hybridMultilevel"/>
    <w:tmpl w:val="B39CEE32"/>
    <w:lvl w:ilvl="0" w:tplc="3956F1F4">
      <w:start w:val="1"/>
      <w:numFmt w:val="lowerLetter"/>
      <w:lvlText w:val="%1)"/>
      <w:lvlJc w:val="left"/>
      <w:pPr>
        <w:ind w:left="644" w:hanging="360"/>
      </w:pPr>
      <w:rPr>
        <w:rFonts w:hint="default"/>
      </w:r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14" w15:restartNumberingAfterBreak="0">
    <w:nsid w:val="31067BBE"/>
    <w:multiLevelType w:val="hybridMultilevel"/>
    <w:tmpl w:val="C480DBCE"/>
    <w:lvl w:ilvl="0" w:tplc="658E6688">
      <w:start w:val="1"/>
      <w:numFmt w:val="decimal"/>
      <w:lvlText w:val="%1."/>
      <w:lvlJc w:val="left"/>
      <w:pPr>
        <w:ind w:left="434" w:hanging="360"/>
      </w:pPr>
      <w:rPr>
        <w:rFonts w:hint="default"/>
      </w:rPr>
    </w:lvl>
    <w:lvl w:ilvl="1" w:tplc="041B0019" w:tentative="1">
      <w:start w:val="1"/>
      <w:numFmt w:val="lowerLetter"/>
      <w:lvlText w:val="%2."/>
      <w:lvlJc w:val="left"/>
      <w:pPr>
        <w:ind w:left="1154" w:hanging="360"/>
      </w:pPr>
    </w:lvl>
    <w:lvl w:ilvl="2" w:tplc="041B001B" w:tentative="1">
      <w:start w:val="1"/>
      <w:numFmt w:val="lowerRoman"/>
      <w:lvlText w:val="%3."/>
      <w:lvlJc w:val="right"/>
      <w:pPr>
        <w:ind w:left="1874" w:hanging="180"/>
      </w:pPr>
    </w:lvl>
    <w:lvl w:ilvl="3" w:tplc="041B000F" w:tentative="1">
      <w:start w:val="1"/>
      <w:numFmt w:val="decimal"/>
      <w:lvlText w:val="%4."/>
      <w:lvlJc w:val="left"/>
      <w:pPr>
        <w:ind w:left="2594" w:hanging="360"/>
      </w:pPr>
    </w:lvl>
    <w:lvl w:ilvl="4" w:tplc="041B0019" w:tentative="1">
      <w:start w:val="1"/>
      <w:numFmt w:val="lowerLetter"/>
      <w:lvlText w:val="%5."/>
      <w:lvlJc w:val="left"/>
      <w:pPr>
        <w:ind w:left="3314" w:hanging="360"/>
      </w:pPr>
    </w:lvl>
    <w:lvl w:ilvl="5" w:tplc="041B001B" w:tentative="1">
      <w:start w:val="1"/>
      <w:numFmt w:val="lowerRoman"/>
      <w:lvlText w:val="%6."/>
      <w:lvlJc w:val="right"/>
      <w:pPr>
        <w:ind w:left="4034" w:hanging="180"/>
      </w:pPr>
    </w:lvl>
    <w:lvl w:ilvl="6" w:tplc="041B000F" w:tentative="1">
      <w:start w:val="1"/>
      <w:numFmt w:val="decimal"/>
      <w:lvlText w:val="%7."/>
      <w:lvlJc w:val="left"/>
      <w:pPr>
        <w:ind w:left="4754" w:hanging="360"/>
      </w:pPr>
    </w:lvl>
    <w:lvl w:ilvl="7" w:tplc="041B0019" w:tentative="1">
      <w:start w:val="1"/>
      <w:numFmt w:val="lowerLetter"/>
      <w:lvlText w:val="%8."/>
      <w:lvlJc w:val="left"/>
      <w:pPr>
        <w:ind w:left="5474" w:hanging="360"/>
      </w:pPr>
    </w:lvl>
    <w:lvl w:ilvl="8" w:tplc="041B001B" w:tentative="1">
      <w:start w:val="1"/>
      <w:numFmt w:val="lowerRoman"/>
      <w:lvlText w:val="%9."/>
      <w:lvlJc w:val="right"/>
      <w:pPr>
        <w:ind w:left="6194" w:hanging="180"/>
      </w:pPr>
    </w:lvl>
  </w:abstractNum>
  <w:abstractNum w:abstractNumId="15" w15:restartNumberingAfterBreak="0">
    <w:nsid w:val="31BD5BEB"/>
    <w:multiLevelType w:val="hybridMultilevel"/>
    <w:tmpl w:val="F5B01A4E"/>
    <w:lvl w:ilvl="0" w:tplc="21D06C80">
      <w:start w:val="1"/>
      <w:numFmt w:val="bullet"/>
      <w:lvlText w:val="-"/>
      <w:lvlJc w:val="left"/>
      <w:pPr>
        <w:ind w:left="720" w:hanging="360"/>
      </w:pPr>
      <w:rPr>
        <w:rFonts w:ascii="Times New Roman" w:eastAsia="Times New Roman" w:hAnsi="Times New Roman"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6" w15:restartNumberingAfterBreak="0">
    <w:nsid w:val="3B8220F0"/>
    <w:multiLevelType w:val="hybridMultilevel"/>
    <w:tmpl w:val="C6B6B1E4"/>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3EF20E57"/>
    <w:multiLevelType w:val="multilevel"/>
    <w:tmpl w:val="EC727220"/>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782995"/>
    <w:multiLevelType w:val="hybridMultilevel"/>
    <w:tmpl w:val="287217E4"/>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 w15:restartNumberingAfterBreak="0">
    <w:nsid w:val="47D15C74"/>
    <w:multiLevelType w:val="hybridMultilevel"/>
    <w:tmpl w:val="E0DAA08A"/>
    <w:lvl w:ilvl="0" w:tplc="FC9A6090">
      <w:start w:val="7"/>
      <w:numFmt w:val="bullet"/>
      <w:lvlText w:val="-"/>
      <w:lvlJc w:val="left"/>
      <w:pPr>
        <w:ind w:left="1080" w:hanging="360"/>
      </w:pPr>
      <w:rPr>
        <w:rFonts w:ascii="Times New Roman" w:eastAsia="Calibri" w:hAnsi="Times New Roman" w:cs="Times New Roman"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20" w15:restartNumberingAfterBreak="0">
    <w:nsid w:val="4CC13B4E"/>
    <w:multiLevelType w:val="hybridMultilevel"/>
    <w:tmpl w:val="A352ED3A"/>
    <w:lvl w:ilvl="0" w:tplc="041B0017">
      <w:start w:val="1"/>
      <w:numFmt w:val="lowerLetter"/>
      <w:lvlText w:val="%1)"/>
      <w:lvlJc w:val="left"/>
      <w:pPr>
        <w:ind w:left="1068" w:hanging="360"/>
      </w:pPr>
      <w:rPr>
        <w:rFonts w:hint="default"/>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21" w15:restartNumberingAfterBreak="0">
    <w:nsid w:val="4F3F7C6C"/>
    <w:multiLevelType w:val="hybridMultilevel"/>
    <w:tmpl w:val="525C213A"/>
    <w:lvl w:ilvl="0" w:tplc="42EA9E1E">
      <w:start w:val="1"/>
      <w:numFmt w:val="lowerLetter"/>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22" w15:restartNumberingAfterBreak="0">
    <w:nsid w:val="54C84A89"/>
    <w:multiLevelType w:val="hybridMultilevel"/>
    <w:tmpl w:val="287217E4"/>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 w15:restartNumberingAfterBreak="0">
    <w:nsid w:val="59710396"/>
    <w:multiLevelType w:val="hybridMultilevel"/>
    <w:tmpl w:val="C534F71C"/>
    <w:lvl w:ilvl="0" w:tplc="F544EA78">
      <w:start w:val="1"/>
      <w:numFmt w:val="lowerLetter"/>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24" w15:restartNumberingAfterBreak="0">
    <w:nsid w:val="59BB15EE"/>
    <w:multiLevelType w:val="multilevel"/>
    <w:tmpl w:val="DC4E4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 w15:restartNumberingAfterBreak="0">
    <w:nsid w:val="6315751F"/>
    <w:multiLevelType w:val="hybridMultilevel"/>
    <w:tmpl w:val="287217E4"/>
    <w:lvl w:ilvl="0" w:tplc="041B000F">
      <w:start w:val="1"/>
      <w:numFmt w:val="decimal"/>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27" w15:restartNumberingAfterBreak="0">
    <w:nsid w:val="6F933A6D"/>
    <w:multiLevelType w:val="multilevel"/>
    <w:tmpl w:val="1E121D86"/>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5A76C01"/>
    <w:multiLevelType w:val="hybridMultilevel"/>
    <w:tmpl w:val="6EF0564C"/>
    <w:lvl w:ilvl="0" w:tplc="8B7EC1BE">
      <w:start w:val="1"/>
      <w:numFmt w:val="bullet"/>
      <w:lvlText w:val="-"/>
      <w:lvlJc w:val="left"/>
      <w:pPr>
        <w:ind w:left="720" w:hanging="360"/>
      </w:pPr>
      <w:rPr>
        <w:rFonts w:ascii="Times New Roman" w:eastAsia="Times New Roman" w:hAnsi="Times New Roman" w:hint="default"/>
      </w:rPr>
    </w:lvl>
    <w:lvl w:ilvl="1" w:tplc="A80C46B4">
      <w:start w:val="3"/>
      <w:numFmt w:val="bullet"/>
      <w:lvlText w:val="-"/>
      <w:lvlJc w:val="left"/>
      <w:pPr>
        <w:ind w:left="1440" w:hanging="360"/>
      </w:pPr>
      <w:rPr>
        <w:rFonts w:ascii="Times New Roman" w:eastAsia="Calibri" w:hAnsi="Times New Roman" w:cs="Times New Roman" w:hint="default"/>
        <w:b/>
        <w:i w:val="0"/>
      </w:rPr>
    </w:lvl>
    <w:lvl w:ilvl="2" w:tplc="041B0005">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9" w15:restartNumberingAfterBreak="0">
    <w:nsid w:val="7BDE54EF"/>
    <w:multiLevelType w:val="hybridMultilevel"/>
    <w:tmpl w:val="8BC6B172"/>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16cid:durableId="1425876527">
    <w:abstractNumId w:val="11"/>
  </w:num>
  <w:num w:numId="2" w16cid:durableId="1183474827">
    <w:abstractNumId w:val="6"/>
  </w:num>
  <w:num w:numId="3" w16cid:durableId="405231337">
    <w:abstractNumId w:val="29"/>
  </w:num>
  <w:num w:numId="4" w16cid:durableId="1461458646">
    <w:abstractNumId w:val="28"/>
  </w:num>
  <w:num w:numId="5" w16cid:durableId="1215654380">
    <w:abstractNumId w:val="15"/>
  </w:num>
  <w:num w:numId="6" w16cid:durableId="1679767008">
    <w:abstractNumId w:val="8"/>
  </w:num>
  <w:num w:numId="7" w16cid:durableId="796795743">
    <w:abstractNumId w:val="14"/>
  </w:num>
  <w:num w:numId="8" w16cid:durableId="120810389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38756255">
    <w:abstractNumId w:val="19"/>
  </w:num>
  <w:num w:numId="10" w16cid:durableId="8071556">
    <w:abstractNumId w:val="16"/>
  </w:num>
  <w:num w:numId="11" w16cid:durableId="1316454030">
    <w:abstractNumId w:val="1"/>
  </w:num>
  <w:num w:numId="12" w16cid:durableId="436296880">
    <w:abstractNumId w:val="12"/>
  </w:num>
  <w:num w:numId="13" w16cid:durableId="1562059343">
    <w:abstractNumId w:val="23"/>
  </w:num>
  <w:num w:numId="14" w16cid:durableId="61608767">
    <w:abstractNumId w:val="5"/>
  </w:num>
  <w:num w:numId="15" w16cid:durableId="526060728">
    <w:abstractNumId w:val="20"/>
  </w:num>
  <w:num w:numId="16" w16cid:durableId="707293408">
    <w:abstractNumId w:val="21"/>
  </w:num>
  <w:num w:numId="17" w16cid:durableId="2098362516">
    <w:abstractNumId w:val="22"/>
  </w:num>
  <w:num w:numId="18" w16cid:durableId="375392682">
    <w:abstractNumId w:val="26"/>
  </w:num>
  <w:num w:numId="19" w16cid:durableId="1516115963">
    <w:abstractNumId w:val="18"/>
  </w:num>
  <w:num w:numId="20" w16cid:durableId="2025940096">
    <w:abstractNumId w:val="0"/>
  </w:num>
  <w:num w:numId="21" w16cid:durableId="143401900">
    <w:abstractNumId w:val="10"/>
  </w:num>
  <w:num w:numId="22" w16cid:durableId="841775859">
    <w:abstractNumId w:val="2"/>
  </w:num>
  <w:num w:numId="23" w16cid:durableId="1649434885">
    <w:abstractNumId w:val="7"/>
  </w:num>
  <w:num w:numId="24" w16cid:durableId="246963868">
    <w:abstractNumId w:val="9"/>
  </w:num>
  <w:num w:numId="25" w16cid:durableId="1127285227">
    <w:abstractNumId w:val="24"/>
  </w:num>
  <w:num w:numId="26" w16cid:durableId="1420786098">
    <w:abstractNumId w:val="17"/>
  </w:num>
  <w:num w:numId="27" w16cid:durableId="365373679">
    <w:abstractNumId w:val="27"/>
  </w:num>
  <w:num w:numId="28" w16cid:durableId="1206404702">
    <w:abstractNumId w:val="3"/>
  </w:num>
  <w:num w:numId="29" w16cid:durableId="1250820096">
    <w:abstractNumId w:val="13"/>
  </w:num>
  <w:num w:numId="30" w16cid:durableId="121485497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7CBB"/>
    <w:rsid w:val="000049DD"/>
    <w:rsid w:val="0002074B"/>
    <w:rsid w:val="000306CD"/>
    <w:rsid w:val="00037339"/>
    <w:rsid w:val="00047D43"/>
    <w:rsid w:val="000522CE"/>
    <w:rsid w:val="00056B9F"/>
    <w:rsid w:val="0005740E"/>
    <w:rsid w:val="00057C31"/>
    <w:rsid w:val="00074577"/>
    <w:rsid w:val="000777BE"/>
    <w:rsid w:val="000806DD"/>
    <w:rsid w:val="00080722"/>
    <w:rsid w:val="00083291"/>
    <w:rsid w:val="00085A07"/>
    <w:rsid w:val="00086657"/>
    <w:rsid w:val="000A0F94"/>
    <w:rsid w:val="000A5A2F"/>
    <w:rsid w:val="000B0EFA"/>
    <w:rsid w:val="000B13F0"/>
    <w:rsid w:val="000B1E2F"/>
    <w:rsid w:val="000C0F12"/>
    <w:rsid w:val="000C2833"/>
    <w:rsid w:val="000D438E"/>
    <w:rsid w:val="000D5FCF"/>
    <w:rsid w:val="000E18F4"/>
    <w:rsid w:val="000E191E"/>
    <w:rsid w:val="000E2AA4"/>
    <w:rsid w:val="000E5643"/>
    <w:rsid w:val="000E5948"/>
    <w:rsid w:val="000F0913"/>
    <w:rsid w:val="0010253F"/>
    <w:rsid w:val="001032BD"/>
    <w:rsid w:val="001068F7"/>
    <w:rsid w:val="00107309"/>
    <w:rsid w:val="00111D25"/>
    <w:rsid w:val="00113A7B"/>
    <w:rsid w:val="001236FF"/>
    <w:rsid w:val="00125175"/>
    <w:rsid w:val="00131957"/>
    <w:rsid w:val="00132328"/>
    <w:rsid w:val="00132DE7"/>
    <w:rsid w:val="00132F42"/>
    <w:rsid w:val="00133674"/>
    <w:rsid w:val="00134D59"/>
    <w:rsid w:val="001377D2"/>
    <w:rsid w:val="00141DA9"/>
    <w:rsid w:val="0014317E"/>
    <w:rsid w:val="00146744"/>
    <w:rsid w:val="00146749"/>
    <w:rsid w:val="0015303D"/>
    <w:rsid w:val="001554D1"/>
    <w:rsid w:val="0016419D"/>
    <w:rsid w:val="00165024"/>
    <w:rsid w:val="00170BEE"/>
    <w:rsid w:val="00171F7C"/>
    <w:rsid w:val="0018242B"/>
    <w:rsid w:val="001961E1"/>
    <w:rsid w:val="001B55B0"/>
    <w:rsid w:val="001D0965"/>
    <w:rsid w:val="001D0C0B"/>
    <w:rsid w:val="001E2FF8"/>
    <w:rsid w:val="001E70D5"/>
    <w:rsid w:val="001E77F2"/>
    <w:rsid w:val="001F0BA3"/>
    <w:rsid w:val="001F1AD0"/>
    <w:rsid w:val="00203201"/>
    <w:rsid w:val="00215117"/>
    <w:rsid w:val="00216E61"/>
    <w:rsid w:val="00217263"/>
    <w:rsid w:val="00220477"/>
    <w:rsid w:val="00223AB2"/>
    <w:rsid w:val="00224E7F"/>
    <w:rsid w:val="002273ED"/>
    <w:rsid w:val="00230839"/>
    <w:rsid w:val="0023367B"/>
    <w:rsid w:val="002465A3"/>
    <w:rsid w:val="00253B54"/>
    <w:rsid w:val="00254725"/>
    <w:rsid w:val="00270A22"/>
    <w:rsid w:val="00275EB7"/>
    <w:rsid w:val="0028065A"/>
    <w:rsid w:val="00282A99"/>
    <w:rsid w:val="002860E6"/>
    <w:rsid w:val="00290B18"/>
    <w:rsid w:val="00290F80"/>
    <w:rsid w:val="00291F37"/>
    <w:rsid w:val="00297A21"/>
    <w:rsid w:val="002A1ADD"/>
    <w:rsid w:val="002A4B92"/>
    <w:rsid w:val="002A5D52"/>
    <w:rsid w:val="002C135F"/>
    <w:rsid w:val="002C1D51"/>
    <w:rsid w:val="002C748B"/>
    <w:rsid w:val="002C7ACB"/>
    <w:rsid w:val="002D308C"/>
    <w:rsid w:val="002E1942"/>
    <w:rsid w:val="002E6668"/>
    <w:rsid w:val="002F4B13"/>
    <w:rsid w:val="002F5735"/>
    <w:rsid w:val="00301BB6"/>
    <w:rsid w:val="003035B9"/>
    <w:rsid w:val="0030756B"/>
    <w:rsid w:val="00313A1D"/>
    <w:rsid w:val="0032458A"/>
    <w:rsid w:val="00330794"/>
    <w:rsid w:val="00331DCB"/>
    <w:rsid w:val="00334D8C"/>
    <w:rsid w:val="00336E73"/>
    <w:rsid w:val="00341321"/>
    <w:rsid w:val="00342457"/>
    <w:rsid w:val="00347A59"/>
    <w:rsid w:val="0035111B"/>
    <w:rsid w:val="00353E83"/>
    <w:rsid w:val="0035773E"/>
    <w:rsid w:val="0036063F"/>
    <w:rsid w:val="00367866"/>
    <w:rsid w:val="00367A82"/>
    <w:rsid w:val="00367FE6"/>
    <w:rsid w:val="00371D6D"/>
    <w:rsid w:val="00376936"/>
    <w:rsid w:val="0038627C"/>
    <w:rsid w:val="00387192"/>
    <w:rsid w:val="003A0A49"/>
    <w:rsid w:val="003A5CF7"/>
    <w:rsid w:val="003A72DC"/>
    <w:rsid w:val="003B0B05"/>
    <w:rsid w:val="003B3AC6"/>
    <w:rsid w:val="003C0B15"/>
    <w:rsid w:val="003C413E"/>
    <w:rsid w:val="003C7994"/>
    <w:rsid w:val="003D1E3E"/>
    <w:rsid w:val="003D5D42"/>
    <w:rsid w:val="003D6417"/>
    <w:rsid w:val="003E11A7"/>
    <w:rsid w:val="003E3271"/>
    <w:rsid w:val="003E58B9"/>
    <w:rsid w:val="003E7E3C"/>
    <w:rsid w:val="003F3767"/>
    <w:rsid w:val="003F4C70"/>
    <w:rsid w:val="003F5DE5"/>
    <w:rsid w:val="004133EA"/>
    <w:rsid w:val="00423E16"/>
    <w:rsid w:val="004278E2"/>
    <w:rsid w:val="00431535"/>
    <w:rsid w:val="0044630C"/>
    <w:rsid w:val="00447346"/>
    <w:rsid w:val="00447EB8"/>
    <w:rsid w:val="004549D1"/>
    <w:rsid w:val="00454B08"/>
    <w:rsid w:val="00460AF4"/>
    <w:rsid w:val="004616A1"/>
    <w:rsid w:val="00462E19"/>
    <w:rsid w:val="00467C8E"/>
    <w:rsid w:val="00467EE1"/>
    <w:rsid w:val="00477604"/>
    <w:rsid w:val="00483B15"/>
    <w:rsid w:val="004862D4"/>
    <w:rsid w:val="00487281"/>
    <w:rsid w:val="004917A5"/>
    <w:rsid w:val="0049488D"/>
    <w:rsid w:val="00496DA8"/>
    <w:rsid w:val="004A0849"/>
    <w:rsid w:val="004A0F0C"/>
    <w:rsid w:val="004A60E1"/>
    <w:rsid w:val="004B60ED"/>
    <w:rsid w:val="004C1DB6"/>
    <w:rsid w:val="004C3979"/>
    <w:rsid w:val="004C43D1"/>
    <w:rsid w:val="004C6A17"/>
    <w:rsid w:val="004E7DDA"/>
    <w:rsid w:val="004F689F"/>
    <w:rsid w:val="004F7EDB"/>
    <w:rsid w:val="00501F86"/>
    <w:rsid w:val="00511DE2"/>
    <w:rsid w:val="0051503D"/>
    <w:rsid w:val="00517143"/>
    <w:rsid w:val="00533B2D"/>
    <w:rsid w:val="00536941"/>
    <w:rsid w:val="005521EA"/>
    <w:rsid w:val="00554001"/>
    <w:rsid w:val="00560ED8"/>
    <w:rsid w:val="00562883"/>
    <w:rsid w:val="00563CE1"/>
    <w:rsid w:val="00564A21"/>
    <w:rsid w:val="00566DD9"/>
    <w:rsid w:val="00574371"/>
    <w:rsid w:val="00575B2D"/>
    <w:rsid w:val="00577A5B"/>
    <w:rsid w:val="00590097"/>
    <w:rsid w:val="005A37E8"/>
    <w:rsid w:val="005A7412"/>
    <w:rsid w:val="005B0BCB"/>
    <w:rsid w:val="005C7ED6"/>
    <w:rsid w:val="005D0298"/>
    <w:rsid w:val="005E1E70"/>
    <w:rsid w:val="005E3470"/>
    <w:rsid w:val="005E79DB"/>
    <w:rsid w:val="005F4D1C"/>
    <w:rsid w:val="00617602"/>
    <w:rsid w:val="006229A9"/>
    <w:rsid w:val="00624D5B"/>
    <w:rsid w:val="00625BBA"/>
    <w:rsid w:val="006347F4"/>
    <w:rsid w:val="006356C9"/>
    <w:rsid w:val="00636629"/>
    <w:rsid w:val="006429EA"/>
    <w:rsid w:val="00642BB2"/>
    <w:rsid w:val="00647199"/>
    <w:rsid w:val="00651FBF"/>
    <w:rsid w:val="00654820"/>
    <w:rsid w:val="006573B5"/>
    <w:rsid w:val="006632C5"/>
    <w:rsid w:val="00666070"/>
    <w:rsid w:val="00673F41"/>
    <w:rsid w:val="006817AA"/>
    <w:rsid w:val="006823D3"/>
    <w:rsid w:val="00695BD0"/>
    <w:rsid w:val="006A2AAF"/>
    <w:rsid w:val="006A309C"/>
    <w:rsid w:val="006A491D"/>
    <w:rsid w:val="006A4F98"/>
    <w:rsid w:val="006A5B8B"/>
    <w:rsid w:val="006C101D"/>
    <w:rsid w:val="006C4C85"/>
    <w:rsid w:val="006C4F20"/>
    <w:rsid w:val="006C6052"/>
    <w:rsid w:val="006C7B50"/>
    <w:rsid w:val="006D278B"/>
    <w:rsid w:val="006D7A86"/>
    <w:rsid w:val="006E0575"/>
    <w:rsid w:val="006E5378"/>
    <w:rsid w:val="006F3DF6"/>
    <w:rsid w:val="006F6747"/>
    <w:rsid w:val="006F79D4"/>
    <w:rsid w:val="0070312F"/>
    <w:rsid w:val="007055B0"/>
    <w:rsid w:val="007070D4"/>
    <w:rsid w:val="00711B8C"/>
    <w:rsid w:val="00713664"/>
    <w:rsid w:val="00721F28"/>
    <w:rsid w:val="00724755"/>
    <w:rsid w:val="00733241"/>
    <w:rsid w:val="00733596"/>
    <w:rsid w:val="00734645"/>
    <w:rsid w:val="00737A1F"/>
    <w:rsid w:val="00742FA3"/>
    <w:rsid w:val="00754F9A"/>
    <w:rsid w:val="00757F48"/>
    <w:rsid w:val="0076037B"/>
    <w:rsid w:val="007607C2"/>
    <w:rsid w:val="00764345"/>
    <w:rsid w:val="00766945"/>
    <w:rsid w:val="00767AB4"/>
    <w:rsid w:val="00767DDD"/>
    <w:rsid w:val="0077171C"/>
    <w:rsid w:val="007731F7"/>
    <w:rsid w:val="0077346C"/>
    <w:rsid w:val="00774224"/>
    <w:rsid w:val="00775546"/>
    <w:rsid w:val="00776DBC"/>
    <w:rsid w:val="007823A8"/>
    <w:rsid w:val="00783A50"/>
    <w:rsid w:val="007843E0"/>
    <w:rsid w:val="0079338F"/>
    <w:rsid w:val="007952EF"/>
    <w:rsid w:val="007A0770"/>
    <w:rsid w:val="007A0804"/>
    <w:rsid w:val="007A4100"/>
    <w:rsid w:val="007A500C"/>
    <w:rsid w:val="007A518C"/>
    <w:rsid w:val="007B0E5E"/>
    <w:rsid w:val="007B2D8F"/>
    <w:rsid w:val="007B45C7"/>
    <w:rsid w:val="007B7530"/>
    <w:rsid w:val="007C343E"/>
    <w:rsid w:val="007C70C7"/>
    <w:rsid w:val="007C7972"/>
    <w:rsid w:val="007D4B2D"/>
    <w:rsid w:val="007D7866"/>
    <w:rsid w:val="007E2D43"/>
    <w:rsid w:val="007E6FD0"/>
    <w:rsid w:val="007E7B28"/>
    <w:rsid w:val="007F1367"/>
    <w:rsid w:val="007F7749"/>
    <w:rsid w:val="007F77F0"/>
    <w:rsid w:val="0080123F"/>
    <w:rsid w:val="00802BD7"/>
    <w:rsid w:val="0080420C"/>
    <w:rsid w:val="008061F8"/>
    <w:rsid w:val="00806355"/>
    <w:rsid w:val="008105F0"/>
    <w:rsid w:val="00820DF2"/>
    <w:rsid w:val="0083758B"/>
    <w:rsid w:val="00844524"/>
    <w:rsid w:val="00844BA3"/>
    <w:rsid w:val="008465D0"/>
    <w:rsid w:val="00863397"/>
    <w:rsid w:val="00866E29"/>
    <w:rsid w:val="00871132"/>
    <w:rsid w:val="0087594D"/>
    <w:rsid w:val="00877DDA"/>
    <w:rsid w:val="00883736"/>
    <w:rsid w:val="00884427"/>
    <w:rsid w:val="00885B5F"/>
    <w:rsid w:val="00886C39"/>
    <w:rsid w:val="008937F5"/>
    <w:rsid w:val="00894D94"/>
    <w:rsid w:val="00897431"/>
    <w:rsid w:val="008A1FE1"/>
    <w:rsid w:val="008A5B10"/>
    <w:rsid w:val="008A5D34"/>
    <w:rsid w:val="008B3719"/>
    <w:rsid w:val="008C3F27"/>
    <w:rsid w:val="008C41C3"/>
    <w:rsid w:val="008D132F"/>
    <w:rsid w:val="008D6389"/>
    <w:rsid w:val="008E6B9E"/>
    <w:rsid w:val="008F051F"/>
    <w:rsid w:val="008F66CA"/>
    <w:rsid w:val="009079FF"/>
    <w:rsid w:val="0091381E"/>
    <w:rsid w:val="00913D91"/>
    <w:rsid w:val="0091615F"/>
    <w:rsid w:val="009216F8"/>
    <w:rsid w:val="009312AC"/>
    <w:rsid w:val="00934EE7"/>
    <w:rsid w:val="00937CBB"/>
    <w:rsid w:val="00941C0C"/>
    <w:rsid w:val="00942165"/>
    <w:rsid w:val="00956411"/>
    <w:rsid w:val="00964373"/>
    <w:rsid w:val="0097055B"/>
    <w:rsid w:val="00972862"/>
    <w:rsid w:val="0097295E"/>
    <w:rsid w:val="009756E3"/>
    <w:rsid w:val="00977CF8"/>
    <w:rsid w:val="009833B7"/>
    <w:rsid w:val="00994FB6"/>
    <w:rsid w:val="00995B15"/>
    <w:rsid w:val="009978BB"/>
    <w:rsid w:val="009C0CBE"/>
    <w:rsid w:val="009E0AB9"/>
    <w:rsid w:val="009E0B67"/>
    <w:rsid w:val="009F210E"/>
    <w:rsid w:val="00A00C65"/>
    <w:rsid w:val="00A02A4A"/>
    <w:rsid w:val="00A07F34"/>
    <w:rsid w:val="00A10CD3"/>
    <w:rsid w:val="00A37F22"/>
    <w:rsid w:val="00A40CBA"/>
    <w:rsid w:val="00A46BB7"/>
    <w:rsid w:val="00A536A0"/>
    <w:rsid w:val="00A57E13"/>
    <w:rsid w:val="00A66EA1"/>
    <w:rsid w:val="00A723FF"/>
    <w:rsid w:val="00A77F57"/>
    <w:rsid w:val="00A83A08"/>
    <w:rsid w:val="00AA1861"/>
    <w:rsid w:val="00AA1886"/>
    <w:rsid w:val="00AA31F9"/>
    <w:rsid w:val="00AA40F4"/>
    <w:rsid w:val="00AA5C22"/>
    <w:rsid w:val="00AB3A44"/>
    <w:rsid w:val="00AB3C71"/>
    <w:rsid w:val="00AB5D5E"/>
    <w:rsid w:val="00AC2E48"/>
    <w:rsid w:val="00AC5294"/>
    <w:rsid w:val="00AC63A2"/>
    <w:rsid w:val="00AD0734"/>
    <w:rsid w:val="00AD1830"/>
    <w:rsid w:val="00AE4806"/>
    <w:rsid w:val="00AE5447"/>
    <w:rsid w:val="00AE585B"/>
    <w:rsid w:val="00AF411C"/>
    <w:rsid w:val="00AF5C1B"/>
    <w:rsid w:val="00B104AD"/>
    <w:rsid w:val="00B11D4F"/>
    <w:rsid w:val="00B173CB"/>
    <w:rsid w:val="00B204F0"/>
    <w:rsid w:val="00B24DBC"/>
    <w:rsid w:val="00B278F8"/>
    <w:rsid w:val="00B340C8"/>
    <w:rsid w:val="00B36DD5"/>
    <w:rsid w:val="00B41245"/>
    <w:rsid w:val="00B50687"/>
    <w:rsid w:val="00B519EC"/>
    <w:rsid w:val="00B57192"/>
    <w:rsid w:val="00B619EB"/>
    <w:rsid w:val="00B67CA6"/>
    <w:rsid w:val="00B70B1D"/>
    <w:rsid w:val="00B71701"/>
    <w:rsid w:val="00B7659A"/>
    <w:rsid w:val="00B80533"/>
    <w:rsid w:val="00B84B00"/>
    <w:rsid w:val="00B860ED"/>
    <w:rsid w:val="00B87995"/>
    <w:rsid w:val="00B90963"/>
    <w:rsid w:val="00B92825"/>
    <w:rsid w:val="00B94DAE"/>
    <w:rsid w:val="00B953CD"/>
    <w:rsid w:val="00B95DEE"/>
    <w:rsid w:val="00BA7BC0"/>
    <w:rsid w:val="00BB1E2E"/>
    <w:rsid w:val="00BB37EC"/>
    <w:rsid w:val="00BB54BE"/>
    <w:rsid w:val="00BB647D"/>
    <w:rsid w:val="00BC338E"/>
    <w:rsid w:val="00BD51E2"/>
    <w:rsid w:val="00BE1B9C"/>
    <w:rsid w:val="00BF26FC"/>
    <w:rsid w:val="00BF7644"/>
    <w:rsid w:val="00C0269D"/>
    <w:rsid w:val="00C04A7C"/>
    <w:rsid w:val="00C07F85"/>
    <w:rsid w:val="00C1016C"/>
    <w:rsid w:val="00C1577D"/>
    <w:rsid w:val="00C22B2F"/>
    <w:rsid w:val="00C24AF7"/>
    <w:rsid w:val="00C27930"/>
    <w:rsid w:val="00C32F98"/>
    <w:rsid w:val="00C35077"/>
    <w:rsid w:val="00C377EB"/>
    <w:rsid w:val="00C406C0"/>
    <w:rsid w:val="00C44266"/>
    <w:rsid w:val="00C51EE5"/>
    <w:rsid w:val="00C52AC3"/>
    <w:rsid w:val="00C52CEE"/>
    <w:rsid w:val="00C54E97"/>
    <w:rsid w:val="00C603AD"/>
    <w:rsid w:val="00C63E84"/>
    <w:rsid w:val="00C7018E"/>
    <w:rsid w:val="00C73092"/>
    <w:rsid w:val="00C772F0"/>
    <w:rsid w:val="00C830DD"/>
    <w:rsid w:val="00C853FE"/>
    <w:rsid w:val="00C9378B"/>
    <w:rsid w:val="00C93F1F"/>
    <w:rsid w:val="00CA6013"/>
    <w:rsid w:val="00CB3BC2"/>
    <w:rsid w:val="00CB4B1A"/>
    <w:rsid w:val="00CB6D40"/>
    <w:rsid w:val="00CC1D9D"/>
    <w:rsid w:val="00CD71C2"/>
    <w:rsid w:val="00CE102C"/>
    <w:rsid w:val="00CE1980"/>
    <w:rsid w:val="00CE19E9"/>
    <w:rsid w:val="00CE3095"/>
    <w:rsid w:val="00CE5A4C"/>
    <w:rsid w:val="00D03E45"/>
    <w:rsid w:val="00D12AB1"/>
    <w:rsid w:val="00D13922"/>
    <w:rsid w:val="00D164E2"/>
    <w:rsid w:val="00D244BF"/>
    <w:rsid w:val="00D35BE1"/>
    <w:rsid w:val="00D36ADF"/>
    <w:rsid w:val="00D37ABC"/>
    <w:rsid w:val="00D4189C"/>
    <w:rsid w:val="00D421B7"/>
    <w:rsid w:val="00D4334F"/>
    <w:rsid w:val="00D43391"/>
    <w:rsid w:val="00D5584D"/>
    <w:rsid w:val="00D56E6E"/>
    <w:rsid w:val="00D60C6D"/>
    <w:rsid w:val="00D64DF5"/>
    <w:rsid w:val="00D74785"/>
    <w:rsid w:val="00D77135"/>
    <w:rsid w:val="00D87C96"/>
    <w:rsid w:val="00D9571F"/>
    <w:rsid w:val="00DA0CD7"/>
    <w:rsid w:val="00DA212C"/>
    <w:rsid w:val="00DA5486"/>
    <w:rsid w:val="00DB4773"/>
    <w:rsid w:val="00DB6797"/>
    <w:rsid w:val="00DC742D"/>
    <w:rsid w:val="00DD5A1C"/>
    <w:rsid w:val="00DD5AAB"/>
    <w:rsid w:val="00DD6040"/>
    <w:rsid w:val="00DE1982"/>
    <w:rsid w:val="00DE5728"/>
    <w:rsid w:val="00DE67E5"/>
    <w:rsid w:val="00DE7302"/>
    <w:rsid w:val="00DF03CB"/>
    <w:rsid w:val="00E014D8"/>
    <w:rsid w:val="00E020F2"/>
    <w:rsid w:val="00E16D76"/>
    <w:rsid w:val="00E174DB"/>
    <w:rsid w:val="00E228C3"/>
    <w:rsid w:val="00E238A5"/>
    <w:rsid w:val="00E31987"/>
    <w:rsid w:val="00E319BB"/>
    <w:rsid w:val="00E45F59"/>
    <w:rsid w:val="00E5245E"/>
    <w:rsid w:val="00E70747"/>
    <w:rsid w:val="00E74E03"/>
    <w:rsid w:val="00E7632F"/>
    <w:rsid w:val="00E81B6B"/>
    <w:rsid w:val="00E835B2"/>
    <w:rsid w:val="00E978CD"/>
    <w:rsid w:val="00EA1882"/>
    <w:rsid w:val="00EA1D77"/>
    <w:rsid w:val="00EA70BE"/>
    <w:rsid w:val="00EC4FF6"/>
    <w:rsid w:val="00EC7BB5"/>
    <w:rsid w:val="00ED0F84"/>
    <w:rsid w:val="00EE267E"/>
    <w:rsid w:val="00EE2CF3"/>
    <w:rsid w:val="00EE317D"/>
    <w:rsid w:val="00EE547E"/>
    <w:rsid w:val="00F05F8C"/>
    <w:rsid w:val="00F17701"/>
    <w:rsid w:val="00F249DD"/>
    <w:rsid w:val="00F3422A"/>
    <w:rsid w:val="00F377B9"/>
    <w:rsid w:val="00F52CAA"/>
    <w:rsid w:val="00F56DBC"/>
    <w:rsid w:val="00F5733A"/>
    <w:rsid w:val="00F638DD"/>
    <w:rsid w:val="00F74AAF"/>
    <w:rsid w:val="00F77FA1"/>
    <w:rsid w:val="00F90176"/>
    <w:rsid w:val="00F958D0"/>
    <w:rsid w:val="00F97C9B"/>
    <w:rsid w:val="00FB7246"/>
    <w:rsid w:val="00FC3AD1"/>
    <w:rsid w:val="00FD203D"/>
    <w:rsid w:val="00FD3231"/>
    <w:rsid w:val="00FD6620"/>
    <w:rsid w:val="00FE019E"/>
    <w:rsid w:val="00FE13E0"/>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E6A497"/>
  <w15:chartTrackingRefBased/>
  <w15:docId w15:val="{0FEEBA0F-0DF9-4460-A9EF-A992AF900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sk-SK"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3F5DE5"/>
    <w:pPr>
      <w:spacing w:after="0" w:line="240" w:lineRule="auto"/>
    </w:pPr>
    <w:rPr>
      <w:rFonts w:ascii="Times New Roman" w:eastAsia="Times New Roman" w:hAnsi="Times New Roman" w:cs="Times New Roman"/>
      <w:kern w:val="0"/>
      <w:lang w:eastAsia="sk-SK"/>
      <w14:ligatures w14:val="none"/>
    </w:rPr>
  </w:style>
  <w:style w:type="paragraph" w:styleId="Nadpis1">
    <w:name w:val="heading 1"/>
    <w:basedOn w:val="Normlny"/>
    <w:next w:val="Normlny"/>
    <w:link w:val="Nadpis1Char"/>
    <w:uiPriority w:val="9"/>
    <w:qFormat/>
    <w:rsid w:val="00937C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y"/>
    <w:next w:val="Normlny"/>
    <w:link w:val="Nadpis2Char"/>
    <w:uiPriority w:val="9"/>
    <w:unhideWhenUsed/>
    <w:qFormat/>
    <w:rsid w:val="00937C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y"/>
    <w:next w:val="Normlny"/>
    <w:link w:val="Nadpis3Char"/>
    <w:uiPriority w:val="9"/>
    <w:unhideWhenUsed/>
    <w:qFormat/>
    <w:rsid w:val="00937CBB"/>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y"/>
    <w:next w:val="Normlny"/>
    <w:link w:val="Nadpis4Char"/>
    <w:uiPriority w:val="9"/>
    <w:unhideWhenUsed/>
    <w:qFormat/>
    <w:rsid w:val="00937CBB"/>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y"/>
    <w:next w:val="Normlny"/>
    <w:link w:val="Nadpis5Char"/>
    <w:uiPriority w:val="9"/>
    <w:semiHidden/>
    <w:unhideWhenUsed/>
    <w:qFormat/>
    <w:rsid w:val="00937CBB"/>
    <w:pPr>
      <w:keepNext/>
      <w:keepLines/>
      <w:spacing w:before="80" w:after="40"/>
      <w:outlineLvl w:val="4"/>
    </w:pPr>
    <w:rPr>
      <w:rFonts w:eastAsiaTheme="majorEastAsia" w:cstheme="majorBidi"/>
      <w:color w:val="0F4761" w:themeColor="accent1" w:themeShade="BF"/>
    </w:rPr>
  </w:style>
  <w:style w:type="paragraph" w:styleId="Nadpis6">
    <w:name w:val="heading 6"/>
    <w:basedOn w:val="Normlny"/>
    <w:next w:val="Normlny"/>
    <w:link w:val="Nadpis6Char"/>
    <w:uiPriority w:val="9"/>
    <w:semiHidden/>
    <w:unhideWhenUsed/>
    <w:qFormat/>
    <w:rsid w:val="00937CBB"/>
    <w:pPr>
      <w:keepNext/>
      <w:keepLines/>
      <w:spacing w:before="40"/>
      <w:outlineLvl w:val="5"/>
    </w:pPr>
    <w:rPr>
      <w:rFonts w:eastAsiaTheme="majorEastAsia" w:cstheme="majorBidi"/>
      <w:i/>
      <w:iCs/>
      <w:color w:val="595959" w:themeColor="text1" w:themeTint="A6"/>
    </w:rPr>
  </w:style>
  <w:style w:type="paragraph" w:styleId="Nadpis7">
    <w:name w:val="heading 7"/>
    <w:basedOn w:val="Normlny"/>
    <w:next w:val="Normlny"/>
    <w:link w:val="Nadpis7Char"/>
    <w:uiPriority w:val="9"/>
    <w:semiHidden/>
    <w:unhideWhenUsed/>
    <w:qFormat/>
    <w:rsid w:val="00937CBB"/>
    <w:pPr>
      <w:keepNext/>
      <w:keepLines/>
      <w:spacing w:before="40"/>
      <w:outlineLvl w:val="6"/>
    </w:pPr>
    <w:rPr>
      <w:rFonts w:eastAsiaTheme="majorEastAsia" w:cstheme="majorBidi"/>
      <w:color w:val="595959" w:themeColor="text1" w:themeTint="A6"/>
    </w:rPr>
  </w:style>
  <w:style w:type="paragraph" w:styleId="Nadpis8">
    <w:name w:val="heading 8"/>
    <w:basedOn w:val="Normlny"/>
    <w:next w:val="Normlny"/>
    <w:link w:val="Nadpis8Char"/>
    <w:uiPriority w:val="9"/>
    <w:semiHidden/>
    <w:unhideWhenUsed/>
    <w:qFormat/>
    <w:rsid w:val="00937CBB"/>
    <w:pPr>
      <w:keepNext/>
      <w:keepLines/>
      <w:outlineLvl w:val="7"/>
    </w:pPr>
    <w:rPr>
      <w:rFonts w:eastAsiaTheme="majorEastAsia" w:cstheme="majorBidi"/>
      <w:i/>
      <w:iCs/>
      <w:color w:val="272727" w:themeColor="text1" w:themeTint="D8"/>
    </w:rPr>
  </w:style>
  <w:style w:type="paragraph" w:styleId="Nadpis9">
    <w:name w:val="heading 9"/>
    <w:basedOn w:val="Normlny"/>
    <w:next w:val="Normlny"/>
    <w:link w:val="Nadpis9Char"/>
    <w:uiPriority w:val="9"/>
    <w:semiHidden/>
    <w:unhideWhenUsed/>
    <w:qFormat/>
    <w:rsid w:val="00937CBB"/>
    <w:pPr>
      <w:keepNext/>
      <w:keepLines/>
      <w:outlineLvl w:val="8"/>
    </w:pPr>
    <w:rPr>
      <w:rFonts w:eastAsiaTheme="majorEastAsia" w:cstheme="majorBidi"/>
      <w:color w:val="272727" w:themeColor="text1" w:themeTint="D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937CBB"/>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Predvolenpsmoodseku"/>
    <w:link w:val="Nadpis2"/>
    <w:uiPriority w:val="9"/>
    <w:rsid w:val="00937CBB"/>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Predvolenpsmoodseku"/>
    <w:link w:val="Nadpis3"/>
    <w:uiPriority w:val="9"/>
    <w:rsid w:val="00937CBB"/>
    <w:rPr>
      <w:rFonts w:eastAsiaTheme="majorEastAsia" w:cstheme="majorBidi"/>
      <w:color w:val="0F4761" w:themeColor="accent1" w:themeShade="BF"/>
      <w:sz w:val="28"/>
      <w:szCs w:val="28"/>
    </w:rPr>
  </w:style>
  <w:style w:type="character" w:customStyle="1" w:styleId="Nadpis4Char">
    <w:name w:val="Nadpis 4 Char"/>
    <w:basedOn w:val="Predvolenpsmoodseku"/>
    <w:link w:val="Nadpis4"/>
    <w:uiPriority w:val="9"/>
    <w:rsid w:val="00937CBB"/>
    <w:rPr>
      <w:rFonts w:eastAsiaTheme="majorEastAsia" w:cstheme="majorBidi"/>
      <w:i/>
      <w:iCs/>
      <w:color w:val="0F4761" w:themeColor="accent1" w:themeShade="BF"/>
    </w:rPr>
  </w:style>
  <w:style w:type="character" w:customStyle="1" w:styleId="Nadpis5Char">
    <w:name w:val="Nadpis 5 Char"/>
    <w:basedOn w:val="Predvolenpsmoodseku"/>
    <w:link w:val="Nadpis5"/>
    <w:uiPriority w:val="9"/>
    <w:semiHidden/>
    <w:rsid w:val="00937CBB"/>
    <w:rPr>
      <w:rFonts w:eastAsiaTheme="majorEastAsia" w:cstheme="majorBidi"/>
      <w:color w:val="0F4761" w:themeColor="accent1" w:themeShade="BF"/>
    </w:rPr>
  </w:style>
  <w:style w:type="character" w:customStyle="1" w:styleId="Nadpis6Char">
    <w:name w:val="Nadpis 6 Char"/>
    <w:basedOn w:val="Predvolenpsmoodseku"/>
    <w:link w:val="Nadpis6"/>
    <w:uiPriority w:val="9"/>
    <w:semiHidden/>
    <w:rsid w:val="00937CBB"/>
    <w:rPr>
      <w:rFonts w:eastAsiaTheme="majorEastAsia" w:cstheme="majorBidi"/>
      <w:i/>
      <w:iCs/>
      <w:color w:val="595959" w:themeColor="text1" w:themeTint="A6"/>
    </w:rPr>
  </w:style>
  <w:style w:type="character" w:customStyle="1" w:styleId="Nadpis7Char">
    <w:name w:val="Nadpis 7 Char"/>
    <w:basedOn w:val="Predvolenpsmoodseku"/>
    <w:link w:val="Nadpis7"/>
    <w:uiPriority w:val="9"/>
    <w:semiHidden/>
    <w:rsid w:val="00937CBB"/>
    <w:rPr>
      <w:rFonts w:eastAsiaTheme="majorEastAsia" w:cstheme="majorBidi"/>
      <w:color w:val="595959" w:themeColor="text1" w:themeTint="A6"/>
    </w:rPr>
  </w:style>
  <w:style w:type="character" w:customStyle="1" w:styleId="Nadpis8Char">
    <w:name w:val="Nadpis 8 Char"/>
    <w:basedOn w:val="Predvolenpsmoodseku"/>
    <w:link w:val="Nadpis8"/>
    <w:uiPriority w:val="9"/>
    <w:semiHidden/>
    <w:rsid w:val="00937CBB"/>
    <w:rPr>
      <w:rFonts w:eastAsiaTheme="majorEastAsia" w:cstheme="majorBidi"/>
      <w:i/>
      <w:iCs/>
      <w:color w:val="272727" w:themeColor="text1" w:themeTint="D8"/>
    </w:rPr>
  </w:style>
  <w:style w:type="character" w:customStyle="1" w:styleId="Nadpis9Char">
    <w:name w:val="Nadpis 9 Char"/>
    <w:basedOn w:val="Predvolenpsmoodseku"/>
    <w:link w:val="Nadpis9"/>
    <w:uiPriority w:val="9"/>
    <w:semiHidden/>
    <w:rsid w:val="00937CBB"/>
    <w:rPr>
      <w:rFonts w:eastAsiaTheme="majorEastAsia" w:cstheme="majorBidi"/>
      <w:color w:val="272727" w:themeColor="text1" w:themeTint="D8"/>
    </w:rPr>
  </w:style>
  <w:style w:type="paragraph" w:styleId="Nzov">
    <w:name w:val="Title"/>
    <w:basedOn w:val="Normlny"/>
    <w:next w:val="Normlny"/>
    <w:link w:val="NzovChar"/>
    <w:uiPriority w:val="10"/>
    <w:qFormat/>
    <w:rsid w:val="00937CBB"/>
    <w:pPr>
      <w:spacing w:after="80"/>
      <w:contextualSpacing/>
    </w:pPr>
    <w:rPr>
      <w:rFonts w:asciiTheme="majorHAnsi" w:eastAsiaTheme="majorEastAsia" w:hAnsiTheme="majorHAnsi" w:cstheme="majorBidi"/>
      <w:spacing w:val="-10"/>
      <w:kern w:val="28"/>
      <w:sz w:val="56"/>
      <w:szCs w:val="56"/>
    </w:rPr>
  </w:style>
  <w:style w:type="character" w:customStyle="1" w:styleId="NzovChar">
    <w:name w:val="Názov Char"/>
    <w:basedOn w:val="Predvolenpsmoodseku"/>
    <w:link w:val="Nzov"/>
    <w:uiPriority w:val="10"/>
    <w:rsid w:val="00937CBB"/>
    <w:rPr>
      <w:rFonts w:asciiTheme="majorHAnsi" w:eastAsiaTheme="majorEastAsia" w:hAnsiTheme="majorHAnsi" w:cstheme="majorBidi"/>
      <w:spacing w:val="-10"/>
      <w:kern w:val="28"/>
      <w:sz w:val="56"/>
      <w:szCs w:val="56"/>
    </w:rPr>
  </w:style>
  <w:style w:type="paragraph" w:styleId="Podtitul">
    <w:name w:val="Subtitle"/>
    <w:basedOn w:val="Normlny"/>
    <w:next w:val="Normlny"/>
    <w:link w:val="PodtitulChar"/>
    <w:uiPriority w:val="11"/>
    <w:qFormat/>
    <w:rsid w:val="00937CBB"/>
    <w:pPr>
      <w:numPr>
        <w:ilvl w:val="1"/>
      </w:numPr>
    </w:pPr>
    <w:rPr>
      <w:rFonts w:eastAsiaTheme="majorEastAsia" w:cstheme="majorBidi"/>
      <w:color w:val="595959" w:themeColor="text1" w:themeTint="A6"/>
      <w:spacing w:val="15"/>
      <w:sz w:val="28"/>
      <w:szCs w:val="28"/>
    </w:rPr>
  </w:style>
  <w:style w:type="character" w:customStyle="1" w:styleId="PodtitulChar">
    <w:name w:val="Podtitul Char"/>
    <w:basedOn w:val="Predvolenpsmoodseku"/>
    <w:link w:val="Podtitul"/>
    <w:uiPriority w:val="11"/>
    <w:rsid w:val="00937CBB"/>
    <w:rPr>
      <w:rFonts w:eastAsiaTheme="majorEastAsia" w:cstheme="majorBidi"/>
      <w:color w:val="595959" w:themeColor="text1" w:themeTint="A6"/>
      <w:spacing w:val="15"/>
      <w:sz w:val="28"/>
      <w:szCs w:val="28"/>
    </w:rPr>
  </w:style>
  <w:style w:type="paragraph" w:styleId="Citcia">
    <w:name w:val="Quote"/>
    <w:basedOn w:val="Normlny"/>
    <w:next w:val="Normlny"/>
    <w:link w:val="CitciaChar"/>
    <w:uiPriority w:val="29"/>
    <w:qFormat/>
    <w:rsid w:val="00937CBB"/>
    <w:pPr>
      <w:spacing w:before="160"/>
      <w:jc w:val="center"/>
    </w:pPr>
    <w:rPr>
      <w:i/>
      <w:iCs/>
      <w:color w:val="404040" w:themeColor="text1" w:themeTint="BF"/>
    </w:rPr>
  </w:style>
  <w:style w:type="character" w:customStyle="1" w:styleId="CitciaChar">
    <w:name w:val="Citácia Char"/>
    <w:basedOn w:val="Predvolenpsmoodseku"/>
    <w:link w:val="Citcia"/>
    <w:uiPriority w:val="29"/>
    <w:rsid w:val="00937CBB"/>
    <w:rPr>
      <w:i/>
      <w:iCs/>
      <w:color w:val="404040" w:themeColor="text1" w:themeTint="BF"/>
    </w:rPr>
  </w:style>
  <w:style w:type="paragraph" w:styleId="Odsekzoznamu">
    <w:name w:val="List Paragraph"/>
    <w:aliases w:val="body,Odsek zoznamu2"/>
    <w:basedOn w:val="Normlny"/>
    <w:link w:val="OdsekzoznamuChar"/>
    <w:uiPriority w:val="34"/>
    <w:qFormat/>
    <w:rsid w:val="00937CBB"/>
    <w:pPr>
      <w:ind w:left="720"/>
      <w:contextualSpacing/>
    </w:pPr>
  </w:style>
  <w:style w:type="character" w:styleId="Intenzvnezvraznenie">
    <w:name w:val="Intense Emphasis"/>
    <w:basedOn w:val="Predvolenpsmoodseku"/>
    <w:uiPriority w:val="21"/>
    <w:qFormat/>
    <w:rsid w:val="00937CBB"/>
    <w:rPr>
      <w:i/>
      <w:iCs/>
      <w:color w:val="0F4761" w:themeColor="accent1" w:themeShade="BF"/>
    </w:rPr>
  </w:style>
  <w:style w:type="paragraph" w:styleId="Zvraznencitcia">
    <w:name w:val="Intense Quote"/>
    <w:basedOn w:val="Normlny"/>
    <w:next w:val="Normlny"/>
    <w:link w:val="ZvraznencitciaChar"/>
    <w:uiPriority w:val="30"/>
    <w:qFormat/>
    <w:rsid w:val="00937C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ZvraznencitciaChar">
    <w:name w:val="Zvýraznená citácia Char"/>
    <w:basedOn w:val="Predvolenpsmoodseku"/>
    <w:link w:val="Zvraznencitcia"/>
    <w:uiPriority w:val="30"/>
    <w:rsid w:val="00937CBB"/>
    <w:rPr>
      <w:i/>
      <w:iCs/>
      <w:color w:val="0F4761" w:themeColor="accent1" w:themeShade="BF"/>
    </w:rPr>
  </w:style>
  <w:style w:type="character" w:styleId="Zvraznenodkaz">
    <w:name w:val="Intense Reference"/>
    <w:basedOn w:val="Predvolenpsmoodseku"/>
    <w:uiPriority w:val="32"/>
    <w:qFormat/>
    <w:rsid w:val="00937CBB"/>
    <w:rPr>
      <w:b/>
      <w:bCs/>
      <w:smallCaps/>
      <w:color w:val="0F4761" w:themeColor="accent1" w:themeShade="BF"/>
      <w:spacing w:val="5"/>
    </w:rPr>
  </w:style>
  <w:style w:type="paragraph" w:styleId="Pta">
    <w:name w:val="footer"/>
    <w:basedOn w:val="Normlny"/>
    <w:link w:val="PtaChar"/>
    <w:uiPriority w:val="99"/>
    <w:unhideWhenUsed/>
    <w:rsid w:val="003F5DE5"/>
    <w:pPr>
      <w:tabs>
        <w:tab w:val="center" w:pos="4536"/>
        <w:tab w:val="right" w:pos="9072"/>
      </w:tabs>
    </w:pPr>
  </w:style>
  <w:style w:type="character" w:customStyle="1" w:styleId="PtaChar">
    <w:name w:val="Päta Char"/>
    <w:basedOn w:val="Predvolenpsmoodseku"/>
    <w:link w:val="Pta"/>
    <w:uiPriority w:val="99"/>
    <w:rsid w:val="003F5DE5"/>
    <w:rPr>
      <w:rFonts w:ascii="Times New Roman" w:eastAsia="Times New Roman" w:hAnsi="Times New Roman" w:cs="Times New Roman"/>
      <w:kern w:val="0"/>
      <w:lang w:eastAsia="sk-SK"/>
      <w14:ligatures w14:val="none"/>
    </w:rPr>
  </w:style>
  <w:style w:type="paragraph" w:customStyle="1" w:styleId="Default">
    <w:name w:val="Default"/>
    <w:rsid w:val="003F5DE5"/>
    <w:pPr>
      <w:autoSpaceDE w:val="0"/>
      <w:autoSpaceDN w:val="0"/>
      <w:adjustRightInd w:val="0"/>
      <w:spacing w:after="0" w:line="240" w:lineRule="auto"/>
    </w:pPr>
    <w:rPr>
      <w:rFonts w:ascii="Times New Roman" w:eastAsiaTheme="minorEastAsia" w:hAnsi="Times New Roman" w:cs="Times New Roman"/>
      <w:color w:val="000000"/>
      <w:kern w:val="0"/>
      <w14:ligatures w14:val="none"/>
    </w:rPr>
  </w:style>
  <w:style w:type="table" w:styleId="Mriekatabuky">
    <w:name w:val="Table Grid"/>
    <w:basedOn w:val="Normlnatabuka"/>
    <w:uiPriority w:val="59"/>
    <w:unhideWhenUsed/>
    <w:rsid w:val="003F5DE5"/>
    <w:pPr>
      <w:spacing w:after="0" w:line="240" w:lineRule="auto"/>
    </w:pPr>
    <w:rPr>
      <w:rFonts w:ascii="Arial" w:eastAsia="Arial" w:hAnsi="Arial" w:cs="Arial"/>
      <w:kern w:val="0"/>
      <w:sz w:val="22"/>
      <w:szCs w:val="22"/>
      <w:lang w:eastAsia="sk-SK"/>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dsekzoznamuChar">
    <w:name w:val="Odsek zoznamu Char"/>
    <w:aliases w:val="body Char,Odsek zoznamu2 Char"/>
    <w:basedOn w:val="Predvolenpsmoodseku"/>
    <w:link w:val="Odsekzoznamu"/>
    <w:uiPriority w:val="34"/>
    <w:locked/>
    <w:rsid w:val="003F5DE5"/>
  </w:style>
  <w:style w:type="paragraph" w:customStyle="1" w:styleId="oj-tbl-txt">
    <w:name w:val="oj-tbl-txt"/>
    <w:basedOn w:val="Normlny"/>
    <w:rsid w:val="003F5DE5"/>
    <w:pPr>
      <w:spacing w:before="100" w:beforeAutospacing="1" w:after="100" w:afterAutospacing="1"/>
    </w:pPr>
  </w:style>
  <w:style w:type="character" w:styleId="Zstupntext">
    <w:name w:val="Placeholder Text"/>
    <w:uiPriority w:val="99"/>
    <w:semiHidden/>
    <w:rsid w:val="003F5DE5"/>
    <w:rPr>
      <w:rFonts w:ascii="Times New Roman" w:hAnsi="Times New Roman" w:cs="Times New Roman"/>
      <w:color w:val="808080"/>
    </w:rPr>
  </w:style>
  <w:style w:type="character" w:styleId="Hypertextovprepojenie">
    <w:name w:val="Hyperlink"/>
    <w:basedOn w:val="Predvolenpsmoodseku"/>
    <w:uiPriority w:val="99"/>
    <w:unhideWhenUsed/>
    <w:rsid w:val="003F5DE5"/>
    <w:rPr>
      <w:color w:val="0000FF"/>
      <w:u w:val="single"/>
    </w:rPr>
  </w:style>
  <w:style w:type="table" w:customStyle="1" w:styleId="Mriekatabuky11">
    <w:name w:val="Mriežka tabuľky11"/>
    <w:basedOn w:val="Normlnatabuka"/>
    <w:next w:val="Mriekatabuky"/>
    <w:uiPriority w:val="59"/>
    <w:rsid w:val="003F5DE5"/>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riekatabuky2">
    <w:name w:val="Mriežka tabuľky2"/>
    <w:basedOn w:val="Normlnatabuka"/>
    <w:next w:val="Mriekatabuky"/>
    <w:uiPriority w:val="59"/>
    <w:rsid w:val="003F5DE5"/>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3F5DE5"/>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Normlnywebov">
    <w:name w:val="Normal (Web)"/>
    <w:basedOn w:val="Normlny"/>
    <w:uiPriority w:val="99"/>
    <w:unhideWhenUsed/>
    <w:rsid w:val="003F5DE5"/>
    <w:pPr>
      <w:spacing w:before="100" w:beforeAutospacing="1" w:after="100" w:afterAutospacing="1"/>
    </w:pPr>
  </w:style>
  <w:style w:type="paragraph" w:customStyle="1" w:styleId="tlVavo125cmOpakovanzarka066cm">
    <w:name w:val="Štýl Vľavo:  125 cm Opakovaná zarážka:  066 cm"/>
    <w:basedOn w:val="Normlny"/>
    <w:uiPriority w:val="99"/>
    <w:rsid w:val="003F5DE5"/>
    <w:pPr>
      <w:ind w:left="1080" w:hanging="372"/>
    </w:pPr>
  </w:style>
  <w:style w:type="paragraph" w:styleId="Hlavika">
    <w:name w:val="header"/>
    <w:basedOn w:val="Normlny"/>
    <w:link w:val="HlavikaChar"/>
    <w:uiPriority w:val="99"/>
    <w:unhideWhenUsed/>
    <w:rsid w:val="00844524"/>
    <w:pPr>
      <w:tabs>
        <w:tab w:val="center" w:pos="4536"/>
        <w:tab w:val="right" w:pos="9072"/>
      </w:tabs>
    </w:pPr>
    <w:rPr>
      <w:rFonts w:asciiTheme="minorHAnsi" w:eastAsiaTheme="minorHAnsi" w:hAnsiTheme="minorHAnsi" w:cstheme="minorBidi"/>
      <w:sz w:val="22"/>
      <w:szCs w:val="22"/>
      <w:lang w:eastAsia="en-US"/>
    </w:rPr>
  </w:style>
  <w:style w:type="character" w:customStyle="1" w:styleId="HlavikaChar">
    <w:name w:val="Hlavička Char"/>
    <w:basedOn w:val="Predvolenpsmoodseku"/>
    <w:link w:val="Hlavika"/>
    <w:uiPriority w:val="99"/>
    <w:rsid w:val="00844524"/>
    <w:rPr>
      <w:kern w:val="0"/>
      <w:sz w:val="22"/>
      <w:szCs w:val="22"/>
      <w14:ligatures w14:val="none"/>
    </w:rPr>
  </w:style>
  <w:style w:type="paragraph" w:customStyle="1" w:styleId="gmail-m-1648484718305530482msolistparagraph">
    <w:name w:val="gmail-m_-1648484718305530482msolistparagraph"/>
    <w:basedOn w:val="Normlny"/>
    <w:rsid w:val="00844524"/>
    <w:pPr>
      <w:spacing w:before="100" w:beforeAutospacing="1" w:after="100" w:afterAutospacing="1"/>
    </w:pPr>
    <w:rPr>
      <w:rFonts w:ascii="Calibri" w:eastAsiaTheme="minorHAnsi" w:hAnsi="Calibri" w:cs="Calibri"/>
      <w:sz w:val="22"/>
      <w:szCs w:val="22"/>
    </w:rPr>
  </w:style>
  <w:style w:type="paragraph" w:styleId="Textpoznmkypodiarou">
    <w:name w:val="footnote text"/>
    <w:basedOn w:val="Normlny"/>
    <w:link w:val="TextpoznmkypodiarouChar"/>
    <w:uiPriority w:val="99"/>
    <w:semiHidden/>
    <w:unhideWhenUsed/>
    <w:rsid w:val="00844524"/>
    <w:rPr>
      <w:rFonts w:asciiTheme="minorHAnsi" w:eastAsiaTheme="minorHAnsi" w:hAnsiTheme="minorHAnsi" w:cstheme="minorBidi"/>
      <w:sz w:val="20"/>
      <w:szCs w:val="20"/>
      <w:lang w:eastAsia="en-US"/>
    </w:rPr>
  </w:style>
  <w:style w:type="character" w:customStyle="1" w:styleId="TextpoznmkypodiarouChar">
    <w:name w:val="Text poznámky pod čiarou Char"/>
    <w:basedOn w:val="Predvolenpsmoodseku"/>
    <w:link w:val="Textpoznmkypodiarou"/>
    <w:uiPriority w:val="99"/>
    <w:semiHidden/>
    <w:rsid w:val="00844524"/>
    <w:rPr>
      <w:kern w:val="0"/>
      <w:sz w:val="20"/>
      <w:szCs w:val="20"/>
      <w14:ligatures w14:val="none"/>
    </w:rPr>
  </w:style>
  <w:style w:type="character" w:styleId="Odkaznapoznmkupodiarou">
    <w:name w:val="footnote reference"/>
    <w:basedOn w:val="Predvolenpsmoodseku"/>
    <w:uiPriority w:val="99"/>
    <w:semiHidden/>
    <w:unhideWhenUsed/>
    <w:rsid w:val="00844524"/>
    <w:rPr>
      <w:vertAlign w:val="superscript"/>
    </w:rPr>
  </w:style>
  <w:style w:type="paragraph" w:styleId="Normlnysozarkami">
    <w:name w:val="Normal Indent"/>
    <w:basedOn w:val="Normlny"/>
    <w:uiPriority w:val="99"/>
    <w:unhideWhenUsed/>
    <w:rsid w:val="009216F8"/>
    <w:pPr>
      <w:spacing w:after="200" w:line="276" w:lineRule="auto"/>
      <w:ind w:left="720"/>
    </w:pPr>
    <w:rPr>
      <w:rFonts w:asciiTheme="minorHAnsi" w:eastAsiaTheme="minorHAnsi" w:hAnsiTheme="minorHAnsi" w:cstheme="minorBidi"/>
      <w:sz w:val="22"/>
      <w:szCs w:val="22"/>
      <w:lang w:val="en-US" w:eastAsia="en-US"/>
    </w:rPr>
  </w:style>
  <w:style w:type="character" w:styleId="Zvraznenie">
    <w:name w:val="Emphasis"/>
    <w:basedOn w:val="Predvolenpsmoodseku"/>
    <w:uiPriority w:val="20"/>
    <w:qFormat/>
    <w:rsid w:val="009216F8"/>
    <w:rPr>
      <w:i/>
      <w:iCs/>
    </w:rPr>
  </w:style>
  <w:style w:type="paragraph" w:styleId="Popis">
    <w:name w:val="caption"/>
    <w:basedOn w:val="Normlny"/>
    <w:next w:val="Normlny"/>
    <w:uiPriority w:val="35"/>
    <w:semiHidden/>
    <w:unhideWhenUsed/>
    <w:qFormat/>
    <w:rsid w:val="009216F8"/>
    <w:pPr>
      <w:spacing w:after="200"/>
    </w:pPr>
    <w:rPr>
      <w:rFonts w:asciiTheme="minorHAnsi" w:eastAsiaTheme="minorHAnsi" w:hAnsiTheme="minorHAnsi" w:cstheme="minorBidi"/>
      <w:b/>
      <w:bCs/>
      <w:color w:val="156082" w:themeColor="accent1"/>
      <w:sz w:val="18"/>
      <w:szCs w:val="18"/>
      <w:lang w:val="en-US" w:eastAsia="en-US"/>
    </w:rPr>
  </w:style>
  <w:style w:type="paragraph" w:styleId="Revzia">
    <w:name w:val="Revision"/>
    <w:hidden/>
    <w:uiPriority w:val="99"/>
    <w:unhideWhenUsed/>
    <w:rsid w:val="009216F8"/>
    <w:pPr>
      <w:spacing w:after="0" w:line="240" w:lineRule="auto"/>
    </w:pPr>
    <w:rPr>
      <w:kern w:val="0"/>
      <w:sz w:val="22"/>
      <w:szCs w:val="22"/>
      <w:lang w:val="en-US"/>
      <w14:ligatures w14:val="none"/>
    </w:rPr>
  </w:style>
  <w:style w:type="character" w:styleId="Odkaznakomentr">
    <w:name w:val="annotation reference"/>
    <w:basedOn w:val="Predvolenpsmoodseku"/>
    <w:uiPriority w:val="99"/>
    <w:semiHidden/>
    <w:unhideWhenUsed/>
    <w:rsid w:val="009216F8"/>
    <w:rPr>
      <w:sz w:val="16"/>
      <w:szCs w:val="16"/>
    </w:rPr>
  </w:style>
  <w:style w:type="paragraph" w:styleId="Textkomentra">
    <w:name w:val="annotation text"/>
    <w:basedOn w:val="Normlny"/>
    <w:link w:val="TextkomentraChar"/>
    <w:uiPriority w:val="99"/>
    <w:unhideWhenUsed/>
    <w:rsid w:val="009216F8"/>
    <w:pPr>
      <w:spacing w:after="200"/>
    </w:pPr>
    <w:rPr>
      <w:rFonts w:asciiTheme="minorHAnsi" w:eastAsiaTheme="minorHAnsi" w:hAnsiTheme="minorHAnsi" w:cstheme="minorBidi"/>
      <w:sz w:val="20"/>
      <w:szCs w:val="20"/>
      <w:lang w:val="en-US" w:eastAsia="en-US"/>
    </w:rPr>
  </w:style>
  <w:style w:type="character" w:customStyle="1" w:styleId="TextkomentraChar">
    <w:name w:val="Text komentára Char"/>
    <w:basedOn w:val="Predvolenpsmoodseku"/>
    <w:link w:val="Textkomentra"/>
    <w:uiPriority w:val="99"/>
    <w:rsid w:val="009216F8"/>
    <w:rPr>
      <w:kern w:val="0"/>
      <w:sz w:val="20"/>
      <w:szCs w:val="20"/>
      <w:lang w:val="en-US"/>
      <w14:ligatures w14:val="none"/>
    </w:rPr>
  </w:style>
  <w:style w:type="paragraph" w:styleId="Predmetkomentra">
    <w:name w:val="annotation subject"/>
    <w:basedOn w:val="Textkomentra"/>
    <w:next w:val="Textkomentra"/>
    <w:link w:val="PredmetkomentraChar"/>
    <w:uiPriority w:val="99"/>
    <w:semiHidden/>
    <w:unhideWhenUsed/>
    <w:rsid w:val="009216F8"/>
    <w:rPr>
      <w:b/>
      <w:bCs/>
    </w:rPr>
  </w:style>
  <w:style w:type="character" w:customStyle="1" w:styleId="PredmetkomentraChar">
    <w:name w:val="Predmet komentára Char"/>
    <w:basedOn w:val="TextkomentraChar"/>
    <w:link w:val="Predmetkomentra"/>
    <w:uiPriority w:val="99"/>
    <w:semiHidden/>
    <w:rsid w:val="009216F8"/>
    <w:rPr>
      <w:b/>
      <w:bCs/>
      <w:kern w:val="0"/>
      <w:sz w:val="20"/>
      <w:szCs w:val="20"/>
      <w:lang w:val="en-US"/>
      <w14:ligatures w14:val="none"/>
    </w:rPr>
  </w:style>
  <w:style w:type="paragraph" w:styleId="Textbubliny">
    <w:name w:val="Balloon Text"/>
    <w:basedOn w:val="Normlny"/>
    <w:link w:val="TextbublinyChar"/>
    <w:uiPriority w:val="99"/>
    <w:semiHidden/>
    <w:unhideWhenUsed/>
    <w:rsid w:val="00625BBA"/>
    <w:rPr>
      <w:rFonts w:ascii="Segoe UI" w:eastAsiaTheme="minorHAnsi" w:hAnsi="Segoe UI" w:cs="Segoe UI"/>
      <w:sz w:val="18"/>
      <w:szCs w:val="18"/>
      <w:lang w:eastAsia="en-US"/>
    </w:rPr>
  </w:style>
  <w:style w:type="character" w:customStyle="1" w:styleId="TextbublinyChar">
    <w:name w:val="Text bubliny Char"/>
    <w:basedOn w:val="Predvolenpsmoodseku"/>
    <w:link w:val="Textbubliny"/>
    <w:uiPriority w:val="99"/>
    <w:semiHidden/>
    <w:rsid w:val="00625BBA"/>
    <w:rPr>
      <w:rFonts w:ascii="Segoe UI" w:hAnsi="Segoe UI" w:cs="Segoe UI"/>
      <w:kern w:val="0"/>
      <w:sz w:val="18"/>
      <w:szCs w:val="18"/>
      <w14:ligatures w14:val="none"/>
    </w:rPr>
  </w:style>
  <w:style w:type="character" w:styleId="Nevyrieenzmienka">
    <w:name w:val="Unresolved Mention"/>
    <w:basedOn w:val="Predvolenpsmoodseku"/>
    <w:uiPriority w:val="99"/>
    <w:semiHidden/>
    <w:unhideWhenUsed/>
    <w:rsid w:val="00625BBA"/>
    <w:rPr>
      <w:color w:val="605E5C"/>
      <w:shd w:val="clear" w:color="auto" w:fill="E1DFDD"/>
    </w:rPr>
  </w:style>
  <w:style w:type="character" w:styleId="Vrazn">
    <w:name w:val="Strong"/>
    <w:uiPriority w:val="22"/>
    <w:qFormat/>
    <w:rsid w:val="00C830DD"/>
    <w:rPr>
      <w:b/>
      <w:bCs/>
    </w:rPr>
  </w:style>
  <w:style w:type="table" w:customStyle="1" w:styleId="TableGrid2">
    <w:name w:val="TableGrid2"/>
    <w:rsid w:val="00C830DD"/>
    <w:pPr>
      <w:spacing w:after="0" w:line="240" w:lineRule="auto"/>
    </w:pPr>
    <w:rPr>
      <w:rFonts w:eastAsiaTheme="minorEastAsia"/>
      <w:kern w:val="0"/>
      <w:sz w:val="22"/>
      <w:szCs w:val="22"/>
      <w:lang w:eastAsia="sk-SK"/>
      <w14:ligatures w14:val="none"/>
    </w:rPr>
    <w:tblPr>
      <w:tblCellMar>
        <w:top w:w="0" w:type="dxa"/>
        <w:left w:w="0" w:type="dxa"/>
        <w:bottom w:w="0" w:type="dxa"/>
        <w:right w:w="0" w:type="dxa"/>
      </w:tblCellMar>
    </w:tblPr>
  </w:style>
  <w:style w:type="paragraph" w:customStyle="1" w:styleId="pf0">
    <w:name w:val="pf0"/>
    <w:basedOn w:val="Normlny"/>
    <w:rsid w:val="008F051F"/>
    <w:pPr>
      <w:spacing w:before="100" w:beforeAutospacing="1" w:after="100" w:afterAutospacing="1"/>
    </w:pPr>
  </w:style>
  <w:style w:type="character" w:customStyle="1" w:styleId="cf01">
    <w:name w:val="cf01"/>
    <w:basedOn w:val="Predvolenpsmoodseku"/>
    <w:rsid w:val="008F051F"/>
    <w:rPr>
      <w:rFonts w:ascii="Segoe UI" w:hAnsi="Segoe UI" w:cs="Segoe UI" w:hint="default"/>
      <w:sz w:val="18"/>
      <w:szCs w:val="18"/>
    </w:rPr>
  </w:style>
  <w:style w:type="character" w:customStyle="1" w:styleId="cf11">
    <w:name w:val="cf11"/>
    <w:basedOn w:val="Predvolenpsmoodseku"/>
    <w:rsid w:val="008F051F"/>
    <w:rPr>
      <w:rFonts w:ascii="Segoe UI" w:hAnsi="Segoe UI" w:cs="Segoe UI" w:hint="default"/>
      <w:b/>
      <w:bCs/>
      <w:sz w:val="18"/>
      <w:szCs w:val="18"/>
      <w:u w:val="single"/>
    </w:rPr>
  </w:style>
  <w:style w:type="character" w:customStyle="1" w:styleId="cf31">
    <w:name w:val="cf31"/>
    <w:basedOn w:val="Predvolenpsmoodseku"/>
    <w:rsid w:val="008F051F"/>
    <w:rPr>
      <w:rFonts w:ascii="Segoe UI" w:hAnsi="Segoe UI" w:cs="Segoe UI" w:hint="default"/>
      <w:sz w:val="18"/>
      <w:szCs w:val="18"/>
    </w:rPr>
  </w:style>
  <w:style w:type="character" w:customStyle="1" w:styleId="cf41">
    <w:name w:val="cf41"/>
    <w:basedOn w:val="Predvolenpsmoodseku"/>
    <w:rsid w:val="008F051F"/>
    <w:rPr>
      <w:rFonts w:ascii="Segoe UI" w:hAnsi="Segoe UI" w:cs="Segoe UI" w:hint="default"/>
      <w:sz w:val="18"/>
      <w:szCs w:val="18"/>
      <w:u w:val="single"/>
    </w:rPr>
  </w:style>
  <w:style w:type="paragraph" w:customStyle="1" w:styleId="oj-hd-oj">
    <w:name w:val="oj-hd-oj"/>
    <w:basedOn w:val="Normlny"/>
    <w:rsid w:val="001068F7"/>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lov-lex.sk/ezbierky/pravne-predpisy/SK/ZZ/2005/82/"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541794-F5E3-4504-BF82-2250687611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5165</Words>
  <Characters>29445</Characters>
  <Application>Microsoft Office Word</Application>
  <DocSecurity>0</DocSecurity>
  <Lines>245</Lines>
  <Paragraphs>69</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34541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Hrin Pavol</dc:creator>
  <cp:keywords/>
  <dc:description/>
  <cp:lastModifiedBy>Rozborilova Monika</cp:lastModifiedBy>
  <cp:revision>2</cp:revision>
  <cp:lastPrinted>2026-05-21T06:47:00Z</cp:lastPrinted>
  <dcterms:created xsi:type="dcterms:W3CDTF">2026-09-01T07:08:00Z</dcterms:created>
  <dcterms:modified xsi:type="dcterms:W3CDTF">2026-09-01T07:08:00Z</dcterms:modified>
</cp:coreProperties>
</file>