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medzinárodnej justičnej spolupráci v trestných veciach</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LP/2025/605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325/32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325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188</w:t>
      </w:r>
      <w:r w:rsidR="00754CB0">
        <w:rPr>
          <w:rFonts w:ascii="Times New Roman" w:eastAsia="Times New Roman" w:hAnsi="Times New Roman" w:cs="Times New Roman"/>
          <w:sz w:val="24"/>
          <w:szCs w:val="24"/>
        </w:rPr>
        <w:t>/13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34/</w:t>
      </w:r>
      <w:r w:rsidR="008E0404">
        <w:rPr>
          <w:rFonts w:ascii="Times New Roman" w:eastAsia="Times New Roman" w:hAnsi="Times New Roman" w:cs="Times New Roman"/>
          <w:sz w:val="24"/>
          <w:szCs w:val="24"/>
        </w:rPr>
        <w:t xml:space="preserve">11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103</w:t>
      </w:r>
      <w:r w:rsidR="004A48F0">
        <w:rPr>
          <w:rFonts w:ascii="Times New Roman" w:eastAsia="Times New Roman" w:hAnsi="Times New Roman" w:cs="Times New Roman"/>
          <w:sz w:val="24"/>
          <w:szCs w:val="24"/>
        </w:rPr>
        <w:t>/8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163 ods. 1</w:t>
              <w:br/>
            </w:r>
            <w:r>
              <w:rPr>
                <w:b w:val="off"/>
                <w:color w:val="000000"/>
                <w:rFonts w:ascii="Times New Roman" w:hAnsi="Times New Roman" w:cs="Times New Roman" w:eastAsia="Times New Roman"/>
                <w:sz w:val="24"/>
              </w:rPr>
              <w:t>Zásadná pripomienka: V Čl. I. § 163 ods. 1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„Krajská prokuratúra podľa § 159 môže uložiť určenej prevádzkarni alebo vymenovanému právnemu zástupcovi pokutu do 2 % celkového celosvetového obratu poskytovateľa služieb v hospodárskom roku predchádzajúcom rozhodnutiu o pokute, ak určená prevádzkareň alebo vymenovaný zástupca neplní povinnosti podľa osobitného predpisu.[1]) Za nesplnenie povinnosti podľa predchádzajúcej vety sa nepovažuje nesplnenie povinnosti z dôvodu  vyššej moci, dočasnej nedostupnosti informačného systému alebo technickej limitácie systému, ak tieto okolnosti nastali nezávisle od vôle určenej prevádzkarne alebo vymenovaného právneho zástupcu a nebolo ich možné rozumne predvídať ani im zabrániť. Krajská prokuratúra upustí od uloženia pokuty, ak určená prevádzkareň alebo vymenovaný právny zástupca splní povinnosť, ktorej porušenie bolo dôvodom pre začatie konania o uložení pokuty, a to do 30 dní odo dňa doručenia upovedomenia o začatí konania o uložení pokuty, o čom krajská prokuratúra určenú prevádzkareň alebo vymenovaného právneho zástupcu poučí v upovedomení o začatí konania o uložení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aby v odôvodnených prípadoch bolo možné upustiť od uloženia sankcie. V zmysle čl. 15 ods. 1 Nariadenia Európskeho parlamentu a Rady (EÚ) 2023/1543 z 12. júla 2023 o európskych príkazoch na predloženie elektronických dôkazov a európskych príkazoch na uchovanie elektronických dôkazov v trestnom konaní a na výkon trestu odňatia slobody v nadväznosti na trestné konanie (Nariadenia 2023/1543), členské štáty zabezpečia, aby bolo možné, nie však nevyhnutné uložiť peňažné sankcie do výšky 2 % celkového celosvetového ročného obratu poskytovateľa služieb za predchádzajúci finančný rok. Taktiež, v zmysle predmetného ustanovenia Nariadenia 2023/1542, sankcia sa môže uložiť za porušenie čl. 10, 11, 13 ods. 4, v súlade s čl. 16 ods. 10, teda len v prípade, ak nedôjde k splneniu povinností v rámci náhradného vykonávania.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nie je možné akceptovať, keďže výšku aj podmienky uloženia sankcie upravuje nariadenie č. 2023/1543. Nie je teda možné otázku upraviť odlišne na vnútroštátnej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159</w:t>
              <w:br/>
            </w:r>
            <w:r>
              <w:rPr>
                <w:b w:val="off"/>
                <w:color w:val="000000"/>
                <w:rFonts w:ascii="Times New Roman" w:hAnsi="Times New Roman" w:cs="Times New Roman" w:eastAsia="Times New Roman"/>
                <w:sz w:val="24"/>
              </w:rPr>
              <w:t>V Čl. I. § 159 navrhujeme spresniť úpravu vzájomných vzťahov medzi orgánmi príslušnými na prijatie oznámenia o európskom príkaze za účelom postupu podľa čl.  10 a 11 Nariadenia Európskeho parlamentu a Rady (EÚ) 2023/1543 z 12. júla 2023 o európskych príkazoch na predloženie elektronických dôkazov a európskych príkazoch na uchovanie elektronických dôkazov v trestnom konaní a na výkon trestu odňatia slobody v nadväznosti na trestné konanie, najmä vo väzbe na plynutie lehôt (8 hodín, 10 dňová lehota), najmä ak má byť  plynutie lehoty závislé od interakcie a konania vnútroštátneho vykonávajúceho orgánu).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lehôt, ako aj vzájomné vzťahy poskytovateľa služieb a orgánov príslušných na prijatie oznámenia, vychádza priamo z nariadenia. Nie je preto možné na vnútroštátnej úrovni  upraviť plynutie lehôt iným spôsobom než tým, ktorý ustanovuje nariadenie č. 2023/1543.</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K návrhu zákona - Všeobecne – Z:</w:t>
              <w:br/>
            </w:r>
            <w:r>
              <w:rPr>
                <w:b w:val="off"/>
                <w:color w:val="000000"/>
                <w:rFonts w:ascii="Times New Roman" w:hAnsi="Times New Roman" w:cs="Times New Roman" w:eastAsia="Times New Roman"/>
                <w:sz w:val="24"/>
              </w:rPr>
              <w:t>a) K vecnej príslušnosti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(opätovne) o prehodnotenie zásadnej zmeny vecnej príslušnosti súdov, najmä v extradičných konaniach a v konaniach o Európskom zatýkacom rozkaze (ďalej len „EZR“), a to vzhľadom na špecifický typ rozhodovania vyžadujúci úzku špecializáciu sudcov a znalosť judikatúry medzinárodných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Prokuratúra sa snaží v tejto oblasti prokurátorov špecializovať a súvisiaca agenda je koncentrovaná na špecializované oddelenia krajských prokuratúr. Špecializácia je pre korektnú aplikáciu medzinárodného a európskeho práva podľa nášho názoru nevyhnutná. V tomto zmysle žiadame zachovať príslušnosť krajských súdov najmä vo vzťahu k extradícii a EZR. Ako pozitívum hodnotíme, že boli akceptované naše návrhy - niektoré typy konaní o uznaní (EÚ) presunúť na nižší stupeň, napríklad, uznanie peňažnej sankcie. Pokiaľ nám je známe, nebola vykonaná ani analýza zaťaženosti, pričom vo vzťahu k Mestskému súdu v Bratislave bude koncentrácia uvedenej agendy predstavovať hroziaci kolaps.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K nutnej obhajobe: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(opätovne) zapracovať ustanovenie upravujúce generálnu nutnú obhajobu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t>
              <w:br/>
            </w:r>
            <w:r>
              <w:rPr>
                <w:b w:val="off"/>
                <w:color w:val="000000"/>
                <w:rFonts w:ascii="Times New Roman" w:hAnsi="Times New Roman" w:cs="Times New Roman" w:eastAsia="Times New Roman"/>
                <w:sz w:val="24"/>
              </w:rPr>
              <w:t>Nutná obhajoba (generálna)</w:t>
              <w:br/>
            </w:r>
            <w:r>
              <w:rPr>
                <w:b w:val="off"/>
                <w:color w:val="000000"/>
                <w:rFonts w:ascii="Times New Roman" w:hAnsi="Times New Roman" w:cs="Times New Roman" w:eastAsia="Times New Roman"/>
                <w:sz w:val="24"/>
              </w:rPr>
              <w:t>(1) Obhajcu musí mať vždy osoba,</w:t>
              <w:br/>
            </w:r>
            <w:r>
              <w:rPr>
                <w:b w:val="off"/>
                <w:color w:val="000000"/>
                <w:rFonts w:ascii="Times New Roman" w:hAnsi="Times New Roman" w:cs="Times New Roman" w:eastAsia="Times New Roman"/>
                <w:sz w:val="24"/>
              </w:rPr>
              <w:t>a)	voči ktorej sa vedie konanie o vydanie do cudzieho štátu,</w:t>
              <w:br/>
            </w:r>
            <w:r>
              <w:rPr>
                <w:b w:val="off"/>
                <w:color w:val="000000"/>
                <w:rFonts w:ascii="Times New Roman" w:hAnsi="Times New Roman" w:cs="Times New Roman" w:eastAsia="Times New Roman"/>
                <w:sz w:val="24"/>
              </w:rPr>
              <w:t xml:space="preserve">b)	voči ktorej sa vedie konanie o odovzdaní zo Slovenskej republiky podľa ustanovení II. časti druhá hlava alebo o odovzdaní medzinárodnému súdu podľa ustanovení VI. časti tretej hlavy, </w:t>
              <w:br/>
            </w:r>
            <w:r>
              <w:rPr>
                <w:b w:val="off"/>
                <w:color w:val="000000"/>
                <w:rFonts w:ascii="Times New Roman" w:hAnsi="Times New Roman" w:cs="Times New Roman" w:eastAsia="Times New Roman"/>
                <w:sz w:val="24"/>
              </w:rPr>
              <w:t>c)	voči ktorej sa vedie konanie o rozšírení vydania,</w:t>
              <w:br/>
            </w:r>
            <w:r>
              <w:rPr>
                <w:b w:val="off"/>
                <w:color w:val="000000"/>
                <w:rFonts w:ascii="Times New Roman" w:hAnsi="Times New Roman" w:cs="Times New Roman" w:eastAsia="Times New Roman"/>
                <w:sz w:val="24"/>
              </w:rPr>
              <w:t>d)	voči ktorej sa vedie konanie o rozšírení odovzdania, alebo</w:t>
              <w:br/>
            </w:r>
            <w:r>
              <w:rPr>
                <w:b w:val="off"/>
                <w:color w:val="000000"/>
                <w:rFonts w:ascii="Times New Roman" w:hAnsi="Times New Roman" w:cs="Times New Roman" w:eastAsia="Times New Roman"/>
                <w:sz w:val="24"/>
              </w:rPr>
              <w:t>e)	ak sa má vyjadriť k tomu, či sa vzdáva práva na uplatnenie zásady špeciality v konaní po vydaní z cudzieho štátu alebo po odovzdaní.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Obhajcu musí mať vždy aj osoba, voči ktorej sa vedie konanie o uznaní a výkone cudzozemského rozhodnutia, rozhodnutie členského štátu Európskej únie (ďalej len „členský štát“) iného, než je Slovenská republika, alebo rozhodnutie medzinárodného súdu, podľa ustanovení VI. časti tretej hlavy </w:t>
              <w:br/>
            </w:r>
            <w:r>
              <w:rPr>
                <w:b w:val="off"/>
                <w:color w:val="000000"/>
                <w:rFonts w:ascii="Times New Roman" w:hAnsi="Times New Roman" w:cs="Times New Roman" w:eastAsia="Times New Roman"/>
                <w:sz w:val="24"/>
              </w:rPr>
              <w:t>a) 	ktorým bol uložený nepodmienečný trest odňatia slobody alebo ochranné opatrenie spojené so zbavením osobnej slobody,</w:t>
              <w:br/>
            </w:r>
            <w:r>
              <w:rPr>
                <w:b w:val="off"/>
                <w:color w:val="000000"/>
                <w:rFonts w:ascii="Times New Roman" w:hAnsi="Times New Roman" w:cs="Times New Roman" w:eastAsia="Times New Roman"/>
                <w:sz w:val="24"/>
              </w:rPr>
              <w:t>b) 	ak je vo väzbe, výkone nepodmienečného trestu odňatia slobody alebo ochranného opatrenia spojeného so zbavením osobnej slobody,</w:t>
              <w:br/>
            </w:r>
            <w:r>
              <w:rPr>
                <w:b w:val="off"/>
                <w:color w:val="000000"/>
                <w:rFonts w:ascii="Times New Roman" w:hAnsi="Times New Roman" w:cs="Times New Roman" w:eastAsia="Times New Roman"/>
                <w:sz w:val="24"/>
              </w:rPr>
              <w:t>c) 	ak je obmedzená jej spôsobilosť na právne úkony  alebo je pozbavená spôsobilosti na právne úkony,</w:t>
              <w:br/>
            </w:r>
            <w:r>
              <w:rPr>
                <w:b w:val="off"/>
                <w:color w:val="000000"/>
                <w:rFonts w:ascii="Times New Roman" w:hAnsi="Times New Roman" w:cs="Times New Roman" w:eastAsia="Times New Roman"/>
                <w:sz w:val="24"/>
              </w:rPr>
              <w:t>d) 	ak ide o mladistvého, alebo</w:t>
              <w:br/>
            </w:r>
            <w:r>
              <w:rPr>
                <w:b w:val="off"/>
                <w:color w:val="000000"/>
                <w:rFonts w:ascii="Times New Roman" w:hAnsi="Times New Roman" w:cs="Times New Roman" w:eastAsia="Times New Roman"/>
                <w:sz w:val="24"/>
              </w:rPr>
              <w:t>e) 	ak to justičný orgán považuje za potrebné najmä preto, že vzhľadom na telesné alebo duševné chyby tejto osoby má pochybnosti o jej spôsobilosti náležite sa hájiť.“.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situácie vyžadujúce zabezpečenie práva na obhajobu či už vyplývajúce z medzinárodných zmlúv, rozhodnutí medzinárodných súdov alebo aktov Európskej únie. Úprava zabezpečenia práva na obhajobu v rámci medzinárodnej justičnej spolupráce by mala byť súčasťou návrhu zákona. Úprava v Trestnom poriadku nie je postačujúca, obzvlášť, keď, napríklad, konania o Európskom zatýkacom rozkaze, odovzdanie Nórsku, Islandu a Spojenému kráľovstvu, ako aj odovzdanie Medzinárodnému trestnému súdu v zmysle korigovanej pojmológie už Trestný poriadok nepokrýva, nakoľko upravuje práva výlučne „vydávanej osoby“.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Navrhované znenie zahŕňa aj ostatné situácie, kde je potrebná jednoznačná úprava, ktorá doposiaľ absentovala a justičné orgány boli v prístupe k tejto otázke nejednotné. Zároveň je potrebné zdôrazniť, že ak sa vydaná, resp. odovzdaná osoba vyjadruje k zásade špeciality, právna úprava predpokladá prítomnosť obhajcu.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Bližšie Smernica 2013/48/EÚ – právo na prístup k obhajcovi a na kontakt s tretími osobami a s konzulárnymi úradmi v prípade zadržania, Smernica (EÚ) 2016/1919 o právnej pomoci pre podozrivé a obvinené osoby v trestnom konaní a pre vyžiadané osoby v konaní o európskom zatykači.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je taktiež nutné dôsledne jazykovo a terminologicko-pojmovo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9.2.2026 a 9.3.2026,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úpravy povinnej obhajoby v navrhovanom zákone toto riešenie nie je možné akceptovať. Inštitút povinnej obhajoby predstavuje základnú procesnú záruku práva na obhajobu v trestnom konaní, ktoré je garantované čl. 50 ods. 3 Ústavy Slovenskej republiky. Ide o systematickú súčasť právnej úpravy trestného procesu, ktorá je komplexne upravená v zákone č. 301/2005 Z. z. Trestný poriadok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Trestný poriadok je všeobecným a zároveň osobitným procesným predpisom upravujúcim podmienky výkonu trestného stíhania a procesné postavenie obvineného. Okruh prípadov povinnej obhajoby je v ňom upravený taxatívne a tvorí jednotný systém procesných garancií.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povinnej obhajoby v inom právnom predpise by:</w:t>
              <w:br/>
            </w:r>
            <w:r>
              <w:rPr>
                <w:b w:val="off"/>
                <w:color w:val="000000"/>
                <w:rFonts w:ascii="Times New Roman" w:hAnsi="Times New Roman" w:cs="Times New Roman" w:eastAsia="Times New Roman"/>
                <w:sz w:val="24"/>
              </w:rPr>
              <w:t>•	narušila systematiku trestného procesného práva,</w:t>
              <w:br/>
            </w:r>
            <w:r>
              <w:rPr>
                <w:b w:val="off"/>
                <w:color w:val="000000"/>
                <w:rFonts w:ascii="Times New Roman" w:hAnsi="Times New Roman" w:cs="Times New Roman" w:eastAsia="Times New Roman"/>
                <w:sz w:val="24"/>
              </w:rPr>
              <w:t>•	vytvorila paralelný a nejednotný režim procesných podmienok,</w:t>
              <w:br/>
            </w:r>
            <w:r>
              <w:rPr>
                <w:b w:val="off"/>
                <w:color w:val="000000"/>
                <w:rFonts w:ascii="Times New Roman" w:hAnsi="Times New Roman" w:cs="Times New Roman" w:eastAsia="Times New Roman"/>
                <w:sz w:val="24"/>
              </w:rPr>
              <w:t>•	oslabovala princíp právnej istoty a predvídateľnosti práva,</w:t>
              <w:br/>
            </w:r>
            <w:r>
              <w:rPr>
                <w:b w:val="off"/>
                <w:color w:val="000000"/>
                <w:rFonts w:ascii="Times New Roman" w:hAnsi="Times New Roman" w:cs="Times New Roman" w:eastAsia="Times New Roman"/>
                <w:sz w:val="24"/>
              </w:rPr>
              <w:t>•	bola v rozpore so zásadou, že procesné podmienky trestného konania majú byť upravené jednotne v procesnom kódexe.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2013/48/EÚ upravuje právo podozrivých a obvinených osôb na prístup k obhajcovi ako minimálny štandard ochrany procesných práv v trestnom konaní. Nezakotvuje však inštitút povinnej obhajoby ani neurčuje prípady, v ktorých musí byť obhajca ustanovený bez ohľadu na vôľu obvineného.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Rozlišovanie medzi právom na prístup k obhajcovi a povinnou obhajobou je systematicky aj obsahovo zásadné. Právo na prístup k obhajcovi predstavuje subjektívne právo osoby, zatiaľ čo povinná obhajoba je procesnou podmienkou trestného konania upravenou vnútroštátnym procesným právom.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Smernica 2013/48/EÚ preto nevyžaduje ani nepredpokladá úpravu prípadov povinnej obhajoby v osobitných zákonoch. Rozšírenie alebo modifikácia okruhu prípadov povinnej obhajoby musí byť vykonaná výlučne novelou Trestného poriadku ako všeobecného procesného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2016/1919/EÚ upravuje minimálne pravidlá týkajúce sa poskytovania právnej pomoci osobám podozrivým alebo obvineným v trestnom konaní, najmä podmienky, za ktorých je právna pomoc financovaná štátom. Jej predmetom je zabezpečenie efektívneho prístupu k obhajcovi, a to predovšetkým z hľadiska úhrady nákladov právneho zastúpenia.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konania o EZR, tak  zmena terminológie v tejto časti bola dôsledkom potreby terminologického súladu s Rámcovým rozhodnutím 2002/584/SVV a pojem odovzdanie je identické z hľadiska obsahu a významu s pojmom vydanie v zmysle aktuálnej piatej časti Trestného poriadku. Preto zastávame názor, že ustanovenia v časti týkajúcej sa EZR by mali byť postačujúce, pokiaľ ide o pokrytie odovzdania osoby na účel povinnej obhajoby.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 6 ods. 2 – Z:</w:t>
              <w:br/>
            </w:r>
            <w:r>
              <w:rPr>
                <w:b w:val="off"/>
                <w:color w:val="000000"/>
                <w:rFonts w:ascii="Times New Roman" w:hAnsi="Times New Roman" w:cs="Times New Roman" w:eastAsia="Times New Roman"/>
                <w:sz w:val="24"/>
              </w:rPr>
              <w:t>V odseku 2 s použitím § 206 ods. 2 návrhu zákona v rámci konania o EZR považujeme ustanovenie príslušnosti okresných súdov v sídle krajského súdu ako príslušných dožiadaných justičných orgánov za nevhodné vzhľadom na výraznú zaťaženosť okresných súdov v sídle krajských súdov, ako aj s poukazom na aktuálnu príslušnosť krajských súdov, ktoré na realizáciu konania o EZR majú lepšie personálno-materiálne podmienky a aj ich predchádzajúce skúsenosti s doterajším vykonávaním tejto agendy.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9.2.2026 a 9.3.2026,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 K § 18 – Z:</w:t>
              <w:br/>
            </w:r>
            <w:r>
              <w:rPr>
                <w:b w:val="off"/>
                <w:color w:val="000000"/>
                <w:rFonts w:ascii="Times New Roman" w:hAnsi="Times New Roman" w:cs="Times New Roman" w:eastAsia="Times New Roman"/>
                <w:sz w:val="24"/>
              </w:rPr>
              <w:t>V § 18 navrhujeme vypustiť odseky 3, 5 a 6 a v súčasnom období (zatiaľ) vôbec nezavádzať možnosť formy strojového prekladu.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Hoci predkladateľ v dôvodovej správe uvádza, že možnosť využitia strojového prekladu uľahčí prekladanie najmä z a do jazykov, ktoré nie sú z hľadiska dostupnosti úradných prekladateľov bežné, tento postup môže spôsobiť chaotické a nekorektné vybavenie žiadosti slovenského justičného orgánu (napríklad žiadosť o zabezpečenie dôkazu do trestného konania vedeného v Slovenskej republike) o justičnú spoluprácu cudzím orgánom, ktorý nezrozumiteľnosť prekladu nemusí namietnuť.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príklad uvádzame § 18 ods. 3, podľa ktorého ,,... ak adresát iný ako dožiadaný justičný orgán v lehote do 14 dní od doručenia namietne nezrozumiteľnosť prekladu doručenej písomnosti; v takom prípade dožadujúci slovenský justičný orgán zabezpečí úradný preklad.“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nášho názoru nemožno pripustiť, aby sa adresátom do cudziny doručovali nezrozumiteľne strojovo preložené písomnosti alebo nedokonalé preklady s chybami (napríklad obvinenému by sa do cudziny doručovalo nezrozumiteľne preložené uznesenie o vznesení obvinenia). V najhoršom prípade by to mohlo znamenať porušenie práva na obhajobu.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bol preklad nezrozumiteľný, adresát písomnosti by sa ani nemal akým spôsobom dozvedieť, že môže nezrozumiteľnosť  namietať (hoci zákon  neuvádza, že by mal byť poučený o možnosti namietať nezrozumiteľný preklad).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9.2.2026.</w:t>
              <w:br/>
            </w:r>
            <w:r>
              <w:rPr>
                <w:b w:val="off"/>
                <w:color w:val="000000"/>
                <w:rFonts w:ascii="Times New Roman" w:hAnsi="Times New Roman" w:cs="Times New Roman" w:eastAsia="Times New Roman"/>
                <w:sz w:val="24"/>
              </w:rPr>
              <w:t>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18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18</w:t>
              <w:br/>
            </w:r>
            <w:r>
              <w:rPr>
                <w:b w:val="off"/>
                <w:color w:val="000000"/>
                <w:rFonts w:ascii="Times New Roman" w:hAnsi="Times New Roman" w:cs="Times New Roman" w:eastAsia="Times New Roman"/>
                <w:sz w:val="24"/>
              </w:rPr>
              <w:t>Zabezpečenie prekladov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tento zákon, medzinárodná zmluva alebo vyhlásenie o vzájomnosti neustanovuje inak, slovenský justičný orgán, ktorý žiadosť vyhotovil, zabezpečí bezodkladne preklad žiadosti o justičnú spoluprácu a potrebných príloh, rozhodnutí alebo osvedčení do úradného jazyka dožiadaného štátu alebo do jazyka používaného na jeho území.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Ak dožiadaný štát svojím vyhlásením umožnil prijatie žiadosti o justičnú spoluprácu aj v inom jazyku, možno vyhotoviť preklad písomností podľa odseku 1 aj do iného jazyka.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Preklad podľa odsekov 1 a 2 musí byť vyhotovený prekladateľom. V prípadoch, ktoré ustanoví osobitný predpis sa za úradný preklad považuje aj strojový preklad vyhotovený v súlade s osobitným predpisom. V takomto prípade nie je nutný dodatočný preklad vyhotovený úradným prekladateľom. Ak ide o preklad do cudzieho jazyka, pri ktorom všeobecne záväzný právny predpis, ktorý vydá ministerstvo spravodlivosti, umožňuje strojový preklad, namiesto postupu podľa predchádzajúcej vety súd zabezpečí strojový preklad písomností.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tento zákon, medzinárodná zmluva alebo vyhlásenie Slovenskej republiky neustanovuje inak, žiadosti o justičnú spoluprácu a potrebné prílohy, rozhodnutia alebo osvedčenia možno prijať, ak sú vyhotovené v štátnom jazyku, a je  možné ich prijať aj vtedy, ak sú vyhotovené v cudzom jazyku, pri ktorom všeobecne záväzný právny predpis, ktorý vydá ministerstvo spravodlivosti, umožňuje strojový preklad do slovenského jazyka.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Slovenský orgán môže využiť formu strojového prekladu aj pre vlastné potreby.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 18 ods. 1, ods. 5, ods. 6 – Z:</w:t>
              <w:br/>
            </w:r>
            <w:r>
              <w:rPr>
                <w:b w:val="off"/>
                <w:color w:val="000000"/>
                <w:rFonts w:ascii="Times New Roman" w:hAnsi="Times New Roman" w:cs="Times New Roman" w:eastAsia="Times New Roman"/>
                <w:sz w:val="24"/>
              </w:rPr>
              <w:t>V § 18 navrhujeme odsek 1 uviesť v tomto znení:</w:t>
              <w:br/>
            </w:r>
            <w:r>
              <w:rPr>
                <w:b w:val="off"/>
                <w:color w:val="000000"/>
                <w:rFonts w:ascii="Times New Roman" w:hAnsi="Times New Roman" w:cs="Times New Roman" w:eastAsia="Times New Roman"/>
                <w:sz w:val="24"/>
              </w:rPr>
              <w:t>„(1) Ak tento zákon, medzinárodná zmluva alebo vyhlásenie o vzájomnosti neustanovuje inak, slovenský justičný orgán, ktorý žiadosť vyhotovil, zabezpečí bezodkladne preklad žiadosti o justičnú spoluprácu a potrebných príloh, rozhodnutí alebo osvedčení do úradného jazyka dožiadaného štátu alebo do jazyka, v ktorom dožiadaný štát prijíma žiadosti. Vo vzťahu k členským štátom Európskej únie sa použijú oficiálne jazykové mutácie formulárov a osvedčení.“.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Justičné orgány, prokurátori aj sudcovia navrhovali výslovne uviesť v zákone používanie oficiálnych jazykových mutácií kvôli rozdielnej praxi prekladateľov (šetrenie finančných prostriedkov).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5 je chybne použitý odkaz na odsek 3. Ak nebude akceptovaná prvá pripomienka, navrhujeme doplniť, že sa jedná o necertifikovaný preklad (v súlade s vyššie uvedeným doplnením). V takom prípade možno takýto preklad akceptovať, ak je pre slovenský vykonávajúci orgán zrozumiteľný alebo nemá zjavné chyby. Tu je možné akceptovať aj takýto preklad, keďže za správny preklad zodpovedá predovšetkým dožadujúci štát.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odseku 6 navrhujeme preformulovať a doplniť v tomto znení:</w:t>
              <w:br/>
            </w:r>
            <w:r>
              <w:rPr>
                <w:b w:val="off"/>
                <w:color w:val="000000"/>
                <w:rFonts w:ascii="Times New Roman" w:hAnsi="Times New Roman" w:cs="Times New Roman" w:eastAsia="Times New Roman"/>
                <w:sz w:val="24"/>
              </w:rPr>
              <w:t>„(6) Ak je žiadosť cudzozemského orgánu o medzinárodnú justičnú spoluprácu a jej prílohy doručená bez prekladu do slovenského jazyka, preklad sa vyžiada od cudzieho štátu, ak medzinárodná zmluva neustanovuje inak. Ak cudzí štát nezašle preklad v určenej lehote bez toho, aby uviedol podstatné dôvody, pre ktoré tak neurobil, orgán Slovenskej republiky môže vykonanie žiadosti odmietnuť. Na tieto následky musí byť cudzí štát upozornený.“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nášho názoru zaviesť akceptáciu strojového prekladu možno len po obdržaní relevantného certifikovaného prekladača, napríklad, v rámci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nevyhnutné rozlišovať medzi certifikovaným strojovým prekladom (overeným a potvrdeným prekladateľom, prípadne vytvoreným automatizovaným softvérom, ktorý bude prijatý na úrovni Európskej únie ako ekvivalentný úradným prekladom a bude jednotne aplikovaný členskými štátmi) a strojovým prekladom (teda vytvorený automatizovaným softvérom bez ľudského zásahu alebo overenia oprávnenou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9.2.2026.</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 20 – Z:</w:t>
              <w:br/>
            </w:r>
            <w:r>
              <w:rPr>
                <w:b w:val="off"/>
                <w:color w:val="000000"/>
                <w:rFonts w:ascii="Times New Roman" w:hAnsi="Times New Roman" w:cs="Times New Roman" w:eastAsia="Times New Roman"/>
                <w:sz w:val="24"/>
              </w:rPr>
              <w:t>Znenie § 20 navrhujeme doplniť v tom smere, že právna pomoc sa poskytuje a vykonáva v súlade so základnými zásadami právneho poriadku Slovenskej republiky, najmä so zásadou ochrany základných práv a slobôd podľa Ústavy Slovenskej republiky a ľudsko-právnych dohovorov.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Domnievame sa, že vymedzenie právnej pomoci je základným interpretačným rámcom celého zákona. Máme za to, že explicitné vymedzenie chráni Slovenskú republiku v prípadoch, keď by žiadosť vyžadovala postupy nezlučiteľné s právnym poriadkom Slovenskej republiky, najmä zásah do osobnej slobody, práva na spravodlivý proces, ochrany súkromia.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9.2.2026.</w:t>
              <w:br/>
            </w:r>
            <w:r>
              <w:rPr>
                <w:b w:val="off"/>
                <w:color w:val="000000"/>
                <w:rFonts w:ascii="Times New Roman" w:hAnsi="Times New Roman" w:cs="Times New Roman" w:eastAsia="Times New Roman"/>
                <w:sz w:val="24"/>
              </w:rPr>
              <w:t>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bolo vysvetlené  odkazom na §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	K § 25 – Z:</w:t>
              <w:br/>
            </w:r>
            <w:r>
              <w:rPr>
                <w:b w:val="off"/>
                <w:color w:val="000000"/>
                <w:rFonts w:ascii="Times New Roman" w:hAnsi="Times New Roman" w:cs="Times New Roman" w:eastAsia="Times New Roman"/>
                <w:sz w:val="24"/>
              </w:rPr>
              <w:t>V § 25 navrhujeme odsek 1 uviesť, napríklad, v tomto znení:</w:t>
              <w:br/>
            </w:r>
            <w:r>
              <w:rPr>
                <w:b w:val="off"/>
                <w:color w:val="000000"/>
                <w:rFonts w:ascii="Times New Roman" w:hAnsi="Times New Roman" w:cs="Times New Roman" w:eastAsia="Times New Roman"/>
                <w:sz w:val="24"/>
              </w:rPr>
              <w:t>„(1) Justičný orgán môže doručiť písomnosti aj prostredníctvom zastupiteľského úradu Slovenskej republiky v cudzom štáte.“.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prvej vete, ktorá znie: „Ak nemožno písomnosť účinne doručiť, justičný orgán môže vo výnimočných prípadoch doručiť písomnosti prostredníctvom zastupiteľského úradu Slovenskej republiky v cudzom štáte“ navrhujeme vypustiť z prvej časti vety slová „ak nemožno písomnosť účinne doručiť“ a rovnako vypustiť slovné spojenie „vo výnimočných prípadoch“.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Doručovanie prostredníctvom zastupiteľského úradu je najmä v prípade tretích štátov (napríklad USA, Austrália, Kanada) rýchlejšie a jednoduchšie ako doručovanie prostredníctvom žiadosti o právnu pomoc, preto nepovažujeme za vhodné obmedziť ho len na výnimočné prípady a prípady, kedy bude zrejmé, že písomnosť nemožno účinne doručiť. Takýto stav môže nastať, napríklad, až o rok po zaslaní žiadosti o právnu pomoc, kedy dožiadaný justičný orgán dlhodobo nereaguje, pričom týmto spôsobom dôjde k značným prieťahom v trestnom konaní. Možnosť doručovať písomnosti prostredníctvom zastupiteľských úradov odporúčame ponechať na zvážení príslušných justičných orgánov a neobmedzovať ju na výnimočné prípady a prípady, kedy nemožno písomnosť „účinne doručiť“. Z praxe tiež možno uviesť, že týchto prípadov v skutočnosti nie je veľa. Môžu tiež nastať nejasnosti ohľadom posúdenia, kedy budú splnené podmienky na „výnimočné prípady“ a kedy bude mať príslušný orgán za to, že nemožno písomnosť účinne doručiť.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2 písmeno a) navrhujeme vypustiť text „a ak je osoba ochotná písomnosť prijať“.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Doručovanie prostredníctvom zastupiteľského úradu sa spravidla vykonáva poštou podľa pravidiel štátu, v ktorom úrad pôsobí, pričom pokiaľ adresát zásielku odmietne prijať, prípadne si ju nevyzdvihne, písomnosť sa vráti nedoručená a doručovanie ako také bude neúspešné. Zastupiteľský úrad v tejto súvislosti ani nemá donucovacie právomoci. Pokiaľ navrhované znenie „a ak je osoba ochotná písomnosť prijať“ zostane v zákone, môže nastať neistota ohľadom výkladu možnosti odmietnuť prevziať zásielku – či sa má na mysli len nevyzdvihnutie zásielky na pošte, prípadne či bude zastupiteľský úrad povinný zisťovať (a akým spôsobom), či je adresát ochotný zásielku prevziať.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9.2.2026.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25 ods. 1 znie:</w:t>
              <w:br/>
            </w:r>
            <w:r>
              <w:rPr>
                <w:b w:val="off"/>
                <w:color w:val="000000"/>
                <w:rFonts w:ascii="Times New Roman" w:hAnsi="Times New Roman" w:cs="Times New Roman" w:eastAsia="Times New Roman"/>
                <w:sz w:val="24"/>
              </w:rPr>
              <w:t>(1) Ak nemožno písomnosť účinne doručiť, justičný orgán môže doručiť písomnosti prostredníctvom zastupiteľského úradu Slovenskej republiky z zahraničí. Takúto žiadosť o doručenie zasiela príslušná prokuratúra prostredníctvom generálnej prokuratúry a príslušný súd prostredníctvom ministerstva spravodlivosti.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	K § 43 ods. 3 – Z:</w:t>
              <w:br/>
            </w:r>
            <w:r>
              <w:rPr>
                <w:b w:val="off"/>
                <w:color w:val="000000"/>
                <w:rFonts w:ascii="Times New Roman" w:hAnsi="Times New Roman" w:cs="Times New Roman" w:eastAsia="Times New Roman"/>
                <w:sz w:val="24"/>
              </w:rPr>
              <w:t>V § 43 ods. 3 navrhujeme vypustiť povinnosť Generálnej prokuratúry Slovenskej republiky (ďalej len „Generálna prokuratúra“) poskytovať Ministerstvu spravodlivosti Slovenskej republiky (ďalej len „Ministerstvo spravodlivosti“) súhrnnú informáciu so základnými údajmi o vytvorených SVT vždy za kalendárny rok. Takýto postup považujeme za nedôvodný, a ak Ministerstvu spravodlivosti postačujú základné štatistické ukazovatele zo štatistickej ročenky prokuratúry, ako to odznelo na prvom pripomienkovom konaní 9. júla 2024, je to potrebné vyjadriť v normatívnom texte a/alebo v dôvodovej správe, okrem iného aj z dôvodu znižovania administratívnej záťaže prokuratúry.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novovytvorených SVT ide vždy o prípravné konanie, ktoré je neverejné, a teda žiadne bližšie údaje poskytnúť nemožno. V prípade, že táto povinnosť z nejasných dôvodov zostane zakotvená v zákone, Ministerstvo spravodlivosti obdrží (zrejme na štatistické údaje) len počet SVT s uvedením trestných činov, ktoré sú predmetom vyšetrovania.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9.2.2026.</w:t>
              <w:br/>
            </w:r>
            <w:r>
              <w:rPr>
                <w:b w:val="off"/>
                <w:color w:val="000000"/>
                <w:rFonts w:ascii="Times New Roman" w:hAnsi="Times New Roman" w:cs="Times New Roman" w:eastAsia="Times New Roman"/>
                <w:sz w:val="24"/>
              </w:rPr>
              <w:t>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znie: </w:t>
              <w:br/>
            </w:r>
            <w:r>
              <w:rPr>
                <w:b w:val="off"/>
                <w:color w:val="000000"/>
                <w:rFonts w:ascii="Times New Roman" w:hAnsi="Times New Roman" w:cs="Times New Roman" w:eastAsia="Times New Roman"/>
                <w:sz w:val="24"/>
              </w:rPr>
              <w:t>Ustanovenie o spoločnom vyšetrovacom tíme reaguje na prax a ťažiskové postavenie prokurátora, ktorý má v spoločnom vyšetrovacom tíme vedúce postavenie a rovnako vypúšťa povinné prerokovanie zriadenia tímu s ministrom spravodlivosti, ktoré procesne nezodpovedá potrebe pružného vytvorenia tejto formy koordinovaného a inštitucionalizovaného vyšetrovania, avšak z hľadiska informovanosti o ich činnosti bude poskytovaná ministerstvu raz ročne správa, s cieľom poskytnúť prehľad o kľúčových údajoch pre vyhodnocovanie realizácie trestnej politiky štátu v oblasti cezhraničnej spolupráce a prítomnosti/spolupráci a jej formách s orgánmi iných štátov, a to počet SVT a štátov, ktoré sa zúčastňujú ich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25.	K § 55 – Z:</w:t>
              <w:br/>
            </w:r>
            <w:r>
              <w:rPr>
                <w:b w:val="off"/>
                <w:color w:val="000000"/>
                <w:rFonts w:ascii="Times New Roman" w:hAnsi="Times New Roman" w:cs="Times New Roman" w:eastAsia="Times New Roman"/>
                <w:sz w:val="24"/>
              </w:rPr>
              <w:t>V § 55 navrhujeme na konci pripojiť tieto slová „...ak osobitný predpis nestanovuje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slovo „inak“ navrhujeme umiestniť nový odkaz 6a).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6a znie: </w:t>
              <w:br/>
            </w:r>
            <w:r>
              <w:rPr>
                <w:b w:val="off"/>
                <w:color w:val="000000"/>
                <w:rFonts w:ascii="Times New Roman" w:hAnsi="Times New Roman" w:cs="Times New Roman" w:eastAsia="Times New Roman"/>
                <w:sz w:val="24"/>
              </w:rPr>
              <w:t>„6a) zákon Národnej rady Slovenskej republiky č. 192/2023 Z. z. o registri trestov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Uvedenou zmenou by sa jednoznačne vylúčili postupy v rámci Európskeho informačného systému registrov trestov (ECRIS).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26.	K § 70 – Z:</w:t>
              <w:br/>
            </w:r>
            <w:r>
              <w:rPr>
                <w:b w:val="off"/>
                <w:color w:val="000000"/>
                <w:rFonts w:ascii="Times New Roman" w:hAnsi="Times New Roman" w:cs="Times New Roman" w:eastAsia="Times New Roman"/>
                <w:sz w:val="24"/>
              </w:rPr>
              <w:t>Považujeme za potrebné  doplniť úpravu vydania občana iného členského štátu Európskej únie do štátu, ktorý nie je jej členským štátom. Články 18 a 21 Zmluvy o fungovaní Európskej únie a Súdny dvor Európskej únie (napríklad v rozsudku C-182/15 Petruhhin) zakotvujú povinnosť členského štátu chrániť občanov iných členských štátov pred vydaním do tretích krajín za rovnakých podmienok ako vlastných občanov [§ 74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Konkrétne to znamená, že ak Slovensko dostane žiadosť o vydanie občana iného členského štátu Európskej únie od tretieho štátu, musí o tejto žiadosti neodkladne informovať členský štát, ktorého je daná osoba štátnym príslušníkom, a na žiadosť domovského členského štátu musí tohto občana Európskej únie odovzdať tomuto domovskému štátu, ak má domovský štát právomoc stíhať danú osobu za skutky spáchané mimo svojho územia. Domovský štát vydá EZR, ktorý má v rámci EÚ prednosť pred dohodami o vydávaní s tretími štátmi.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70 ods. 3 upravujúce príslušnosť súdu na konkrétne konanie je pre aplikujúce orgány nejasné. Návrh zákona používa rôzne označenia príslušného súdu. Rovnako tak aj v ustanovení § 6 ods. 1, § 206 ods. 2, § 206 ods. 3, § 318 ods. 1 a § 360 ods. 1. Je nevyhnutné zjednotiť príslušnosť súdov, rovnako aj následné označenie súdu rozhodujúceho o opravných prostriedkoch, ktorý je v návrhu zákona označený ako nadriadený súd, aj ako krajský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extradícii zastávame názor, že má byť zachovaná príslušnosť krajského súdu z dôvodu náročnosti a zložitosti konania, zaťaženosti okresných súdov v sídle krajov, ktorá je väčšia ako krajských súdov. Možno predpokladať, že bude dochádzať k spomaľovaniu a chybám v rozhodovaní okresných súdov v takýchto konaniach.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uskutočnilo dňa 9.2.2026.</w:t>
              <w:br/>
            </w:r>
            <w:r>
              <w:rPr>
                <w:b w:val="off"/>
                <w:color w:val="000000"/>
                <w:rFonts w:ascii="Times New Roman" w:hAnsi="Times New Roman" w:cs="Times New Roman" w:eastAsia="Times New Roman"/>
                <w:sz w:val="24"/>
              </w:rPr>
              <w:t>Rozpor bol predbežne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 75 znie:</w:t>
              <w:br/>
            </w:r>
            <w:r>
              <w:rPr>
                <w:b w:val="off"/>
                <w:color w:val="000000"/>
                <w:rFonts w:ascii="Times New Roman" w:hAnsi="Times New Roman" w:cs="Times New Roman" w:eastAsia="Times New Roman"/>
                <w:sz w:val="24"/>
              </w:rPr>
              <w:t>Odsek 1 vyjadruje podstatu účelu predbežného vyšetrovania. Nevyhnutné je v tejto súvislosti venovať pozornosť aj prípadu C-182/15 Petruhhin a ak SR dostane žiadosť o vydanie občana iného členského štátu Európskej únie od tretieho štátu, musí o tejto žiadosti neodkladne informovať členský štát, ktorého je daná osoba štátnym príslušníkom, a na žiadosť domovského členského štátu musí tohto občana Európskej únie odovzdať tomuto domovskému štátu, ak má domovský štát právomoc stíhať danú osobu za skutky spáchané mimo svojho územia. Domovský štát vydá EZR, ktorý má v rámci EÚ prednosť pred dohodami o vydávaní s tretími štátmi.  2 stanovuje príslušnosť prokurátora. Odsek 3 upravuje jedno zo základných práv vyžiadanej osoby - právo na obhajcu. Odsek 4 upravuje ďalšie procesné práva vyžiadanej osoby: právo byť vypočutá a právo na doručenie žiadosti o jej vydanie. Táto osobitná úprava práv vyžiadanej osoby reaguje na skutočnosť, že vyžiadaná osoba nemá vo vydávacom konaní postavenie obvineného, a preto jej neprináležia práva, ktoré priznáva Trestný poriadok obvinenému. Odsek 5 upresňuje primerané použitie noriem o výkone väzby aj na výkon predbežnej, resp. vydávacej väzby.</w:t>
              <w:br/>
            </w:r>
            <w:r>
              <w:rPr>
                <w:b w:val="off"/>
                <w:color w:val="000000"/>
                <w:rFonts w:ascii="Times New Roman" w:hAnsi="Times New Roman" w:cs="Times New Roman" w:eastAsia="Times New Roman"/>
                <w:sz w:val="24"/>
              </w:rPr>
              <w:t>Judikatúra európskych súdov bude však naďalej predmetom metodických aktivít ministerstva spravodlivosti v oblasti súdnych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Príslušnosť KS vs. okresných v sídle kraja bude riešená na vyššej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28.	K § 93 ods. 6 – Z:</w:t>
              <w:br/>
            </w:r>
            <w:r>
              <w:rPr>
                <w:b w:val="off"/>
                <w:color w:val="000000"/>
                <w:rFonts w:ascii="Times New Roman" w:hAnsi="Times New Roman" w:cs="Times New Roman" w:eastAsia="Times New Roman"/>
                <w:sz w:val="24"/>
              </w:rPr>
              <w:t>V § 93 odsek 6 navrhujeme slovo „odsúdenom“ nahradiť slovom „odsúdení“.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konci vety nad slovo „trestov“ navrhujeme vložiť nový odkaz 10a).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10a) znie:</w:t>
              <w:br/>
            </w:r>
            <w:r>
              <w:rPr>
                <w:b w:val="off"/>
                <w:color w:val="000000"/>
                <w:rFonts w:ascii="Times New Roman" w:hAnsi="Times New Roman" w:cs="Times New Roman" w:eastAsia="Times New Roman"/>
                <w:sz w:val="24"/>
              </w:rPr>
              <w:t>„10a) § 3 a nasl. zákona č. 192/2023 Z. z. o registri trestov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precizovania právneho jazyka navrhujeme upraviť ustanovenie § 93 odsek 6 návrhu zákona, keďže v registri trestov sa evidujú informácie o osobách a nimi spáchaných trestných činoch výlučne v súvislosti s právoplatnými odsúdeniami.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Ustanovenie § 3 a nasl. zákona č. 192/2023 Z. z. o registri trestov a o zmene a doplnení niektorých zákonov určuje podklady evidencie, na základe ktorých Generálna prokuratúra vykonáva zápis do registra trestov. V rámci výmeny informácií medzi členskými štátmi Európskej únie sa poskytujú iba informácie o právoplatných odsúdeniach fyzických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51.	K § 158 – Z:</w:t>
              <w:br/>
            </w:r>
            <w:r>
              <w:rPr>
                <w:b w:val="off"/>
                <w:color w:val="000000"/>
                <w:rFonts w:ascii="Times New Roman" w:hAnsi="Times New Roman" w:cs="Times New Roman" w:eastAsia="Times New Roman"/>
                <w:sz w:val="24"/>
              </w:rPr>
              <w:t>Ustanovenie § 158  navrhujeme doplniť odsekom 6 v znení:</w:t>
              <w:br/>
            </w:r>
            <w:r>
              <w:rPr>
                <w:b w:val="off"/>
                <w:color w:val="000000"/>
                <w:rFonts w:ascii="Times New Roman" w:hAnsi="Times New Roman" w:cs="Times New Roman" w:eastAsia="Times New Roman"/>
                <w:sz w:val="24"/>
              </w:rPr>
              <w:t>„(6) Orgán, ktorý vydal európsky príkaz, zašle príkaz adresátovi prostredníctvom osvedčenia; európsky príkaz vydaný policajtom podľa odseku 1 písm. b) a odseku 3 písm. b), ktorý potvrdil prokurátor, zašle adresátovi policajt.“.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Zasielanie európskych príkazov podľa tejto hlavy má za cieľ primárne maximálne zefektívnenie konania a urýchlenie reakcie orgánov činných v trestnom konaní na trestnú činnosť páchanú v kybernetickom priestore.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9.2.2026.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v predkladanom znení je v súlade s rámcami a predpokladmi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52.	K § 199 – Z:</w:t>
              <w:br/>
            </w:r>
            <w:r>
              <w:rPr>
                <w:b w:val="off"/>
                <w:color w:val="000000"/>
                <w:rFonts w:ascii="Times New Roman" w:hAnsi="Times New Roman" w:cs="Times New Roman" w:eastAsia="Times New Roman"/>
                <w:sz w:val="24"/>
              </w:rPr>
              <w:t xml:space="preserve">Ustanovenie § 199 navrhujeme doplniť odsekom 6 v tomto znení: </w:t>
              <w:br/>
            </w:r>
            <w:r>
              <w:rPr>
                <w:b w:val="off"/>
                <w:color w:val="000000"/>
                <w:rFonts w:ascii="Times New Roman" w:hAnsi="Times New Roman" w:cs="Times New Roman" w:eastAsia="Times New Roman"/>
                <w:sz w:val="24"/>
              </w:rPr>
              <w:t>„(6) Ak príslušný orgán vykonávajúceho štátu oznámi, že dočasne prevzatá osoba má byť prepustená z väzby, jej prepustenie zabezpečí bez zbytočného odkladu príslušný sudca a v prípravnom konaní sudca pre prípravné konanie na návrh prokurátora, o čom informuje príslušný orgán vykonávajúceho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jednoznačné pravidlo postupu v nadväznosti na odsek 5.</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53.	K § 206 ods. 2 – Z:</w:t>
              <w:br/>
            </w:r>
            <w:r>
              <w:rPr>
                <w:b w:val="off"/>
                <w:color w:val="000000"/>
                <w:rFonts w:ascii="Times New Roman" w:hAnsi="Times New Roman" w:cs="Times New Roman" w:eastAsia="Times New Roman"/>
                <w:sz w:val="24"/>
              </w:rPr>
              <w:t>Príslušnosť na konanie o EZR navrhujeme ponechať na krajskom súde.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Uvedená zmena príslušnosti nie je racionálne zdôvodnená ani v dôvodovej správe k tomuto ustanoveniu. Naviac, zaťaženosť okresných súdov v sídle krajov je väčšia ako zaťaženosť krajských súdov. Sme toho názoru, že na okresných súdoch v sídle kraja s vysokou mierou pravdepodobnosti dôjde k spomaleniu konaní a k väčšej chybovosti pri rozhodovaní v týchto konaniach.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9.2.2026. Otázka ostáva otvorená a bude sa riešiť na vyššej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58.	K § 253 ods. 2 – Z:</w:t>
              <w:br/>
            </w:r>
            <w:r>
              <w:rPr>
                <w:b w:val="off"/>
                <w:color w:val="000000"/>
                <w:rFonts w:ascii="Times New Roman" w:hAnsi="Times New Roman" w:cs="Times New Roman" w:eastAsia="Times New Roman"/>
                <w:sz w:val="24"/>
              </w:rPr>
              <w:t>V § 253 ods. 2 navrhujeme za slová „chránenú osobu a“ vložiť slová „v prípadoch podľa § 248 ods. 4 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253 navrhujeme za odsek 2 vložiť nový odsek 3 v znení: </w:t>
              <w:br/>
            </w:r>
            <w:r>
              <w:rPr>
                <w:b w:val="off"/>
                <w:color w:val="000000"/>
                <w:rFonts w:ascii="Times New Roman" w:hAnsi="Times New Roman" w:cs="Times New Roman" w:eastAsia="Times New Roman"/>
                <w:sz w:val="24"/>
              </w:rPr>
              <w:t>„(3) Rozhodnutie o zrušení následného opatrenia podľa odseku 1 písm. a) sa doručí chránenej osobe a prokurátorovi a v prípade podľa § 248 ods. 4 aj orgánu sociálnoprávnej ochrany detí a sociálnej kurately.“.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3 sa označí ako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Primerane ako v pripomienke k § 249 ods. 2 návrhu zákona.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66.	K § 373 ods. 1 písm. g) – Z:</w:t>
              <w:br/>
            </w:r>
            <w:r>
              <w:rPr>
                <w:b w:val="off"/>
                <w:color w:val="000000"/>
                <w:rFonts w:ascii="Times New Roman" w:hAnsi="Times New Roman" w:cs="Times New Roman" w:eastAsia="Times New Roman"/>
                <w:sz w:val="24"/>
              </w:rPr>
              <w:t>V § 373 ods. 1 písm. g) navrhujeme slovo „údaje“ nahradiť slovom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V nadväznosti na ustanovenie § 21 ods. 1 písm. d) zákona č. 192/2023 Z. z. o registri trestov a o zmene a doplnení niektorých zákonov Generálna prokuratúra vydáva odpis registra trestov. Obsahom verejnej listiny sú informácie o odsúdeniach. Generálna prokuratúra neposkytuje údaje o odsúdeniach.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67.	K § 374 ods. 1 – Z:</w:t>
              <w:br/>
            </w:r>
            <w:r>
              <w:rPr>
                <w:b w:val="off"/>
                <w:color w:val="000000"/>
                <w:rFonts w:ascii="Times New Roman" w:hAnsi="Times New Roman" w:cs="Times New Roman" w:eastAsia="Times New Roman"/>
                <w:sz w:val="24"/>
              </w:rPr>
              <w:t>V § 374 ods. 1 navrhujeme vypustiť písmeno c) z dôvodu, že ide o prežitok.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69.	K § 384 – Z:</w:t>
              <w:br/>
            </w:r>
            <w:r>
              <w:rPr>
                <w:b w:val="off"/>
                <w:color w:val="000000"/>
                <w:rFonts w:ascii="Times New Roman" w:hAnsi="Times New Roman" w:cs="Times New Roman" w:eastAsia="Times New Roman"/>
                <w:sz w:val="24"/>
              </w:rPr>
              <w:t xml:space="preserve">V § 384 navrhujeme druhú vetu uviesť v znení: </w:t>
              <w:br/>
            </w:r>
            <w:r>
              <w:rPr>
                <w:b w:val="off"/>
                <w:color w:val="000000"/>
                <w:rFonts w:ascii="Times New Roman" w:hAnsi="Times New Roman" w:cs="Times New Roman" w:eastAsia="Times New Roman"/>
                <w:sz w:val="24"/>
              </w:rPr>
              <w:t>„Orgány činné v trestnom konaní a súdy sú im pri plnení týchto úloh povinné v rámci svojich právomocí poskytnúť potrebnú súčinnosť.“.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Druhú vetu navrhujeme doplniť o súdy, nakoľko žiadosti o súčinnosť cudzozemských kontaktných bodov sa v niektorých prípadoch týkajú aj vecí vedených v konaní pred súdom.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70.	K § 385 – Z:</w:t>
              <w:br/>
            </w:r>
            <w:r>
              <w:rPr>
                <w:b w:val="off"/>
                <w:color w:val="000000"/>
                <w:rFonts w:ascii="Times New Roman" w:hAnsi="Times New Roman" w:cs="Times New Roman" w:eastAsia="Times New Roman"/>
                <w:sz w:val="24"/>
              </w:rPr>
              <w:t>Ustanovenie § 385 navrhujeme v znení:</w:t>
              <w:br/>
            </w:r>
            <w:r>
              <w:rPr>
                <w:b w:val="off"/>
                <w:color w:val="000000"/>
                <w:rFonts w:ascii="Times New Roman" w:hAnsi="Times New Roman" w:cs="Times New Roman" w:eastAsia="Times New Roman"/>
                <w:sz w:val="24"/>
              </w:rPr>
              <w:t>„Osoby, ktoré plnia úlohu kontaktných bodov Európskej justičnej siete z radov sudcov, vyšších súdnych úradníkov a zamestnancov ministerstva spravodlivosti vymenúva s ich súhlasom minister spravodlivosti, a to na základe ich odborných, jazykových a osobnostných predpokladov. Osoby, ktoré plnia úlohu kontaktných bodov Európskej justičnej siete z radov prokuratúry vymenúva s ich súhlasom generálny prokurátor, a to na základe ich odborných, jazykových a osobnostných predpokladov.“.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aby kontaktné body Európskej justičnej siete z radov prokuratúry boli menované generálnym prokurátorom Slovenskej republiky. Kontaktné body prokuratúry a Ministerstva spravodlivosti majú de iure rovnocenné postavenie a nie je dôvod, aby kontaktné body prokuratúry boli menované ministrom spravodlivosti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9.2.2026.</w:t>
              <w:br/>
            </w:r>
            <w:r>
              <w:rPr>
                <w:b w:val="off"/>
                <w:color w:val="000000"/>
                <w:rFonts w:ascii="Times New Roman" w:hAnsi="Times New Roman" w:cs="Times New Roman" w:eastAsia="Times New Roman"/>
                <w:sz w:val="24"/>
              </w:rPr>
              <w:t>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385 znie:</w:t>
              <w:br/>
            </w:r>
            <w:r>
              <w:rPr>
                <w:b w:val="off"/>
                <w:color w:val="000000"/>
                <w:rFonts w:ascii="Times New Roman" w:hAnsi="Times New Roman" w:cs="Times New Roman" w:eastAsia="Times New Roman"/>
                <w:sz w:val="24"/>
              </w:rPr>
              <w:t>Osoby, ktoré plnia úlohu kontaktných bodov Európskej justičnej siete vymenúva s ich súhlasom ministerstvo spravodlivosti z radov sudcov, vyšších súdnych úradníkov, prokurátorov a zamestnancov ministerstva spravodlivosti, a to na základe ich odborných, jazykových a osobnostných predpokladov. Kontaktné body z radov prokuratúry vymenúva generálny prokurátor a informuje o vymenovaní ministerstvo spravodlivosti.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vplyvov – Z:</w:t>
              <w:br/>
            </w:r>
            <w:r>
              <w:rPr>
                <w:b w:val="off"/>
                <w:color w:val="000000"/>
                <w:rFonts w:ascii="Times New Roman" w:hAnsi="Times New Roman" w:cs="Times New Roman" w:eastAsia="Times New Roman"/>
                <w:sz w:val="24"/>
              </w:rPr>
              <w:t>Generálna prokuratúra v súvislosti s nariadením Európskeho parlamentu a Rady (EÚ) 2023/1543 z 12. júla 2023 o európskych príkazoch na predloženie elektronických dôkazov a európskych príkazoch na uchovanie elektronických dôkazov v trestnom konaní a na výkon trestu odňatia slobody v nadväznosti na trestné konanie (ďalej len „nariadenie 2023/1543“) navrhuje do doložky vplyvov k návrhu zákona vyznačiť negatívny vplyv na verejné financie z dôvodu vytvorenia technického riešenia v súvislosti s nariadením 2023/1543 pre e-dôkazy a digitalizáciu ako takú s odhadom predpokladaných nákladov počas prvého roka prevádzky vo výške 376 000 € - 467 000 € a každý ďalší rok vo výške 270 000 € - 355 000 €.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Ak sa v súvislosti s nariadením 2023/1543 rozhodne, že technické zapojenie poskytovateľov služieb bude zabezpečovať generálna prokuratúra, súčasťou tohto procesu je aj nákladová položka na vytvorenie technického riešenia pre e-dôkazy (bez ohľadu na pripojenie poskytovateľov služieb a RMS), a teda digitalizácie justície ako takej (keďže vytvorené technické riešenie a zabezpečenie bude slúžiť aj pre ostatné nástroje justičnej spolupráce).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Generálna prokuratúra náklady (technické riešenia, jednorazové personálne a každoročné sa opakujúce náklady) odhadla ako je uvedené vyššie s tým, že podrobnejšie finančné vyčíslenie nákladov, ktoré je potrebné predložiť Ministerstvu spravodlivosti Slovenskej republiky do 9. januára 2026, bude precizované a predložené prokuratúrou dodatočne.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9.2.2026 a 9.3.2026,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Spolu s doložkou vplyvov bolo upravené aj paragrafové znenie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157 ods. 4:</w:t>
              <w:br/>
            </w:r>
            <w:r>
              <w:rPr>
                <w:b w:val="off"/>
                <w:color w:val="000000"/>
                <w:rFonts w:ascii="Times New Roman" w:hAnsi="Times New Roman" w:cs="Times New Roman" w:eastAsia="Times New Roman"/>
                <w:sz w:val="24"/>
              </w:rPr>
              <w:t>(4) Administratívne opatrenia súvisiace so zhromažďovaním elektronických dôkazov v trestnom konaní, vrátane prístupu určených prevádzkarní a právnych zástupcov k decentralizovanému informačnému systému, podľa odseku 1 upravuje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157 odkazuje v poznámke na zákon 329/2025 Z.z., ktorý bude súčasne novelizovaný zákonom o niektorých opatreniach súvisiacich s prijatím zákona o medzinárodnej justičnej spolupráci v trestných veciach a o zmene a doplnení niektorých zákonov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329/2025 Z. z. o niektorých administratívnych opatreniach súvisiacich so zhromažďovaním elektronických dôkazov v trestnom konaní a o zmene a doplnení niektorých zákonov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7 sa slovo „rada“ nahrádza slovami „Generálna prokuratúra Slovenskej republiky v súčinnosti s radou.“.</w:t>
              <w:br/>
            </w:r>
            <w:r>
              <w:rPr>
                <w:b w:val="off"/>
                <w:color w:val="000000"/>
                <w:rFonts w:ascii="Times New Roman" w:hAnsi="Times New Roman" w:cs="Times New Roman" w:eastAsia="Times New Roman"/>
                <w:sz w:val="24"/>
              </w:rPr>
              <w:t>V tomto smere bola náležite upravená aj dôvodová správa k zákonu o niektorých opatreniach súvisiacich s prijatím zákona o medzinárodnej justičnej spolupráci v trestných veciach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 2 písm. e) – O:</w:t>
              <w:br/>
            </w:r>
            <w:r>
              <w:rPr>
                <w:b w:val="off"/>
                <w:color w:val="000000"/>
                <w:rFonts w:ascii="Times New Roman" w:hAnsi="Times New Roman" w:cs="Times New Roman" w:eastAsia="Times New Roman"/>
                <w:sz w:val="24"/>
              </w:rPr>
              <w:t>V § 2 písm. e) navrhujeme pred slová „justičným orgánom“ vložiť slovo „slovenským“.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sa pojem „justičný orgán“ používa aj vo vzťahu k cudzím justičným orgánom (napríklad § 14 ods. 3, § 43 ods. 5, § 110 ods. 2 atď.), čo je problematické. „Slovenským justičným orgánom“ sa totiž skutočne vždy rozumie príslušná prokuratúra alebo príslušný súd, ale „cudzím justičným orgánom“ sa nie vždy rozumie aj prokuratúra (napríklad v ustanoveniach § 18 ods. 1, 3, 6 sa používa slovenský).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čiastočne akceptovaná. Upravila sa terminológia v celom zákone, aby vytvárala jednotný celok.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 2 – O:</w:t>
              <w:br/>
            </w:r>
            <w:r>
              <w:rPr>
                <w:b w:val="off"/>
                <w:color w:val="000000"/>
                <w:rFonts w:ascii="Times New Roman" w:hAnsi="Times New Roman" w:cs="Times New Roman" w:eastAsia="Times New Roman"/>
                <w:sz w:val="24"/>
              </w:rPr>
              <w:t>Ustanovenie § 2 navrhujeme doplniť o ďalšie písmeno upravujúce nový pojem „originál“.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niekoľkokrát používa v rôznej súvislosti odkaz na originál dokumentu (žiadosti, osvedčenia), ktorý má pre procesné postupy zásadný význam. Implicitne sa predpokladá, že by malo ísť o klasický papierový dokument. Javí sa nám užitočné definovať pojem „originál“ v súvislostiach aj vo vzťahu k originálom podpísanými hodnoverným elektronickým podpisom.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Navrhovaný pojem stráca opodstatnenosť v prípade očakávanej digitalizácie v priestore EÚ a bude v tejto súvislosti kontextuálne prehodnotený.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 13 – O:</w:t>
              <w:br/>
            </w:r>
            <w:r>
              <w:rPr>
                <w:b w:val="off"/>
                <w:color w:val="000000"/>
                <w:rFonts w:ascii="Times New Roman" w:hAnsi="Times New Roman" w:cs="Times New Roman" w:eastAsia="Times New Roman"/>
                <w:sz w:val="24"/>
              </w:rPr>
              <w:t>V § 13 navrhujeme doterajší text označiť ako odsek 1 a doplniť ho odsekom 2, napríklad, v znení:</w:t>
              <w:br/>
            </w:r>
            <w:r>
              <w:rPr>
                <w:b w:val="off"/>
                <w:color w:val="000000"/>
                <w:rFonts w:ascii="Times New Roman" w:hAnsi="Times New Roman" w:cs="Times New Roman" w:eastAsia="Times New Roman"/>
                <w:sz w:val="24"/>
              </w:rPr>
              <w:t>„(2) Dôkazy zabezpečené justičným orgánom v trestnom konaní vedenom v Slovenskej republike môžu byť poskytnuté cudziemu justičnému orgánu alebo štátu len so súhlasom justičného orgánu Slovenskej republiky, ktorý ich zaobstaral.“.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zrozumiteľnosť sa navrhované ustanovenie javí jednoznačnejšie z hľadiska aplikácie.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 14 – O:</w:t>
              <w:br/>
            </w:r>
            <w:r>
              <w:rPr>
                <w:b w:val="off"/>
                <w:color w:val="000000"/>
                <w:rFonts w:ascii="Times New Roman" w:hAnsi="Times New Roman" w:cs="Times New Roman" w:eastAsia="Times New Roman"/>
                <w:sz w:val="24"/>
              </w:rPr>
              <w:t>V § 14 odporúčame zvážiť doplnenie jeho nadpisu, nakoľko sa „de facto“ spontánne môžu poskytnúť aj dôkazy.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K § 21 – O:</w:t>
              <w:br/>
            </w:r>
            <w:r>
              <w:rPr>
                <w:b w:val="off"/>
                <w:color w:val="000000"/>
                <w:rFonts w:ascii="Times New Roman" w:hAnsi="Times New Roman" w:cs="Times New Roman" w:eastAsia="Times New Roman"/>
                <w:sz w:val="24"/>
              </w:rPr>
              <w:t>V § 21 ods. 2 odporúčame pred slová „podľa odseku 1“ vložiť slovo „ako“.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zasielanie žiadostí o právnu pomoc do cudziny, je potrebné zvážiť aj zasielanie žiadostí poskytovateľom služieb v kontexte prijatia Druhého dodatkového protokolu k Budapeštianskemu dohovoru (ETS 185), čo umožňujú články 6 a 7 tohto protokolu (čo má za cieľ urýchliť výmenu informácií a zabezpečiť menej intruzívne elektronické dôkazy).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doplniť možnosť, resp. podmienky elektronickej formy zasielania žiadostí o právnu pomoc.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	K § 35 – O:</w:t>
              <w:br/>
            </w:r>
            <w:r>
              <w:rPr>
                <w:b w:val="off"/>
                <w:color w:val="000000"/>
                <w:rFonts w:ascii="Times New Roman" w:hAnsi="Times New Roman" w:cs="Times New Roman" w:eastAsia="Times New Roman"/>
                <w:sz w:val="24"/>
              </w:rPr>
              <w:t>V § 35 ods. 3 odporúčame v druhej vete slovo „nevybavené“ nahradiť slovom „nevybavenú“.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	K § 36 – O:</w:t>
              <w:br/>
            </w:r>
            <w:r>
              <w:rPr>
                <w:b w:val="off"/>
                <w:color w:val="000000"/>
                <w:rFonts w:ascii="Times New Roman" w:hAnsi="Times New Roman" w:cs="Times New Roman" w:eastAsia="Times New Roman"/>
                <w:sz w:val="24"/>
              </w:rPr>
              <w:t>V § 36 odporúčame zjednotiť pojmy „strany“ a „účastníkov“ použité v odsekoch 1 a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	K § 43 ods. 1 písm. a) – O:</w:t>
              <w:br/>
            </w:r>
            <w:r>
              <w:rPr>
                <w:b w:val="off"/>
                <w:color w:val="000000"/>
                <w:rFonts w:ascii="Times New Roman" w:hAnsi="Times New Roman" w:cs="Times New Roman" w:eastAsia="Times New Roman"/>
                <w:sz w:val="24"/>
              </w:rPr>
              <w:t>V § 43 ods. 1 písm. a) navrhujeme za slovo „úkonov“ vložiť slovo „dokazovania“.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	K § 43 ods. 1 písm. c) – O:</w:t>
              <w:br/>
            </w:r>
            <w:r>
              <w:rPr>
                <w:b w:val="off"/>
                <w:color w:val="000000"/>
                <w:rFonts w:ascii="Times New Roman" w:hAnsi="Times New Roman" w:cs="Times New Roman" w:eastAsia="Times New Roman"/>
                <w:sz w:val="24"/>
              </w:rPr>
              <w:t>V § 43 ods. 1 písm. c) navrhujeme za slovo „úkonov“ vložiť slovo „dokazovania“.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	K § 43 ods. 2 písm. e) – O:</w:t>
              <w:br/>
            </w:r>
            <w:r>
              <w:rPr>
                <w:b w:val="off"/>
                <w:color w:val="000000"/>
                <w:rFonts w:ascii="Times New Roman" w:hAnsi="Times New Roman" w:cs="Times New Roman" w:eastAsia="Times New Roman"/>
                <w:sz w:val="24"/>
              </w:rPr>
              <w:t xml:space="preserve">V § 43 ods. 2 písm. e) navrhujeme vypustiť slová „spôsob vedenia“ a „zodpovednosť“ členov spoločného vyšetrovacieho tímu (ďalej len „SVT“).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čo má zákonodarca pod týmito pojmami na mysli.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prvky, ktoré majú obsahovať zodpovednostný režim členov SVT a formu jeho vedenia.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18.	K § 43 ods. 7 – O:</w:t>
              <w:br/>
            </w:r>
            <w:r>
              <w:rPr>
                <w:b w:val="off"/>
                <w:color w:val="000000"/>
                <w:rFonts w:ascii="Times New Roman" w:hAnsi="Times New Roman" w:cs="Times New Roman" w:eastAsia="Times New Roman"/>
                <w:sz w:val="24"/>
              </w:rPr>
              <w:t xml:space="preserve">V § 43 ods. 7 navrhujeme uviesť v tomto znení: </w:t>
              <w:br/>
            </w:r>
            <w:r>
              <w:rPr>
                <w:b w:val="off"/>
                <w:color w:val="000000"/>
                <w:rFonts w:ascii="Times New Roman" w:hAnsi="Times New Roman" w:cs="Times New Roman" w:eastAsia="Times New Roman"/>
                <w:sz w:val="24"/>
              </w:rPr>
              <w:t>„(7) Ak za podmienok podľa odseku 1 žiada o vytvorenie spoločného vyšetrovacieho tímu príslušný orgán cudzieho štátu, odseky 1, 3, 4, 5 a 6 sa použijú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odseku 4 navrhujeme z dôvodu logickosti, pretože sa bude aplikovať primerane aj v prípade, že o zriadenie SVT požiada cudzozemský orgán.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	K § 44 ods. 2 – O:</w:t>
              <w:br/>
            </w:r>
            <w:r>
              <w:rPr>
                <w:b w:val="off"/>
                <w:color w:val="000000"/>
                <w:rFonts w:ascii="Times New Roman" w:hAnsi="Times New Roman" w:cs="Times New Roman" w:eastAsia="Times New Roman"/>
                <w:sz w:val="24"/>
              </w:rPr>
              <w:t xml:space="preserve">V § 44 ods. 2 navrhujeme druhú vetu uviesť v znení: </w:t>
              <w:br/>
            </w:r>
            <w:r>
              <w:rPr>
                <w:b w:val="off"/>
                <w:color w:val="000000"/>
                <w:rFonts w:ascii="Times New Roman" w:hAnsi="Times New Roman" w:cs="Times New Roman" w:eastAsia="Times New Roman"/>
                <w:sz w:val="24"/>
              </w:rPr>
              <w:t>„... V žiadosti sa uvedie aj to, že právna pomoc sa žiada na účely vyšetrovania vedeného spoločným vyšetrovacím tímom.“.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20.	K § 45 ods. 2 – O:</w:t>
              <w:br/>
            </w:r>
            <w:r>
              <w:rPr>
                <w:b w:val="off"/>
                <w:color w:val="000000"/>
                <w:rFonts w:ascii="Times New Roman" w:hAnsi="Times New Roman" w:cs="Times New Roman" w:eastAsia="Times New Roman"/>
                <w:sz w:val="24"/>
              </w:rPr>
              <w:t xml:space="preserve">V § 45 navrhujeme odsek 2 uviesť v tomto znení: </w:t>
              <w:br/>
            </w:r>
            <w:r>
              <w:rPr>
                <w:b w:val="off"/>
                <w:color w:val="000000"/>
                <w:rFonts w:ascii="Times New Roman" w:hAnsi="Times New Roman" w:cs="Times New Roman" w:eastAsia="Times New Roman"/>
                <w:sz w:val="24"/>
              </w:rPr>
              <w:t>„(2) Členovia spoločného vyšetrovacieho tímu plnia svoje úlohy pod vedením vedúceho, pričom sú viazaní medzinárodnými zmluvami, právnym poriadkom Slovenskej republiky a podmienkami ustanovenými v dohode o spoločnom vyšetrovacom tíme.“.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Činnosť SVT je upravená najmä medzinárodnými zmluvami, ktoré sú podkladom na zriadenie SVT a ktoré podrobne upravujú jeho pôsobenie a činnosť.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21.	K § 45 ods. 3 – O:</w:t>
              <w:br/>
            </w:r>
            <w:r>
              <w:rPr>
                <w:b w:val="off"/>
                <w:color w:val="000000"/>
                <w:rFonts w:ascii="Times New Roman" w:hAnsi="Times New Roman" w:cs="Times New Roman" w:eastAsia="Times New Roman"/>
                <w:sz w:val="24"/>
              </w:rPr>
              <w:t>Z dôvodu úplnosti a logickosti odporúčame v § 45 ods. 3 druhej vete za slovo „nemôžu“ vložiť slovo „samostatne“.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22.	K § 46 ods. 2 – O:</w:t>
              <w:br/>
            </w:r>
            <w:r>
              <w:rPr>
                <w:b w:val="off"/>
                <w:color w:val="000000"/>
                <w:rFonts w:ascii="Times New Roman" w:hAnsi="Times New Roman" w:cs="Times New Roman" w:eastAsia="Times New Roman"/>
                <w:sz w:val="24"/>
              </w:rPr>
              <w:t xml:space="preserve">V § 46 ods. 2 písmeno b) navrhujeme uviesť v tomto znení: </w:t>
              <w:br/>
            </w:r>
            <w:r>
              <w:rPr>
                <w:b w:val="off"/>
                <w:color w:val="000000"/>
                <w:rFonts w:ascii="Times New Roman" w:hAnsi="Times New Roman" w:cs="Times New Roman" w:eastAsia="Times New Roman"/>
                <w:sz w:val="24"/>
              </w:rPr>
              <w:t xml:space="preserve">„b) jej neprítomnosťou sa nezmarí účel trestného konania vedeného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reflektuje na situáciu, kedy by dočasným odovzdaním osoby na vykonanie úkonov do cudziny mohol byť zmarený účel trestného konania vedeného v Slovenskej republike.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vložené nové písmeno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23.	K § 51 ods. 2 – O:</w:t>
              <w:br/>
            </w:r>
            <w:r>
              <w:rPr>
                <w:b w:val="off"/>
                <w:color w:val="000000"/>
                <w:rFonts w:ascii="Times New Roman" w:hAnsi="Times New Roman" w:cs="Times New Roman" w:eastAsia="Times New Roman"/>
                <w:sz w:val="24"/>
              </w:rPr>
              <w:t xml:space="preserve">Ustanovenie § 51 odsek 2 navrhujeme uviesť v znení: </w:t>
              <w:br/>
            </w:r>
            <w:r>
              <w:rPr>
                <w:b w:val="off"/>
                <w:color w:val="000000"/>
                <w:rFonts w:ascii="Times New Roman" w:hAnsi="Times New Roman" w:cs="Times New Roman" w:eastAsia="Times New Roman"/>
                <w:sz w:val="24"/>
              </w:rPr>
              <w:t xml:space="preserve">„(2) Dožiadaný orgán môže odložiť odovzdanie zaistenej veci, ak ju justičné orgány potrebujú v trestnom konaní alebo z iných dôležitých dôvodov.“.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tohto ustanovenia doplniť slovné spojenie „alebo z iných dôležitých dôvodov“. Reflektuje sa na situáciu, kedy bude potrebné odložiť odovzdanie zaistenej veci aj z iných dôvodov, ako je len jej potrebnosť v trestnom konaní.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24.	K § 54 – O:</w:t>
              <w:br/>
            </w:r>
            <w:r>
              <w:rPr>
                <w:b w:val="off"/>
                <w:color w:val="000000"/>
                <w:rFonts w:ascii="Times New Roman" w:hAnsi="Times New Roman" w:cs="Times New Roman" w:eastAsia="Times New Roman"/>
                <w:sz w:val="24"/>
              </w:rPr>
              <w:t xml:space="preserve">V § 54 navrhujeme slová: </w:t>
              <w:br/>
            </w:r>
            <w:r>
              <w:rPr>
                <w:b w:val="off"/>
                <w:color w:val="000000"/>
                <w:rFonts w:ascii="Times New Roman" w:hAnsi="Times New Roman" w:cs="Times New Roman" w:eastAsia="Times New Roman"/>
                <w:sz w:val="24"/>
              </w:rPr>
              <w:t>„Medzinárodného trestného súdu podľa Rímskeho štatútu“ nahradiť slovami „medzinárodného súdu“. Uvedenú zmenu navrhujeme s ohľadom na komplexnú definíciu v § 2 písm. c)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27.	K § 91 – O:</w:t>
              <w:br/>
            </w:r>
            <w:r>
              <w:rPr>
                <w:b w:val="off"/>
                <w:color w:val="000000"/>
                <w:rFonts w:ascii="Times New Roman" w:hAnsi="Times New Roman" w:cs="Times New Roman" w:eastAsia="Times New Roman"/>
                <w:sz w:val="24"/>
              </w:rPr>
              <w:t>Z dôvodov logickej nadväznosti navrhujeme odsek 3 označiť ako odsek 2 a odsek 2 označiť ako odsek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29.	K § 107 ods. 1 písm. i) – O:</w:t>
              <w:br/>
            </w:r>
            <w:r>
              <w:rPr>
                <w:b w:val="off"/>
                <w:color w:val="000000"/>
                <w:rFonts w:ascii="Times New Roman" w:hAnsi="Times New Roman" w:cs="Times New Roman" w:eastAsia="Times New Roman"/>
                <w:sz w:val="24"/>
              </w:rPr>
              <w:t>V § 107 ods. 1 písm. i) navrhujeme slová „Európsky dohovor Rady Európy z 20. apríla 1959 o vzájomnej pomoci v trestných veciach“ nahradiť slovami „Európsky dohovor o vzájomnej pomoci v trestných veciach z 20. apríla 1959“.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30.	K § 107 ods. 1 písm. k) – O:</w:t>
              <w:br/>
            </w:r>
            <w:r>
              <w:rPr>
                <w:b w:val="off"/>
                <w:color w:val="000000"/>
                <w:rFonts w:ascii="Times New Roman" w:hAnsi="Times New Roman" w:cs="Times New Roman" w:eastAsia="Times New Roman"/>
                <w:sz w:val="24"/>
              </w:rPr>
              <w:t>V § 107 ods. 1 písm. k) navrhujeme slová „Dohovor z 29. mája 2000 o vzájomnej pomoci v trestných veciach medzi členskými štátmi Európskej únie“ nahradiť slovami „Dohovor o vzájomnej pomoci v trestných veciach medzi členskými štátmi Európskej únie z 29. mája 2000“.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31.	K § 108 – O:</w:t>
              <w:br/>
            </w:r>
            <w:r>
              <w:rPr>
                <w:b w:val="off"/>
                <w:color w:val="000000"/>
                <w:rFonts w:ascii="Times New Roman" w:hAnsi="Times New Roman" w:cs="Times New Roman" w:eastAsia="Times New Roman"/>
                <w:sz w:val="24"/>
              </w:rPr>
              <w:t>V § 108 upozorňujeme na nesprávny odkaz na poznámku pod čiarou číslo 16. Odkaz vo vzťahu k medzinárodnej zmluve navrhujeme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Odkaz s ohľadom na medzinárodnú zmluvu a dotknuté štáty predstavuje výnimku z obmedzenia pri definičnom vymedzení členských štátov na základe členstva v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32.	K § 110 – O:</w:t>
              <w:br/>
            </w:r>
            <w:r>
              <w:rPr>
                <w:b w:val="off"/>
                <w:color w:val="000000"/>
                <w:rFonts w:ascii="Times New Roman" w:hAnsi="Times New Roman" w:cs="Times New Roman" w:eastAsia="Times New Roman"/>
                <w:sz w:val="24"/>
              </w:rPr>
              <w:t>Ustanovenie § 110 navrhujeme doplniť odsekom 3 v tomto znení:</w:t>
              <w:br/>
            </w:r>
            <w:r>
              <w:rPr>
                <w:b w:val="off"/>
                <w:color w:val="000000"/>
                <w:rFonts w:ascii="Times New Roman" w:hAnsi="Times New Roman" w:cs="Times New Roman" w:eastAsia="Times New Roman"/>
                <w:sz w:val="24"/>
              </w:rPr>
              <w:t>„(3) Ak právna úprava Európskej únie stanovuje využívanie digitálneho nástroja komunikácie a tento je v podmienkach Slovenskej republiky implementovaný, použije sa tento nástroj.“.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potrebné zaviesť právny základ na používanie nástrojov digitálnej justície v Európskej únii.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ustanovení by bolo vhodné zohľadniť zasielanie európskych príkazov na predloženie/uchovanie elektronických dôkazov priamo policajtmi poskytovateľom služieb aj touto formou styku.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Digitalizácia z hľadiska uplatniteľnosti je založená nariadením 2023/2844 a preto vymedzenie nie je  v tejto fáze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33.	K § 114 ods. 1, ods. 4 – O:</w:t>
              <w:br/>
            </w:r>
            <w:r>
              <w:rPr>
                <w:b w:val="off"/>
                <w:color w:val="000000"/>
                <w:rFonts w:ascii="Times New Roman" w:hAnsi="Times New Roman" w:cs="Times New Roman" w:eastAsia="Times New Roman"/>
                <w:sz w:val="24"/>
              </w:rPr>
              <w:t>Z dôvodu prehľadnosti navrhujeme odsek 1 uviesť, napríklad, v znení:</w:t>
              <w:br/>
            </w:r>
            <w:r>
              <w:rPr>
                <w:b w:val="off"/>
                <w:color w:val="000000"/>
                <w:rFonts w:ascii="Times New Roman" w:hAnsi="Times New Roman" w:cs="Times New Roman" w:eastAsia="Times New Roman"/>
                <w:sz w:val="24"/>
              </w:rPr>
              <w:t>„(1) Ak možno dôvodne predpokladať, že sa v inom členskom štáte vedie alebo viedlo trestné konanie proti tej istej osobe pre ten istý skutok, ktorý je predmetom trestného konania vedeného v Slovenskej republike, súd alebo prokurátor, ktorý vedie trestné konanie, požiada príslušný orgán iného členského štátu, aby mu v ním určenej lehote poskytol informácie o tom, či sa v danom členskom štáte vedie alebo viedlo takéto súbežné trestné konanie a v kladnom prípade aj informáciu o štádiu prebiehajúceho súbežného trestného konania v tomto členskom štáte alebo o povahe konečného rozhodnutia v danej trestnej veci; tento postup sa neuplatní, ak justičný orgán je o existencii takéhoto konania informovaný iným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4, v druhej a v tretej vete navrhujeme pred slová „justičnému orgánu“ vložiť slovo „príslušnému“.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v jej druhej časti akceptovaná.</w:t>
              <w:br/>
            </w:r>
            <w:r>
              <w:rPr>
                <w:b w:val="off"/>
                <w:color w:val="000000"/>
                <w:rFonts w:ascii="Times New Roman" w:hAnsi="Times New Roman" w:cs="Times New Roman" w:eastAsia="Times New Roman"/>
                <w:sz w:val="24"/>
              </w:rPr>
              <w:t>Znenie aktuálneho ods. 1 lepšie akcentuje podstatu konzultácií v súbehu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34.	K § 117 – O:</w:t>
              <w:br/>
            </w:r>
            <w:r>
              <w:rPr>
                <w:b w:val="off"/>
                <w:color w:val="000000"/>
                <w:rFonts w:ascii="Times New Roman" w:hAnsi="Times New Roman" w:cs="Times New Roman" w:eastAsia="Times New Roman"/>
                <w:sz w:val="24"/>
              </w:rPr>
              <w:t>Ustanovenie § 117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Vymedzenie účelu sa v celom zákone vyskytuje iba pri každej hlave v tretej časti a v prvej hlave štvrtej časti a nemá normotvorný obsah.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Text ustanovenia definuje a tým odlišuje predmet úpravy dotknutej hlavy.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35.	K § 120 ods. 1 – O:</w:t>
              <w:br/>
            </w:r>
            <w:r>
              <w:rPr>
                <w:b w:val="off"/>
                <w:color w:val="000000"/>
                <w:rFonts w:ascii="Times New Roman" w:hAnsi="Times New Roman" w:cs="Times New Roman" w:eastAsia="Times New Roman"/>
                <w:sz w:val="24"/>
              </w:rPr>
              <w:t>V tretej vete navrhujeme slovo „možno“ nahradiť slovami „môže justičný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Pravidlo, že Európsky vyšetrovací príkaz (ďalej len „EVP“) možno vydať aj na základe žiadosti obvineného, jeho zákonného zástupcu alebo jeho obhajcu má za cieľ upraviť, že justičný orgán tak môže postupovať nielen na návrh orgánu vykonávajúceho vyšetrovanie, ale aj na základe žiadosti obvineného, jeho zákonného zástupcu alebo jeho obhajcu podanej či už priamo justičnému orgánu alebo prostredníctvom orgánu vykonávajúceho vyšetrovanie.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36.	K § 122 ods. 1 – O:</w:t>
              <w:br/>
            </w:r>
            <w:r>
              <w:rPr>
                <w:b w:val="off"/>
                <w:color w:val="000000"/>
                <w:rFonts w:ascii="Times New Roman" w:hAnsi="Times New Roman" w:cs="Times New Roman" w:eastAsia="Times New Roman"/>
                <w:sz w:val="24"/>
              </w:rPr>
              <w:t>V § 122 ods. 1 poslednú vetu navrhujeme preformulovať takto: „Na zmenu skutočností rozhodných pre určenie príslušnosti, ktorá nastala po doručení európskeho vyšetrovacieho príkazu alebo po rozhodnutí generálnej prokuratúry, sa neprihliada.“.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37.	K § 132 ods. 2 – O:</w:t>
              <w:br/>
            </w:r>
            <w:r>
              <w:rPr>
                <w:b w:val="off"/>
                <w:color w:val="000000"/>
                <w:rFonts w:ascii="Times New Roman" w:hAnsi="Times New Roman" w:cs="Times New Roman" w:eastAsia="Times New Roman"/>
                <w:sz w:val="24"/>
              </w:rPr>
              <w:t>V § 132 ods. 2 v prvej vete navrhujeme slovo „spôsobenú“ nahradiť slovom „spôsobenej“.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38.	K § 135 ods. 2 – O:</w:t>
              <w:br/>
            </w:r>
            <w:r>
              <w:rPr>
                <w:b w:val="off"/>
                <w:color w:val="000000"/>
                <w:rFonts w:ascii="Times New Roman" w:hAnsi="Times New Roman" w:cs="Times New Roman" w:eastAsia="Times New Roman"/>
                <w:sz w:val="24"/>
              </w:rPr>
              <w:t>V § 135 ods. 2 písm. a) navrhujeme vypustiť slová „nemá v konaní v cudzine postavenie obvineného a“. Táto podmienka nemá oporu v Smernici (EÚ) o európskom vyšetrovacom príkaze v trestných veciach (ďalej len „Smernica“).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135 ods. 2 nie je v plnom súlade so Smernicou, ktorá v čl. 22 ods. 2 ustanovuje, že v prípadoch uvedených v § 135 ods. 2 „možno odmietnuť vykonať EVP“, nie že v týchto prípadoch nemožno EVP vydať (argumentum a contrario možno vydať EVP, len ak sú splnené podmienky, inak 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v jej prvej časti. Koncept odseku 2 sleduje cieľ smernice v čl. 23</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39.	K § 137 ods. 3 – O:</w:t>
              <w:br/>
            </w:r>
            <w:r>
              <w:rPr>
                <w:b w:val="off"/>
                <w:color w:val="000000"/>
                <w:rFonts w:ascii="Times New Roman" w:hAnsi="Times New Roman" w:cs="Times New Roman" w:eastAsia="Times New Roman"/>
                <w:sz w:val="24"/>
              </w:rPr>
              <w:t>V § 137 ods. 3 navrhujeme slová „sa neuviedol“ nahradiť slovami „nebol uvedený“.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40.	K § 138 – O:</w:t>
              <w:br/>
            </w:r>
            <w:r>
              <w:rPr>
                <w:b w:val="off"/>
                <w:color w:val="000000"/>
                <w:rFonts w:ascii="Times New Roman" w:hAnsi="Times New Roman" w:cs="Times New Roman" w:eastAsia="Times New Roman"/>
                <w:sz w:val="24"/>
              </w:rPr>
              <w:t>V § 138 navrhujeme slová „na účely dočasného prevzatia“ nahradiť slovami „na dočasné prevzatie“.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41.	K § 140 ods. 1 – O:</w:t>
              <w:br/>
            </w:r>
            <w:r>
              <w:rPr>
                <w:b w:val="off"/>
                <w:color w:val="000000"/>
                <w:rFonts w:ascii="Times New Roman" w:hAnsi="Times New Roman" w:cs="Times New Roman" w:eastAsia="Times New Roman"/>
                <w:sz w:val="24"/>
              </w:rPr>
              <w:t>S cieľom upresniť, že vypočúvaná osoba má postavenie podozrivého, obvineného, svedka alebo znalca vo vydávajúcom štáte, navrhujeme znenie odseku 1 upraviť, napríklad,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sú splnené podmienky na výkon európskeho vyšetrovacieho príkazu na účel uskutočnenia výsluchu osoby, ktorá sa nachádza na území Slovenskej republiky, a príslušné orgány vydávajúceho štátu ju majú vypočuť ako podozrivého, obvineného, svedka alebo znalca prostredníctvom videokonferenčného zariadenia, vykonávajúci justičný orgán umožní vydávajúcemu orgánu uskutočnenie takého výsluchu.“.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textu dostatočne vystihuje postavenie dotknutých kategórií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42.	K § 140 ods. 2 – O:</w:t>
              <w:br/>
            </w:r>
            <w:r>
              <w:rPr>
                <w:b w:val="off"/>
                <w:color w:val="000000"/>
                <w:rFonts w:ascii="Times New Roman" w:hAnsi="Times New Roman" w:cs="Times New Roman" w:eastAsia="Times New Roman"/>
                <w:sz w:val="24"/>
              </w:rPr>
              <w:t>V § 140 ods. 2 navrhujeme v súlade s čl. 24 ods. 2 Smernice slovo „odmietne“ nahradiť slovami „môže odmietnuť“.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43.	K § 141 ods. 1 – O:</w:t>
              <w:br/>
            </w:r>
            <w:r>
              <w:rPr>
                <w:b w:val="off"/>
                <w:color w:val="000000"/>
                <w:rFonts w:ascii="Times New Roman" w:hAnsi="Times New Roman" w:cs="Times New Roman" w:eastAsia="Times New Roman"/>
                <w:sz w:val="24"/>
              </w:rPr>
              <w:t>V § 141 ods. 1 navrhujeme slová „svedka alebo znalca nachádzajúceho sa na území Slovenskej republiky“ nahradiť slovami „osoby, ktorá sa nachádza na území Slovenskej republiky a príslušné orgány vydávajúceho štátu ju majú vypočuť ako svedka alebo znalca“.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44.	K § 142 ods. 1 písm. a) – O:</w:t>
              <w:br/>
            </w:r>
            <w:r>
              <w:rPr>
                <w:b w:val="off"/>
                <w:color w:val="000000"/>
                <w:rFonts w:ascii="Times New Roman" w:hAnsi="Times New Roman" w:cs="Times New Roman" w:eastAsia="Times New Roman"/>
                <w:sz w:val="24"/>
              </w:rPr>
              <w:t>Formulácia § 142 ods. 1 písm. a) nie je v plnom súlade s ustanovením čl. 26 Smernice. Podľa § 142 ods. 1 možno vydať EVP na  zistenie informácií o majiteľovi účtu alebo o finančnej inštitúcii alebo osobe, ktorá má k účtu dispozičné právo a ďalších skutočnostiach o účte.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v čl. 26 ustanovuje možnosť vydať EVP na zistenie, či je fyzická alebo právnická osoba, voči ktorej sa vedie príslušné trestné konanie, majiteľom jedného alebo viacerých účtov alebo má k takýmto účtom dispozičné práva, a ak to tak je, na účely získania všetkých podrobností o zistených účtoch. Umožňuje teda získať nielen informácie o konkrétnom účte, ale aj zistiť, či určitá osoba – a týka sa to len osoby, voči ktorej sa vedie príslušné trestné konanie – je vôbec majiteľom nejakého účtu.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Transpozičné legislatívne opatrenie zahŕňa aj nevyhnutné aspekty čl. 26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45.	K § 143 ods. 1 písm. a) – O:</w:t>
              <w:br/>
            </w:r>
            <w:r>
              <w:rPr>
                <w:b w:val="off"/>
                <w:color w:val="000000"/>
                <w:rFonts w:ascii="Times New Roman" w:hAnsi="Times New Roman" w:cs="Times New Roman" w:eastAsia="Times New Roman"/>
                <w:sz w:val="24"/>
              </w:rPr>
              <w:t>K tomuto ustanoveniu uplatňujeme rovnakú pripomienku ako k § 142 ods. 1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legislatívne opatrenie zahŕňa aj nevyhnutné aspekty čl. 26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46.	K § 148 ods. 2 – O:</w:t>
              <w:br/>
            </w:r>
            <w:r>
              <w:rPr>
                <w:b w:val="off"/>
                <w:color w:val="000000"/>
                <w:rFonts w:ascii="Times New Roman" w:hAnsi="Times New Roman" w:cs="Times New Roman" w:eastAsia="Times New Roman"/>
                <w:sz w:val="24"/>
              </w:rPr>
              <w:t>V odseku 2 navrhujeme vypustiť spojku „a“.  Na konci navrhujeme pripojiť tieto slová: „a dôvody, prečo sa vydávajúci orgán domnieva, že uvedené vyšetrovacie opatrenie je relevantné na účely príslušného trestného konania“. Ide o zosúladenie s čl. 30 ods. 4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Hrozila by duplicita s ustanoveniami § 121 ods. 1 písm. b) (+viď príloha č. 12 odd. H7).</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47.	K § 149 ods. 6 – O:</w:t>
              <w:br/>
            </w:r>
            <w:r>
              <w:rPr>
                <w:b w:val="off"/>
                <w:color w:val="000000"/>
                <w:rFonts w:ascii="Times New Roman" w:hAnsi="Times New Roman" w:cs="Times New Roman" w:eastAsia="Times New Roman"/>
                <w:sz w:val="24"/>
              </w:rPr>
              <w:t>Odsek 6 navrhujeme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Vydávajúci orgán v Európskom vyšetrovacom príkaze uvedie údaje nevyhnutné na zistenie totožnosti odpočúvanej osoby, doby, počas ktorej má byť odpočúvanie vykonávané, potrebné technické údaje a dôvody, prečo sa vydávajúci orgán domnieva, že uvedené vyšetrovacie opatrenie je relevantné na účely príslušného trestného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čl. 30 ods. 4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Čl. 30 ods. 4 smernice je plne transponovaný v § 121 ods. 1 psím.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48.	K § 150 ods. 1 a ods. 2 – O:</w:t>
              <w:br/>
            </w:r>
            <w:r>
              <w:rPr>
                <w:b w:val="off"/>
                <w:color w:val="000000"/>
                <w:rFonts w:ascii="Times New Roman" w:hAnsi="Times New Roman" w:cs="Times New Roman" w:eastAsia="Times New Roman"/>
                <w:sz w:val="24"/>
              </w:rPr>
              <w:t>Znenie § 150 ods. 1 nerozlišuje tak jednoznačne ako Smernica v čl. 31 ods. 1 prípady, kedy je už pred vydaním príkazu na odpočúvanie známe, že odpočúvaná osoba sa bude počas odpočúvania nachádzať na území iného členského štátu od prípadov, v ktorých to vyjde najavo až počas odpočúvania. Možno by bolo vhodnejšie tie dve situácie odlíšiť podobným spôsobom, ako je to v Smernici.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150 ods. 1 na konci predposlednej vety navrhujeme slová „podľa § 154“ nahradiť slovami „v súlade s § 18“, na ktorý § 154 odkazuje.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150 ods. 2 je nesprávne vykonané ustanovenie čl. 31 ods. 3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stanovuje lehotu 96 hodín pre orgán štátu, na území ktorého sa nachádza odpočúvaná osoba. Tento orgán musí do 96 hodín po tom, čo bol informovaný o odpočúvaní, rozhodnúť, že odpočúvanie sa nesmie vykonať alebo sa musí ukončiť, a o použití materiálov získaných odpočúvaním.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150 ods. 2 táto lehota je nesprávne stanovená pre ukončenie odpočúvania od oznámenia rozhodnutia orgánu štátu, na území ktorého sa nachádza odpočúvaná osoba, že sa odpočúvanie nesmie vykonávať. V takom prípade sa však musí odpočúvanie ukončiť ihneď, nie až po 96 hodinách.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150 ods. 1 a 2 je potrebné preformulovať v súlade so znením Smernice.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je dostatočné z hľadiska pokrytia všetkých prípadov v čl. 31 ods. 1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na § 154 má svoje opodstatnenie vzhľadom na systematiku návrhu zákona a špecifický režim prekladov pre jednotlivé inštitúty spolupráce.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prvá veta v ods. 2 : Odpočúvanie podľa odseku 1 musí byť ukončené bezodkladne po tom, ako orgán iného členského štátu oznámi príslušnému prokurátorovi alebo súdu, že s jeho vykonaním na svojom území nesúhlasí.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49.	K § 155 – O:</w:t>
              <w:br/>
            </w:r>
            <w:r>
              <w:rPr>
                <w:b w:val="off"/>
                <w:color w:val="000000"/>
                <w:rFonts w:ascii="Times New Roman" w:hAnsi="Times New Roman" w:cs="Times New Roman" w:eastAsia="Times New Roman"/>
                <w:sz w:val="24"/>
              </w:rPr>
              <w:t>Ustanovenie § 155 ods. 1 nie je v plnom súlade s čl. 21 Smernice. V prípade mimoriadne vysokých nákladov umožňuje § 155 ods. 1 len aby sa vykonávajúci justičný orgán s vydávajúcim orgánom dohodli o ponechaní európskeho vyšetrovacieho príkazu v platnosti a o znášaní takých nákladov vydávajúcim orgánom. Smernica v čl. 21 predpokladá viacero možností dohody. Môžu sa dohodnúť o znášaní takých nákladov vydávajúcim orgánom, náklady sa môžu rozdeliť alebo vydávajúci orgán môže vziať EVP čiastočne alebo úplne späť.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navrhujeme poslednú vetu odseku 1 nahradiť, napríklad, vetou:</w:t>
              <w:br/>
            </w:r>
            <w:r>
              <w:rPr>
                <w:b w:val="off"/>
                <w:color w:val="000000"/>
                <w:rFonts w:ascii="Times New Roman" w:hAnsi="Times New Roman" w:cs="Times New Roman" w:eastAsia="Times New Roman"/>
                <w:sz w:val="24"/>
              </w:rPr>
              <w:t>„Vykonávajúci justičný orgán sa môže s vydávajúcim orgánom dohodnúť o rozdelení nákladov alebo o zmene európskeho vyšetrovacieho príkazu. Za výnimočných okolností, ak sa nepodarí dosiahnuť dohodu, môže vydávajúci orgán rozhodnúť o čiastočnom alebo úplnom späťvzatí európskeho vyšetrovacieho príkazu alebo o jeho ponechaní v platnosti a znášaní časti nákladov, ktoré sa považujú za mimoriadne.“.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155 ods. 2 nie je v zhode so znením čl. 21 Smernice. Znenie druhej vety odporúčame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50.	K § 157 ods. 1 – O:</w:t>
              <w:br/>
            </w:r>
            <w:r>
              <w:rPr>
                <w:b w:val="off"/>
                <w:color w:val="000000"/>
                <w:rFonts w:ascii="Times New Roman" w:hAnsi="Times New Roman" w:cs="Times New Roman" w:eastAsia="Times New Roman"/>
                <w:sz w:val="24"/>
              </w:rPr>
              <w:t>V § 157 v odseku 1 navrhujeme doplniť druh konania, v ktorom je možné v súlade s nariadením 2023/1543 vydať európsky príkaz na uchovanie/predloženie elektronických dôkazov.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Fakt, že európsky príkaz na predloženie alebo uchovanie elektronických dôkazov je možné vydať len v rámci a na účely trestného konania a na účely výkonu trestu odňatia slobody alebo ochranného opatrenia spojeného s obmedzením osobnej slobody v trvaní najmenej štyroch mesiacov v nadväznosti na trestné konanie, ktoré boli uložené rozhodnutím, ktoré nebolo vydané v neprítomnosti, v prípadoch, keď sa odsúdená osoba vyhýba spravodlivosti, vyplýva priamo z nariadenia (čl. 2). Doplnenie do § 157  by teda predstavovalo duplikáciu, ktorá z nášho pohľadu nie je potrebná.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54.	K § 243 ods. 1 – O:</w:t>
              <w:br/>
            </w:r>
            <w:r>
              <w:rPr>
                <w:b w:val="off"/>
                <w:color w:val="000000"/>
                <w:rFonts w:ascii="Times New Roman" w:hAnsi="Times New Roman" w:cs="Times New Roman" w:eastAsia="Times New Roman"/>
                <w:sz w:val="24"/>
              </w:rPr>
              <w:t>V § 243 ods. 1 odporúčame za slovami „§ 110“ vložiť bodku. Slovo „kópia“ odporúčame nahradiť slovom „Kópia“.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55.	K § 249 ods. 1 a ods. 2 – O:</w:t>
              <w:br/>
            </w:r>
            <w:r>
              <w:rPr>
                <w:b w:val="off"/>
                <w:color w:val="000000"/>
                <w:rFonts w:ascii="Times New Roman" w:hAnsi="Times New Roman" w:cs="Times New Roman" w:eastAsia="Times New Roman"/>
                <w:sz w:val="24"/>
              </w:rPr>
              <w:t>V § 249 ods. 1 za slovami „§ 18“ odporúčame vložiť čiarku.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249 ods. 2 navrhujeme štvrtú vetu uviesť v znení:</w:t>
              <w:br/>
            </w:r>
            <w:r>
              <w:rPr>
                <w:b w:val="off"/>
                <w:color w:val="000000"/>
                <w:rFonts w:ascii="Times New Roman" w:hAnsi="Times New Roman" w:cs="Times New Roman" w:eastAsia="Times New Roman"/>
                <w:sz w:val="24"/>
              </w:rPr>
              <w:t>„O uznaní európskeho ochranného príkazu a o prijatom následnom opatrení súd bezodkladne vyrozumie justičný orgán štátu pôvodu a v prípade podľa § 248 ods. 4 aj informuje orgán sociálnoprávnej ochrany detí a sociálnej kurately so súčasným doručením rozhodnutia o uznaní; v prípade neuznania ich vyrozumie aj o dôvodoch takého postupu.“.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Orgán sociálnej kurately je potrebné informovať iba v prípade, ak je chránenou osobou dieťa a v tomto prípade je potrebné k vyrozumeniu pripojiť aj rozhodnutie, ktoré sa podľa tohto ustanovenia doručuje aj chránenej osobe, ktorá pre nedostatok veku má obmedzenú spôsobilosť na právne úkony. Navrhované znenie neumožňuje podanie sťažnosti v prospech chránenej maloletej osoby orgánom sociálnoprávnej ochrany detí, čo predstavuje nedostatok v podobe odňatia európskeho štandardu práv neplnoletých poškodených osôb v trestnom konaní, ktorým sa v danom prípade tiež poskytuje ochrana uznaním a vykonaním európskeho ochranného príkazu.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56.	K § 251 ods. 1 – O:</w:t>
              <w:br/>
            </w:r>
            <w:r>
              <w:rPr>
                <w:b w:val="off"/>
                <w:color w:val="000000"/>
                <w:rFonts w:ascii="Times New Roman" w:hAnsi="Times New Roman" w:cs="Times New Roman" w:eastAsia="Times New Roman"/>
                <w:sz w:val="24"/>
              </w:rPr>
              <w:t>Odsek 1 navrhujeme uviesť, napríklad, v tomto znení:</w:t>
              <w:br/>
            </w:r>
            <w:r>
              <w:rPr>
                <w:b w:val="off"/>
                <w:color w:val="000000"/>
                <w:rFonts w:ascii="Times New Roman" w:hAnsi="Times New Roman" w:cs="Times New Roman" w:eastAsia="Times New Roman"/>
                <w:sz w:val="24"/>
              </w:rPr>
              <w:t xml:space="preserve">„(1) Ak nie je dôvod na odmietnutie uznania podľa § 250, súd európsky ochranný príkaz uzná; vo svojom rozhodnutí súčasne uloží ohrozujúcej osobe následné opatrenie vo forme obmedzujúceho opatrenia, ktoré svojou povahou najviac zodpovedá obmedzujúcemu opatreniu uvedenému v európskom ochrannom príkaze. Súčasťou rozhodnutia je aj poučenie o následkoch porušenia následného opatrenia. V prípade podľa § 248 ods. 4 o týchto okolnostiach informuje aj orgán sociálnoprávnej ochrany detí a sociálnej kurately.“.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Ako v pripomienke k § 249 ods. 2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57.	K § 252 ods. 3 – O:</w:t>
              <w:br/>
            </w:r>
            <w:r>
              <w:rPr>
                <w:b w:val="off"/>
                <w:color w:val="000000"/>
                <w:rFonts w:ascii="Times New Roman" w:hAnsi="Times New Roman" w:cs="Times New Roman" w:eastAsia="Times New Roman"/>
                <w:sz w:val="24"/>
              </w:rPr>
              <w:t>V § 252 ods. 3 navrhujeme prvú vetu uviesť v znení:</w:t>
              <w:br/>
            </w:r>
            <w:r>
              <w:rPr>
                <w:b w:val="off"/>
                <w:color w:val="000000"/>
                <w:rFonts w:ascii="Times New Roman" w:hAnsi="Times New Roman" w:cs="Times New Roman" w:eastAsia="Times New Roman"/>
                <w:sz w:val="24"/>
              </w:rPr>
              <w:t xml:space="preserve">„O zmene následného opatrenia uloženého na základe európskeho ochranného príkazu alebo o jeho ponechaní v pôvodnej podobe súd vyrozumie justičný orgán štátu pôvodu v prípade podľa § 248 ods. 4 a orgán sociálnoprávnej ochrany detí a sociálnej kurately so súčasným doručením rozhodnutia o zmene alebo ponechaní platnosti pôvodného následného opatrenia vrátane dôvodov, pre ktoré nemohlo dôjsť k jeho zmene.“.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Primerane ako v pripomienke k § 249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59.	K § 254 ods. 2 – O:</w:t>
              <w:br/>
            </w:r>
            <w:r>
              <w:rPr>
                <w:b w:val="off"/>
                <w:color w:val="000000"/>
                <w:rFonts w:ascii="Times New Roman" w:hAnsi="Times New Roman" w:cs="Times New Roman" w:eastAsia="Times New Roman"/>
                <w:sz w:val="24"/>
              </w:rPr>
              <w:t>V § 254 ods. 2 na konci prvej vety odporúčame pripojiť tieto slová: „siedmej alebo desiatej hlavy tretej časti.“.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60.	K § 257 písm. b) a písm. c) – O:</w:t>
              <w:br/>
            </w:r>
            <w:r>
              <w:rPr>
                <w:b w:val="off"/>
                <w:color w:val="000000"/>
                <w:rFonts w:ascii="Times New Roman" w:hAnsi="Times New Roman" w:cs="Times New Roman" w:eastAsia="Times New Roman"/>
                <w:sz w:val="24"/>
              </w:rPr>
              <w:t xml:space="preserve">V § 257 písm. b) navrhujeme na konci pripojiť tieto slová „ako alternatíva väzby“.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257 písm. c) navrhujeme slovo „alebo“ nahradiť slovom „a“. Ide o definíciu rozsahu pojmu „opatrenia dohľadu“.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zmeny nevhodne limitujú transponované ustanovenia rámcového rozhodnutia Rady 2009/829/SVV.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61.	K § 275 ods. 2 písm. b) – O:</w:t>
              <w:br/>
            </w:r>
            <w:r>
              <w:rPr>
                <w:b w:val="off"/>
                <w:color w:val="000000"/>
                <w:rFonts w:ascii="Times New Roman" w:hAnsi="Times New Roman" w:cs="Times New Roman" w:eastAsia="Times New Roman"/>
                <w:sz w:val="24"/>
              </w:rPr>
              <w:t>Odporúčame doplniť dôvodovú správu k tomuto ustanoveniu o upresnenie, na ktoré právne nástroje sa vzťahuje pojem „použiteľné právne nástroje“.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DS doplnenie o odkaz na rozhodnutie o ECRIS.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62.	K § 361 ods. 1 písm. a) – O:</w:t>
              <w:br/>
            </w:r>
            <w:r>
              <w:rPr>
                <w:b w:val="off"/>
                <w:color w:val="000000"/>
                <w:rFonts w:ascii="Times New Roman" w:hAnsi="Times New Roman" w:cs="Times New Roman" w:eastAsia="Times New Roman"/>
                <w:sz w:val="24"/>
              </w:rPr>
              <w:t xml:space="preserve">V § 361 ods. 1 písm. a) navrhujeme na konci pripojiť tieto slová „v trestnom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spresnenie, resp. ustálenie rozhodnutia, ku ktorému sa má prokurátor písomne vyjadriť.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spresnenie zaťažuje text dodatočným kritériom, ktoré  neodráža bipolaritu kategórií konania, pričom ustálenie by v konečnom dôsledku vo výklade spôsobilo opačný dôsledok ako bol zamýšľaný predkladateľom.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63.	K § 362 ods. 1 písm. f) – O:</w:t>
              <w:br/>
            </w:r>
            <w:r>
              <w:rPr>
                <w:b w:val="off"/>
                <w:color w:val="000000"/>
                <w:rFonts w:ascii="Times New Roman" w:hAnsi="Times New Roman" w:cs="Times New Roman" w:eastAsia="Times New Roman"/>
                <w:sz w:val="24"/>
              </w:rPr>
              <w:t xml:space="preserve">V § 362 ods. 1 navrhujeme písmeno f) uviesť v znení: </w:t>
              <w:br/>
            </w:r>
            <w:r>
              <w:rPr>
                <w:b w:val="off"/>
                <w:color w:val="000000"/>
                <w:rFonts w:ascii="Times New Roman" w:hAnsi="Times New Roman" w:cs="Times New Roman" w:eastAsia="Times New Roman"/>
                <w:sz w:val="24"/>
              </w:rPr>
              <w:t>„f) osoba nie je podľa právneho poriadku Slovenskej republiky z dôvodu jej veku trestne alebo priestupkovo zodpovedná za skutok, pre ktorý bolo vydané rozhodnutie o peňažnej sankcii,“.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Predložená právna úprava nie je výkladovo jednoznačná. Je potrebné zodpovednosť naviazať priamo na čas spáchania skutku, ku ktorému už došlo a je opomenutý vek osoby v prípade, že sa jedná o priestupok.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64.	K § 362 ods. 1písm. g) – O:</w:t>
              <w:br/>
            </w:r>
            <w:r>
              <w:rPr>
                <w:b w:val="off"/>
                <w:color w:val="000000"/>
                <w:rFonts w:ascii="Times New Roman" w:hAnsi="Times New Roman" w:cs="Times New Roman" w:eastAsia="Times New Roman"/>
                <w:sz w:val="24"/>
              </w:rPr>
              <w:t>Dôvody odmietnutia uznania a výkonu rozhodnutia o peňažnej sankcii v prípade, ak je výška sankcie nižšia ako 70 eur, navrhujeme prihliadajúc na zásadu hospodárnosti prehodnotiť.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možné modifikovať podmienku a jej hranice v rámcovom rozhodnutí Rady 2009/829/SVV.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65.	K § 367 ods. 2 – O:</w:t>
              <w:br/>
            </w:r>
            <w:r>
              <w:rPr>
                <w:b w:val="off"/>
                <w:color w:val="000000"/>
                <w:rFonts w:ascii="Times New Roman" w:hAnsi="Times New Roman" w:cs="Times New Roman" w:eastAsia="Times New Roman"/>
                <w:sz w:val="24"/>
              </w:rPr>
              <w:t>V 367 ods. 2 sa odkazuje na sankciu podľa § 353 písm. b) tretieho a štvrtého bodu, pričom § 353 písm. b) takéto body nemá [zrejme sa má na mysli odkaz na § 353 písm. c) body tri a štyri].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68.	K § 379 ods. 3 a ods. 4 – O:</w:t>
              <w:br/>
            </w:r>
            <w:r>
              <w:rPr>
                <w:b w:val="off"/>
                <w:color w:val="000000"/>
                <w:rFonts w:ascii="Times New Roman" w:hAnsi="Times New Roman" w:cs="Times New Roman" w:eastAsia="Times New Roman"/>
                <w:sz w:val="24"/>
              </w:rPr>
              <w:t>V § 379 navrhujeme odsek 3 vypustiť alebo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4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Styčný zástupca sa okamihom vymenovania stáva zamestnancom EÚ. Podľa  príslušných právnych predpisov EÚ o zamestnancoch EÚ, títo pri výkone svojej funkcie musia byť nestranní, a preto nemôžu o činnosti vykonávanej pre iné štáty informovať národného člena a ani iné orgány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Styčný zástupca nie je zástupcom Slovenskej republiky zastupujúcim záujmy Slovenskej republiky, ale zamestnancom Eurojustu zastupujúcim záujmy Európskej únie, Eurojustu a všetkých členských štátov. Prístup do SMS vyplýva z nariadenia a je nadbytočné ho upravovať zákonom. Iná je však otázka, či  chce zákonodarca priamo v zákone zakotviť  prístup styčného prokurátora k slovenským údajom v systéme správy prípadov.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doložke vybraných vplyvov predkladateľ označil, že materiál nemá žiadny vplyv na rozpočet verejnej správy. Z materiálu však môžu vyplývať negatívne vplyvy, a to napríklad v súvislosti s § 17, ktorý upravuje úhradu nákladov. Z uvedeného dôvodu žiadame v bode 10. „Poznámky“ uviesť toto konštatovanie: „Akékoľvek vplyvy vyplývajúce z návrhu budú zabezpečené v rámci schválených limitov dotknutých subjektov, bez dodatočných požiadaviek na rozpočet verejnej správy a bez vplyvu na limit verejných výdavkov.“.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10.2.2026 a  9.3.2026, rozpor bol odstránený.</w:t>
              <w:br/>
            </w:r>
            <w:r>
              <w:rPr>
                <w:b w:val="off"/>
                <w:color w:val="000000"/>
                <w:rFonts w:ascii="Times New Roman" w:hAnsi="Times New Roman" w:cs="Times New Roman" w:eastAsia="Times New Roman"/>
                <w:sz w:val="24"/>
              </w:rPr>
              <w:t>Na základe výsledkov rozporového konania bola upravená doložka vybraných vplyvov a analýza vplyvov na rozpočet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w:t>
              <w:br/>
            </w:r>
            <w:r>
              <w:rPr>
                <w:b w:val="off"/>
                <w:color w:val="000000"/>
                <w:rFonts w:ascii="Times New Roman" w:hAnsi="Times New Roman" w:cs="Times New Roman" w:eastAsia="Times New Roman"/>
                <w:sz w:val="24"/>
              </w:rPr>
              <w:t xml:space="preserve">Ustanovenie § 103 žiadame precizovať a primerane upraviť, a to s ohľadom na právnu úpravu nakladania s majetkom štátu v zákone Národnej rady Slovenskej republiky č. 278/1993 Z. z. o správe majetku štátu v znení neskorších predpisov (ďalej len „zákon o správe majetku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103 ods. 1 návrhu zákona sa má umožniť odovzdanie majetku štátu cudziemu štátu alebo oprávnenej osobe v cudzom štáte, a to na základe osobitnej dohody uzatvorenej medzi Ministerstvom spravodlivosti SR a príslušným orgánom cudzieho štátu. Z uvedeného znenia vyplýva, že za predpokladu existencie osobitnej dohody bude možné odovzdanie majetku štátu v správe dočasného správcu podľa § 5 zákona o správe majetku štátu cudziemu štátu alebo oprávnenej osobe v cudzom štáte.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Dočasný správca je v súlade s § 5 zákona o správe majetku štátu povinný po ujatí sa správy  majetku štátu nakladať s ním bez zbytočného odkladu. Preto je dôležité, v akom štádiu nakladania s majetkom štátu bude dočasný správca v čase uzatvorenia osobitnej dohody. Napríklad vlastnícke právo k majetku už môže byť prevedené na tretiu osobu alebo môže byť vyhlásená verejná ponuka na prevod vlastníctva tohto majetku štátu. Je preto potrebné s ohľadom na takéto prípady zvážiť doplnenie navrhovanej úpravy, ktorá by nemala za následok porušovanie povinnosti dočasného správcu nakladať s týmto majetkom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sa predpokladá nakladanie s majetkom štátu podľa osobitnej dohody. Upozorňujeme, že správca majetku štátu, napríklad dočasný správca, prípadne ak to ustanoví zákon, Ministerstvo spravodlivosti SR, bude oprávnený a povinný nakladať s majetkom štátu podľa zákona o správe majetku štátu, ak osobitný predpis neustanoví osobitný spôsob nakladania s týmto majetkom štátu. Možnosť uzatvorenia osobitnej dohody s príslušným orgánom cudzieho štátu a následné nakladanie s majetkom štátu podľa tejto dohody nie je podľa nášho názoru možné považovať za osobitnú úpravu nakladania s majetkom štátu. Podľa § 1 ods. 3 zákona o správe majetku štátu medzinárodná zmluva, ktorou je Slovenská republika viazaná, má prednosť pred ustanoveniami tohto zákona. Predpokladáme však, že osobitná dohoda medzi Ministerstvom spravodlivosti SR a príslušným orgánom cudzieho štátu nie je takouto medzinárodnou zmluvou.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10.2.2026 a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odstránenia nedostatkov bude doplnený mechanizmus spolupráce medzi ministerstvom, súdom a dočasným správcom (okresný úrad) a jasne stanovená prednosť postupov podľa ZoMJSTV (lex specialis) pred postupmi zákona č. 278/1993 o správe majetku štátu (lex generalis) v prípade uzavretia osobitnej 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Legislatívne vyjadrenie sa navrhuje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93 – doplnené znenie odseku 1:</w:t>
              <w:br/>
            </w:r>
            <w:r>
              <w:rPr>
                <w:b w:val="off"/>
                <w:color w:val="000000"/>
                <w:rFonts w:ascii="Times New Roman" w:hAnsi="Times New Roman" w:cs="Times New Roman" w:eastAsia="Times New Roman"/>
                <w:sz w:val="24"/>
              </w:rPr>
              <w:t>Do ods. 1 sa dopĺňa za prvou vetou nasledujúca veta: „Spolu s týmto návrhom môže ministerstvo spravodlivosti informovať súd o prípadnom záujme uzavrieť osobitnú dohodu o nakladaní s majetkom podľa § 103 v prípade jeho uznania.“.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103  - 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103</w:t>
              <w:br/>
            </w:r>
            <w:r>
              <w:rPr>
                <w:b w:val="off"/>
                <w:color w:val="000000"/>
                <w:rFonts w:ascii="Times New Roman" w:hAnsi="Times New Roman" w:cs="Times New Roman" w:eastAsia="Times New Roman"/>
                <w:sz w:val="24"/>
              </w:rPr>
              <w:t>Výkon majetkového rozhodnutia cudzieho štátu alebo medzinárodného súdu odovzdaním majetku, jeho časti alebo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Súd po uznaní cudzieho majetkového rozhodnutia nariadi jeho vykonanie. Ministerstvo spravodlivosti, alebo na základe jeho žiadosti, útvar Policajného zboru určený ministerstvom vnútra, za účelom zabezpečenia jeho výkonu odovzdá majetok, jeho časť alebo vec cudziemu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Ak je potrebné majetok, jeho časť alebo vec odovzdať cudziemu štátu alebo oprávnenej osobe v cudzom štáte na základe dohody o nakladaní majetku uzavretej podľa tohto zákona alebo podľa medzinárodnej zmluvy, ktorou je Slovenská republika viazaná, ministerstvo spravodlivosti s ním naloží podľa takejto dohody a majetok, jeho časť alebo vec odovzdá cudziemu štátu, alebo na základe žiadosti ministerstva spravodlivosti ho odovzdá útvar Policajného zboru určený ministerstvom vnútra.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nedôjde k uzavretiu osobitnej dohody podľa odseku 2, majetok sa môže speňažiť a po odpočítaní nákladov na doterajšiu správu príslušný orgán odovzdá zvyšné prostriedky dožadujúcemu cudziemu štátu alebo priamo oprávnenej osobe v cudzom štáte. </w:t>
              <w:br/>
            </w:r>
            <w:r>
              <w:rPr>
                <w:b w:val="off"/>
                <w:color w:val="000000"/>
                <w:rFonts w:ascii="Times New Roman" w:hAnsi="Times New Roman" w:cs="Times New Roman" w:eastAsia="Times New Roman"/>
                <w:sz w:val="24"/>
              </w:rPr>
              <w:t>(4) Príslušný orgán o odovzdaní majetku, jeho časti alebo veci informuje súd a ministerstvo spravodlivosti. Ministerstvo spravodlivosti o odovzdaní majetku, jeho časti alebo veci informuje dožadujúci orgán.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 2 písm. k) vypustiť slovo „rovnako“ ako nadbytočné, v § 2 písm. m) slovo „či“ nahradiť slovom „alebo“, v § 4 ods. 1 prvej vete slová „štátu za predpokladu, že“ nahradiť slovami „štátu, ak“ a v druhej vete slovo „predchádzajúcej“ nahradiť slovom „prvej“, v § 4 ods. 3 za slová „dožiadajúcim štátom“ vložiť slovo „uzatvorená“, slová „vybaviť za podmienky, že“ nahradiť slovami „vybaviť, ak“ a vypustiť slovo „následne“ ako nadbytočné, v  § 10 nadpise za slovo „a“ vložiť slovo „útvar“, v § 10 ods. 1 za slová „na účely“ vložiť slovo „podľa“ a pred slovo „aj“ vložiť čiarku, v § 13 druhej vete slová „dôkazu, môže súd a v prípravnom konaní prokurátor“ nahradiť slovami „dôkazu môže súd, a v prípravnom konaní prokurátor“, v § 14 ods. 2 prvej vete slovo „stanoviť“ nahradiť slovom „určiť“, v § 14 ods. 3 slovo „tieto“ nahradiť slovami „tento dôkaz alebo informáciu“ a na konci doplniť bodku, v § 14 ods. 4 za slová „musí sa“ vložiť slovo „týmto“, v § 14 ods. 5 slová „Obdobne podľa odsekov 1 a 2 justičný orgán postupuje ohľadne oznámenia“ nahradiť slovami „Justičný orgán postupuje podľa odsekov 1 a 2 aj vtedy, ak ide o oznámenie“, v súvislosti so znením § 15 ods. 3 upozorňujeme, že legislatívna skratka „(ďalej len „medzinárodný zatýkací rozkaz“)“ je zavedená až v § 61 ods. 1, v § 17 ods. 1 druhej vete slová „s dožadujúcim štátom“ nahradiť slovami „a dožadujúci štát“, v § 17 ods. 2 slová „ako aj“ nahradiť slovom „alebo“, v § 17 ods. 3 za slovo „uhradí“ vložiť slovo „ich“, v § 18 ods. 4 za slovo „prijať“ vložiť čiarku, v § 19 ods. 1 druhej vete slovo „Generálnej“ nahradiť slovom „generálnej“, v § 21 ods. 2 prvej vete vypustiť čiarku a slová „podľa odseku 1“ presunúť za slová „do cudziny“, v § 22 ods. 1 za slovo „podozrivej“ vložiť slovo „osobe“ a vypustiť slovo „prípadne“ ako nadbytočné, § 24 preformulovať napríklad takto: „Osobe, ktorá sa nachádza v cudzine, možno doručovať písomnosti poštou, ak to umožňuje medzinárodná zmluva.“, v § 25 ods. 1 prvej vete slová „doručiť písomnosti“ nahradiť slovami „takúto písomnosť doručiť“, v § 24 ods. 3 slovo „písomností“ nahradiť slovom „písomnosti“, v § 29 ods. 3 za slová „žiadosti o právnu pomoc“ vložiť slovo „je“, c § 30 ods. 2 slovo „jeho“ nahradiť slovom „jej“, v § 30 ods. 4 druhej vete vypustiť slovo „i“ ako nadbytočné, v § 30 ods. 5 na konci doplniť bodku, v § 30 ods. 6 slovo „odsek“ nahradiť slovom „odseku“, v § 32 ods. 1 tretej vete za slovo „príslušnosť“ vložiť slovo „súdu“, v § 35 ods. 1 prvej vete slová „na doručovanie“ nahradiť slovami „o doručovaní“, v § 35 ods. 2 prvej vete vypustiť slovo „následne“ ako nadbytočné, v § 35 ods. 3 prvej vete slovo „písomností“ nahradiť slovom „písomnosť“ a slová „doručia sa písomnosti“ nahradiť slovami „doručí sa písomnosť“, v druhej vete slovo „písomnosti“ nahradiť slovom „písomnosť“ a slovo „nevybavené“ nahradiť slovom „nevybavenú“, v tretej vete slovo „kópií“ nahradiť slovom „kópii“ a v štvrtej vete slovo „písomnosti“ nahradiť slovom „písomnosť“, v § 36 ods. 2 slovo „účastníkov“ nahradiť slovom „strany“, v  § 37 nadpise slová „videokonferenčného zariadenia“ nahradiť slovami „technického zariadenia určeného na prenos obrazu a zvuku“, v § 37 ods. 1 slová „videokonferenčného zariadenia“ nahradiť slovami „technického zariadenia určeného na prenos obrazu a zvuku (ďalej len „videokonferenčné zariadenie“)“, v § 38 ods. 1 slovo „pokiaľ“ nahradiť slovom „ak“, v § 38 ods. 2 slovo „videokonferencie“ nahradiť slovami „videokonferenčného zariadenia“, v § 42 ods. 2 druhej vete za slovo „je“ vložiť slová „cudzí orgán“ a v piatej vete vypustiť slovo „následne“ ako nadbytočné, v § 43 ods. 2 prvej vete slovo „na“ nahradiť slovo, „o“, v § 43 ods. 4 úvodnej vete slová „spoločnom vyšetrovacom tíme“ nahradiť slovami „vytvorení spoločného vyšetrovacieho tímu“, v § 43 ods. 4 písm. b) slová „jeho predmetu, účelu a dobe, na ktorú bol zriadený a ktorá“ nahradiť slovami „predmete jeho činnosti, účele a dobe, na ktorú bol zriadený, pričom doba zriadenia“, v § 43 ods. 4 písm. c) za slovo „zloženie“ vložiť slová „spoločného vyšetrovacieho“, v § 43 ods. 5 slová „o jeho vytvorení“ nahradiť slovami „podľa odseku 4“, v § 44 ods. 1 prvej vete slovo „treba“ nahradiť slovami „je potrebné“, v § 44 ods. 2 prvej vete slová „treba žiadať cestou“ nahradiť slovami „je potrebné požiadať prostredníctvom“ a v druhej vete za slová „V žiadosti“ vložiť slová „podľa prvej vety“, v § 45 ods. 2 slová „ustanovenými v dohode o spoločnom vyšetrovacom tíme“ nahradiť slovami „uvedenými v dohode podľa § 43 ods. 4“, v § 45 ods. 3 spresniť pojem „Cudzozemskí členovia“ alebo ho nahradiť iným vhodným pojmom, v § 47 ods. 1 prvej vete za slová „minister spravodlivosti“ vložiť slová „Slovenskej republiky „(ďalej len „minister spravodlivosti“)“, v § 50 ods. 1 druhej vete za slová „V žiadosti“ vložiť slová „podľa prvej vety sa“, v § 50 ods. 2 druhej vete za slovo „uznesení“ vložiť slová „podľa prvej vety“, v súvislosti so znením § 53 ods. 4 upozorňujeme, že legislatívna skratka „(ďalej len „cudzie majetkové rozhodnutie“)“ je zavedená až v § 90 ods. 2 písm. e), v § 56 ods. 3 slová „za podmienky, že“ nahradiť slovom „ak“, v § 58 ods. 3 prvej vete slová „Potom, čo“ nahradiť slovom „Ak“, v § 62 ods. 2 za slovo „konaní“ vložiť slová „tak urobí“, v § 64 ods. 2, slovo „ihneď“ nahradiť slovom „bezodkladne“, v § 66 ods. 1 písm. b) vypustiť slovo „následne“ ako nadbytočné, v § 66 ods. 2 druhej vete vypustiť slová „v prípade“ ako nadbytočné, v § 66 ods. 4 za slovo „odvolaní“ vložiť slová „medzinárodného zatýkacieho rozkazu“, v § 68 ods. 5 slová „vydaním. To isté platí aj ohľadne trestného oznámenia podaného dožiadaným štátom“ nahradiť slovami „vydaním; to platí aj pre trestné oznámenie, ktoré podal dožiadaný štát“, v § 68 ods. 6 na konci doplniť bodku, v § 71 ods. 1 úvodnej vete za slovo „Žiadosť“ vložiť slová „o vydanie“, v § 71 ods. 2 za slová „k žiadosti“ vložiť slová „ o vydanie“, v § 74 písm. b) slová „článkov 3 a 6“ nahradiť slovami „podľa čl. 3 a 6“ a slová „článku 3“ nahradiť slovami „podľa čl. 3“, v §  74 písm. g) slová „osobitným predpisom“ nahradiť slovami „podľa osobitných predpisov“, v § 74 písm. k) slovo „treba“ nahradiť slovami „je potrebné“, v § 75 ods. 6 písm. b) za slovo „žiadosti“ vložiť slová „ o vydanie“, v § 75 ods. 5 písm. h) slová „súdnemu orgánu“ nahradiť slovom „súdu“, v § 75 ods. 8 za slovo „ministerstvo“ vložiť slovo „spravodlivosti“, v § 77 ods. 5 prvej vete slová „vydanie, túto“ nahradiť slovami „vydanie osoby, túto žiadosť“ a v druhej vete slová „jeho návrh“ nahradiť slovami „návrh prokurátora“, v § 78 ods. 4 písm. a) vypustiť slová „Slovenskej republiky „(ďalej len „minister spravodlivosti“)“, pretože túto legislatívnu skratku je potrebné zaviesť už v § 47 ods. 1, text na konci písmena a) označený ako písmeno b) uviesť v samostatnom riadku a doterajšie písmeno b) označiť ako písmeno c), v § 78 ods. 5 preveriť správnosť vnútorného odkazu na odsek 3, v § 79 ods. 2 za slovo „trestu“ vložiť slová „odňatia slobody“, v § 79 ods. 3 preveriť správnosť vnútorného odkazu na § 34 ods. 2, v § 80 ods. 1 slová „ods. 2, ods. 4“ nahradiť slovami „ods. 2 a 4“ a slová „ods. 1 a ods. 3“ nahradiť slovami „ods. 1 a 3“, v § 80 ods. 2 slová „ods. 2, ods. 4“ nahradiť slovami „ods. 2 a 4“, v § 82 ods. 6 druhej vete slová „je potrebné“ nahradiť slovami „je to potrebné“, v § 83 ods. 2 na konci úvodnej vety vložiť slovo „ak“ a slovo „ak“ vypustiť z písmen a) a b), v § 85 ods. 2 slovo „pričom“ nahradiť slovom „ak“ a za slovo „obmedzením“ vložiť slovo „osobnej“, v § 85 ods. 3 prvej vete slová „za podmienky, že“ nahradiť slovom „ak“, v § 85 ods. 5 slová „štátu. Takto rozhodnúť nemôže“ nahradiť slovami „štátu; minister spravodlivosti nemôže takto rozhodnúť“, v § 85 ods. 6 za slovo „trestu“ vložiť slová „odňatia slobody“ (4x), v § 87 nadpise vypustiť slovo „zvyšku“ ako nadbytočné, v § 91 ods. 1 písm. e) na konci doplniť čiarku, v § 91 ods. 2 úvodnej vete preveriť správnosť vnútorného odkazu na § 96 a vypustiť slovo „dodatočné“ ako nadbytočné, v § 92 ods. 3 za slovo „trestu“ vložiť slová „odňatia slobody“, v § 94 ods. 4 prvej vete za slovo „trestu“ vložiť slová „odňatia slobody“ (2x), v § 96 ods. 5 za slová „dĺžky trestu“ vložiť slová „odňatia slobody“, v § 96 ods. 6 prvej vete slovo „či“ nahradiť slovom „alebo“, v § 97 ods. 1 slovo „vyhlásenia“ nahradiť slovom „záruky“, v § 97 ods. 2 druhej vete slová „takéhoto súhlasu“ nahradiť slovami „súhlasu podľa prvej vety“ a vo štvrtej vete slovo „osoby“ nahradiť slovom „odsúdeného“, v § 98 ods. 3 slovo „osoba“ nahradiť slovom „odsúdený“, v § 98 ods. 5 slovo „osoby“ nahradiť slovom „odsúdeného“, nad § 99 v nadpise tretieho dielu vypustiť slová „s dohľadom“, v § 104 ods. 3 slovo „speňaženia,“ nahradiť slovami „speňaženia majetku, jeho časti alebo veci“, v § 105 ods. 2 druhej vete slovo „formou“ nahradiť slovom „prostredníctvom“, v § 107 písm. a) slová „dodatkový dohovor“ nahradiť slovami „dodatkový protokol“, v § 108 písm. c) pred slovo „ak“ vložiť čiarku a slovo „uplatnenia“ nahradiť slovom „ustanovenia“, v poznámke pod čiarou k odkazu 14 slovo „Írska“ nahradiť slovami „Spojeného kráľovstva a Írska s ohľadom na priestor slobody, bezpečnosti a spravodlivosti“, v § 110 ods. 1 prvej vete za slovom „priamo“ čiarku nahradiť bodkočiarkou, v súvislosti so znením § 110 ods. 2 prvou vetou upozorňujeme, že legislatívna skratka „(ďalej len „príkaz na zaistenie“)“ je zavedená až v § 165, v § 110 ods. 2 druhej vete slovo „písomnosti“ nahradiť slovom „písomností“, v § 113 slovo „stanovené“ nahradiť slovom „ustanovené“, v poznámke pod čiarou k odkazu 18 na konci pripojiť tieto slová: „(Ú. v. ES L 124, 8. 6. 1971)“, v § 114 ods. 2 odkazy 19 a 20 s príslušnými poznámkami pod čiarou uviesť pri prvom použití pojmu „Európska justičná sieť“ a pojmu „Eurojust“ v § 110 ods. 1, citáciu uvedenú v poznámke pod čiarou k odkazu 20 aktualizovať, pretože citované rozhodnutie Rady bolo nahradené novým nariadením Európskeho parlamentu a Rady; citáciu uviesť takto: „Nariadenie Európskeho parlamentu a Rady (EÚ) 2018/1727 zo 14. novembra 2018 o Agentúre Európskej únie pre justičnú spoluprácu v trestných veciach (Eurojust) a o nahradení a zrušení rozhodnutia Rady 2002/187/SVV (Ú. v. EÚ L 295, 21. 11. 2018) v platnom znení.“, v § 114 ods. 5 druhej vete slovo „prípadne“ nahradiť slovom „alebo“, v § 114 ods. 8 druhej vetre slovo „neodkladne“ nahradiť slovom „bezodkladne“, v § 121 vypustiť odsek 5 ako nadbytočný z dôvodu je ho duplicity s § 118 písm. a) a § 154, v § 122 ods. 5 druhej vete slová „i mimo svojho obvodu sama“ nahradiť slovami „aj mimo svojho obvodu“ a v tretej vete vypustiť slovo „i“ ako nadbytočné, v § 126 ods. 1 písm. d) slovo „obsiahnutého“ nahradiť slovom „uvedeného“, v § 126 ods. 4 slová „c), d)“ nahradiť slovami „c) a d)“, v § 131 ods. 2 za slovo „výkonu“ vložiť slová „európskeho vyšetrovacieho príkazu“, v § 132 ods. 2 tretej vete za slová „trestnom  konaní“ vložiť čiarku a slová „len, keď“ nahradiť slovami „iba ak“, v § 132 ods. 2 prvej vete slová „Po dobu“ nahradiť slovom „Počas“ a v tretej vete slovo „formou“ nahradiť slovom „prostredníctvom“, v § 137 ods. 3 za slovo „sloboda“ vložiť slová „nesmie byť“, v § 140 ods. 2 písm. b) vypustiť slová „v danom prípade“ ako nadbytočné, v § 142 ods. 2 vypustiť slovo „súčasne“ ako nadbytočné, v § 149 ods. 1 v časti vety za bodkočiarkou slová „pritom sa rovnako“ nahradiť slovami „v takom prípade sa“, v § 149 ods. 4 slová „vnútroštátnom prípade“ nahradiť slovami „prípade v Slovenskej republike“, v § 153 ods. 2 druhej vete vypustiť slovo „rovnako“ ako nadbytočné, v § 157 ods. 1 za slovo „predloženie“ a za slovo „uchovanie“ vložiť slovo „elektronických“ a slová „sa spravujú osobitným predpisom24) a ustanoveniami“ nahradiť slovami „ustanovuje osobitný predpis24) a ustanovenia“, v poznámke pod čiarou k odkazu 24 uviesť skrátenú citáciu nariadenia (EÚ), pretože jeho úplná citácia je už uvedená v poznámke pod čiarou k odkazu 11, v poznámkach pod čiarou k odkazom 26 až 38, 40 a 43 až 46 vypustiť slová „Európskeho parlamentu a Rady“ ako nadbytočné, v § 158 ods. 3 písm. b) slová „policajt. Európsky príkaz na uchovávanie elektronických dôkazov“ nahradiť slovami „policajt; európsky príkaz“ z dôvodu zosúladenia s formuláciu uvedenou v odseku 1, v § 158 ods. 4 druhej vete vypustiť slovo „následne“ ako nadbytočné, v § 159 slová „Orgánom príslušným“ nahradiť slovami „Príslušným orgánom“ a vypustiť slovo „únie“ ako nadbytočné, v § 160 ods. 1 slová „Orgánom príslušným“ nahradiť slovami „Príslušným orgánom“ z dôvodu zosúladenia s formuláciu uvedenou v odsekoch 2 až 7, v § 160 ods. 2 druhej vete za slovo „vykonanie“ vložiť slová „európskeho príkazu“ a v tretej vete slová „V prípade potreby konzultuje vydávajúci orgán a vyžiada si“ nahradiť slovami „Ak je to potrebné, príslušný orgán požiada vydávajúci orgán o“ alebo iným vhodným spôsobom spresniť slová „konzultuje vydávajúci orgán“ a túto pripomienku primerane reflektovať aj v odseku 6, v § 160 ods. 5 prvej vete vypustiť slovo „príslušného“ ako nadbytočné, v druhej vete za slovo „vykonanie“ vložiť slová „európskeho príkazu“ a v tretej vete za slovo „vykonanie“ vložiť slovo „európskeho“, v § 160 ods. 6 za slovo „vykonanie“ vložiť slovo „európskeho“, v § 160 ods. 7 za slovo „nesplní“ vložiť slovo „európsky“, v § 163 zjednotiť pojmy „celkový celosvetový obrat“ a „ročný celosvetový obrat“, v § 163 ods. 3 nad slová „osobitného predpisu“ doplniť odkaz a príslušnú poznámku pod čiarou, v § 163 ods. 4 a 6 slovo „odseku“ nahradiť slovom „odsekov“, v § 164 upresniť pojmy „oznámenie“ a „príkaz“ a slovo „preloží“ nahradiť slovom „preložia“, v poznámke pod čiarou k odkazu 41 na konci pripojiť tieto slová: „(Ú. v. L 308, 2018) v platnom znení“, v § 169 ods. 1 slovo „pokiaľ“ nahradiť slovom „ak“, v § 170 ods. 1 prvej vete a § 181 ods. 1 prvej vete za slovo „osvedčenia“ vložiť čiarku, v § 171 ods. 1 úvodnej vete slová „určenej podľa ods. 2“ nahradiť slovami „prokurátor okresnej prokuratúry určenej podľa § 170 ods. 2“, v § 172 ods. 2 slová „podľa osobitného predpisu44) rozhodnutím zastaví výkon príkazu na zaistenie.“ nahradiť slovami „rozhodnutím zastaví výkon príkazu na zaistenie podľa osobitného predpisu.44)“, zvážiť premiestnenie § 177 za § 165 z dôvodu zachovania logickej postupnosti ustanovení, v celom texte druhého dielu štvrtej hlavy (napr. v § 178 ods. 2 a 4, § 181 ods. 1 a 3, § 182, § 184 a § 185) zjednotiť používanie pojmov „vykonávanie príkazu na zaistenie“ a „výkon príkazu na zaistenie“, v § 179 vypustiť slová „v súlade s Trestným poriadkom“ ako nadbytočné, v § 181 ods. 3 úvodnej vete za slovo „alebo“ vložiť slová „prokurátor okresnej prokuratúry“, v § 191 zvážiť zlúčenie odsekov 3 a 4 do jedného odseku s úvodnou vetou v tomto znení: „Podľa odseku 1 postupuje justičný orgán Slovenskej republiky ako vykonávajúceho štátu podľa § 181 ods. 3 aj vtedy, ak“, v § 191 ods. 5 slová „Rovnako ako v“ nahradiť  slovom „Podľa“ a za slová „ods. 3“ vložiť slová „aj vtedy“, v § 192 ods. 2 prvej vete slovo „formou“ nahradiť slovom „prostredníctvom“, v § 193 slovo „preloží“ nahradiť slovom „preložia“ a slová „§ 18 a preklady“ nahradiť slovami „§ 18; preklady“, v § 197 ods. 2 písm. a) za slovo „činom“ vložiť čiarku a slová „je ho“ nahradiť slovom „jeho“, v § 198 ods. 9 tretej vete slová „zašle súd“ nahradiť slovami „súd zašle“, v § 202 nadpise slovo „osôb“ nahradiť slovom „osoby“, v § 203 ods. 2 štvrtej vete za slovo „prvej“ vložiť slovo „vety“, v § 204 ods. 2 slová „Policajného prezídia Slovenskej republiky“ nahradiť slovami „Prezídia Policajného zboru“ alebo slovami „Policajného zboru“ (podľa úmyslu predkladateľa), v § 206 ods. 1 slová „Prokuratúrou príslušnou“ nahradiť slovami „Príslušnou prokuratúrou“, v § 206 ods. 2 slová „Súdom príslušným“ nahradiť slovami „Príslušným súdom“, v § 207 ods. 2 za slovo „záznam“ (prvý výskyt) vložiť slová „podľa § 196 písm. k)“, v § 210 ods. 2 druhej vete slová vypustiť slová „tohto odseku“ ako nadbytočné, v § 213 ods. 3 prvej vete slovo „a“ za slovom „vypočuje“ nahradiť čiarkou, v § 213 ods. 5 prvej vete vypustiť slovo „obsahu“ ako nadbytočné, v § 213 ods. 8 písm. b) slová „odseku 6“ nahradiť slovami „odseku 7“, v § 213 ods. 9 slová „konania podľa odseku 7 písm. a) až e)“ nahradiť slovami „predbežného vyšetrovania podľa odseku 8 písm. a) až e) prokurátor“, v § 215 ods. 3 druhej vete za slovo „Uznesenie“ vložiť slová „podľa odseku 2“, v § 218 ods. 2 písm. f) prehodnotiť vnútorný odkaz, pretože v § 109 ods. 2 a 3 sa upravuje obojstranná trestnosť, v § 218 ods. 3 slová „štátu vydávajúceho zatykač bude“ nahradiť slovami „štátu, ktorý vydal európsky zatýkací rozkaz bude osoba“, v § 218 ods. 4 písm. c) slová „podať návrh na opravný prostriedok“ nahradiť slovami „na obnovu konania alebo na podanie odvolania“ a vypustiť slová „dotknutá osoba“ ako nadbytočné, v § 220 ods. 3 za slová „§ 215“ vložiť slová „ods. 2“, v § 221 ods. 1 druhej vete vypustiť slovo „tak“ ako nadbytočné, v § 221 ods. 4 za slovom „rozkazu“ čiarku nahradiť bodkočiarkou a vypustiť slová „v prípade“ ako nadbytočné, v § 226 ods. 2 slová „nutné držať vo väzbe“ nahradiť vhodnejšou formuláciou, v § 228 ods. 1 prvej vete za slová „pred jej odovzdaním,“ vložiť slovo „ktorý“, v § 228 ods. 3 slová „osoby. To isté sa vzťahuje aj na trestné oznámenie podané vykonávajúcim štátom“ nahradiť slovami „osoby; to platí aj pre trestné oznámenie, ktoré podal vykonávajúci štát“, v § 230 ods. 2 druhej vete vypustiť slovo „rovnako“ ako nadbytočné, v § 243 ods. 1 druhej vete za slová „§ 110“ vložiť bodkočiarku, v § 245 ods. 3 za slovo „siedmej“ vložiť slovo „hlavy“  a vypustiť slovo „zákona“ ako nadbytočné, v § 246 vypustiť slovo „danému“ ako nadbytočné, za slovo „siedmej“ vložiť slovo „hlavy“ a vypustiť slovo „zákona“ ako nadbytočné, v § 249 ods. 1 prvej vete za slovo „opatrenia“ a za číslo „18“ vložiť čiarku, v § 252 ods. 2 prvej vete druhú čiarku nahradiť slovom „a“, v § 254 ods. 2 prvej vete na konci vypustiť slovo „podľa“ ako nadbytočné, v § 262 ods. 8 slová „do jazyka podľa § 278“ nahradiť slovami „v súlade s § 18“, v § 263 ods. 3 písm. b) slovo „desať“ nahradiť slovom „desiatich“, v § 270 ods. 4 a 5 vypustiť slovo „rovnako“ ako nadbytočné, v § 271 ods. 2 vypustiť slovo „rovnako“ ako nadbytočné, v § 272 písm. b) slovo „republiky“ (prvý výskyt) nahradiť slovom „republike“, v § 276 vrátane nadpisu slová „a videokonferencie“ nahradiť slovami „a prostredníctvom videokonferenčného zariadenia“,  v § 277 druhej vete vypustiť slovo „zákona“ ako nadbytočné, v § 281 odkaz 48 nahradiť odkazom 41 a v § 282 odkaz 49 nahradiť odkazom 42 a vypustiť poznámky pod čiarou k odkazom 48 a 49 z dôvodu ich duplicity s poznámkami pod čiarou k odkazom 41 a 42, v § 285 ods. 4 slovo „či“ nahradiť slovom „alebo“, v poznámkach pod čiarou k odkazom 50 až 52 vypustiť slová „Európskeho parlamentu a Rady“ ako nadbytočné, v poznámke pod čiarou k odkazu 51 na konci doplniť bodku, v § 289 ods. 1 za slová „uznanie a“ vložiť slovo „výkon“, zvážiť premiestnenie § 290 za § 281 z dôvodu zachovania logickej postupnosti ustanovení, v § 292 ods. 4 druhej vete slová „do jazyka podľa § 303“ nahradiť slovami „v súlade s § 18“, v § 293 ods. 2 písm. a) slovo „také“ nahradiť slovom „majetkové“, v § 293 ods. 2 písm. c) slovo „či“ nahradiť slovom „alebo“, v § 295 ods. 7 prvej vete vypustiť slová „na doplnenie“ ako nadbytočné, v poznámke pod čiarou k odkazu 53 vypustiť slová „v znení neskorších predpisov“ ako nadbytočné, v § 297 ods. 2 slová „majetkové rozhodnutie sa“ nahradiť slovami „sa majetkové rozhodnutie“, v § 297 ods. 3 druhej vete slová „v prípade“ nahradiť slovom „vtedy“, v § 298 ods. 2 slovo „či“ nahradiť slovom „alebo“, v poznámke pod čiarou k odkazu 56 na konci poslednej citácie pripojiť tieto slová: „v znení neskorších predpisov“, v § 306 ods. 2 druhej vete slovo „formou“ nahradiť slovom „prostredníctvom“, v § 311 slovo „pokiaľ“ nahradiť slovom „ak“, v § 318 druhej vete slová „v obvode ktorého“ nahradiť slovami „v ktorého obvode“, v § 321 ods. 2 prvej vete slovo „rozsudku“ nahradiť slovom „rozhodnutia“, v § 323 ods. 3 druhej vete slová „v prípade“ nahradiť slovom „vtedy“, v § 327 ods. 1 písm. m) vypustiť slovo „o“ vzhľadom na znenie úvodnej vety odseku 1, v § 330 ods. 2 slová „zdravia alebo života“ nahradiť slovami „života alebo zdravia“, v § 333 pred slovo „uznávaní“ vložiť chýbajúce označenie „b)“, v § 336 písm. a) slovo „neustanovujú“ nahradiť slovom „neustanovuje“, v § 338 ods. 5 slovo „súčasne“ nahradiť slovami „vykonávajúcemu justičnému orgánu“, v § 338 ods. 7 slová „do jazyka podľa § 349“ nahradiť slovami „v súlade s § 18, v § 339 ods. 1 prvej vete číslo „10“ nahradiť slovom „desiatich“ a v poslednej vete slovo „pokiaľ nahradiť slovom „ak“, v § 341 ods. 1 písm. a) slovo „či“ nahradiť slovom „alebo“, v § 344 ods. 1 písm. f) slovo „okolnosti“ nahradiť slovom „okolností“, v § 344 ods. 3 druhej vete slová „v prípade“ nahradiť slovom „vtedy“, v § 347 ods. 1 druhej vete slová „v prípade“ nahradiť slovom „vtedy“, v § 357 ods. 4 slová „do jazyka podľa § 366“ nahradiť slovami „v súlade s § 18“, v § 358 ods. 1 prvej vete slovo „či“ nahradiť slovom „alebo“ a slová „celú alebo pomernú časť peňažnej sankcie uloženej rozhodnutím“ nahradiť slovami „celú sumu peňažnej sankcie uloženej rozhodnutím alebo jej pomernú časť“, v § 361 ods. 1 slová „peňažných sankciách“ nahradiť slovami „peňažnej sankcii“, v § 362 ods. 2 písm. d) treťom bode za slová „nepodáva opravný prostriedok“ vložiť slová „alebo nepodala opravný prostriedok“, v § 362 ods. 2 písm. f) slová „zakotvených v článku 6“ nahradiť slovami „podľa čl. 6“, v § 363 ods. 4 slová „peňažnú sumu“ nahradiť slovami „sumu peňažnej sankcie“, v § 364 ods. 1 prvej vete slovo „čiastky“ nahradiť slovom „sankcie“, v § 367 ods. 2 časti vety za bodkočiarkou za slovo „tretieho“ vložiť slovo „bodu“, v § 368 časti vety pred bodkočiarkou za slovo „prepočet“ vložiť slovo „sumy“ a v časti vety za bodkočiarkou slovo „výška“ nahradiť slovom „suma“, v § 372 ods. 1, § 376 ods. 1 a § 377 ods. 1 slová „odborné a jazykové znalosti a skúsenosti“ nahradiť slovami „odborné znalosti a skúsenosti a jazykové znalosti“, v poznámke pod čiarou k odkazu 63 slovo „Nariadenie“ nahradiť slovom „nariadenia“ a na konci doplniť chýbajúci publikačný zdroj a pripojiť tieto slová: „v platnom znení“, v § 374 ods. 1 písm. f) časť vety za bodkočiarkou preformulovať napríklad takto: „národný člen je povinný informovať ministerstvo spravodlivosti, ak ide o činnosti, ktoré sa týkajú ministerstva spravodlivosti“, v § 374 ods. 1 písm. g) časti vety pred bodkočiarkou slová „týkajúce sa“ nahradiť slovom „o“, v poznámke pod čiarou k odkazu 65 slová „Nariadenia Európskeho parlamentu a Rady“ nahradiť slovom „nariadenia“, v poznámkach pod čiarou k odkazom 66 až 68 vypustiť slová „Európskeho parlamentu a Rady“ ako nadbytočné, v § 382 ods. 3 písm. a) šiestom bode a písm. c) slovo „Únie“ nahradiť slovom „únie“, v poznámke pod čiarou k odkazu 68 slová „a nasl.“ nahradiť uvedením výpočtu konkrétnych článkov nariadenia EÚ, v § 387 pred slovo „ak“ vložiť čiarku, v § 389 vypustiť slovo „následne“ ako nadbytočné, v § 391 ods. 2 vypustiť slovo „rovnako“ ako nadbytočné,  v § 392 slovo „hradí“ nahradiť slovom „uhrádza“, v § 394 ods. 1 slová „jej prípadného doplnenia“ nahradiť slovami „možnosti jej doplnenia“, v § 400 ods. 5 slová „odseku 3“ nahradiť slovami „odseku 4“, v § 407 ods. 1 písm. a) slovo „zatykač“ nahradiť slovami „zatýkací rozkaz“ alebo iným vhodným pojmom, v § 412 ods. 4 druhej vete za slovo „trestu“ vložiť slová „odňatia slobody“, v nadväznosti na splnomocňovacie ustanovenia uvedené v § 414 písm. b), c), d), j), k) a n) odporúčame v právnej úprave jednotlivých formulárov, osvedčení a oznámení ustanoviť, že sa vyhotovujú podľa vzoru ustanoveného na základe § 414, v § 414 písm. n) slovo „oznámenia“ nahradiť slovami „formulára na informovanie“ z dôvodu zosúladenia s § 150 ods. 1, v § 417 treťom bode za číslo „2016“ vložiť skratku „Z. z.“, § 418 upraviť tak, aby jednotlivé ustanovenia nadobúdali účinnosť chronologicky, slová „§ 6, § 7, § 11, § 13, § 18“ nahradiť číslami „6, 7, 11, 13, 18“ a  za slovo „prvej“ vložiť slovo „hlavy“).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odporúčame zosúladiť s Legislatívnymi pravidlami vlády Slovenskej republiky, a to napríklad </w:t>
              <w:br/>
            </w:r>
            <w:r>
              <w:rPr>
                <w:b w:val="off"/>
                <w:color w:val="000000"/>
                <w:rFonts w:ascii="Times New Roman" w:hAnsi="Times New Roman" w:cs="Times New Roman" w:eastAsia="Times New Roman"/>
                <w:sz w:val="24"/>
              </w:rPr>
              <w:t>- v  §1 ods. 1 odporúčame slovo „upravuje“ nahradiť slovom „ustanovuje“,</w:t>
              <w:br/>
            </w:r>
            <w:r>
              <w:rPr>
                <w:b w:val="off"/>
                <w:color w:val="000000"/>
                <w:rFonts w:ascii="Times New Roman" w:hAnsi="Times New Roman" w:cs="Times New Roman" w:eastAsia="Times New Roman"/>
                <w:sz w:val="24"/>
              </w:rPr>
              <w:t>-  v celom materiáli odporúčame doplniť bodku na konci odseku napr. § 14 ods. 3, § 68 ods. 6,</w:t>
              <w:br/>
            </w:r>
            <w:r>
              <w:rPr>
                <w:b w:val="off"/>
                <w:color w:val="000000"/>
                <w:rFonts w:ascii="Times New Roman" w:hAnsi="Times New Roman" w:cs="Times New Roman" w:eastAsia="Times New Roman"/>
                <w:sz w:val="24"/>
              </w:rPr>
              <w:t>- v  § 38 ods. 1 odporúčame slovo „pokiaľ“ nahradiť slovom „ak“, rovnakú úpravu odporúčame v § 311,</w:t>
              <w:br/>
            </w:r>
            <w:r>
              <w:rPr>
                <w:b w:val="off"/>
                <w:color w:val="000000"/>
                <w:rFonts w:ascii="Times New Roman" w:hAnsi="Times New Roman" w:cs="Times New Roman" w:eastAsia="Times New Roman"/>
                <w:sz w:val="24"/>
              </w:rPr>
              <w:t>- v  § 363 ods. 5 odporúčame odkaz 59 premiestniť až za čiarku,</w:t>
              <w:br/>
            </w:r>
            <w:r>
              <w:rPr>
                <w:b w:val="off"/>
                <w:color w:val="000000"/>
                <w:rFonts w:ascii="Times New Roman" w:hAnsi="Times New Roman" w:cs="Times New Roman" w:eastAsia="Times New Roman"/>
                <w:sz w:val="24"/>
              </w:rPr>
              <w:t>- v prílohe bode 3 odporúčame za slová „26. februára“ doplniť rok „2009“.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109 ods. 2 písm. s)</w:t>
              <w:br/>
            </w:r>
            <w:r>
              <w:rPr>
                <w:b w:val="off"/>
                <w:color w:val="000000"/>
                <w:rFonts w:ascii="Times New Roman" w:hAnsi="Times New Roman" w:cs="Times New Roman" w:eastAsia="Times New Roman"/>
                <w:sz w:val="24"/>
              </w:rPr>
              <w:t>Žiadame písmeno s) uviesť nasledovne: „s) trestné činy proti kultúrnemu dedičstvu vrátane nedovoleného obchodovania so starožitnosťami, umeleckými dielami a inými kultúrnymi objektmi,“.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nezodpovedá úplne súčasnému medzinárodnému trendu na poli boja proti kriminalite na úseku kultúrneho dedičstva, ktorý sa zameriava aj na trestné činy zamerané na úmyselné poškodzovanie alebo ničenie kultúrnych objektov.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po stretnutí zástupcov MK SR a MS SR preformulovaná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3, § 30 ods. 5 a § 68 ods. 6</w:t>
              <w:br/>
            </w:r>
            <w:r>
              <w:rPr>
                <w:b w:val="off"/>
                <w:color w:val="000000"/>
                <w:rFonts w:ascii="Times New Roman" w:hAnsi="Times New Roman" w:cs="Times New Roman" w:eastAsia="Times New Roman"/>
                <w:sz w:val="24"/>
              </w:rPr>
              <w:t>Navrhujeme vložiť bodku na konci odsekov.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91 ods. 1 písm. e)</w:t>
              <w:br/>
            </w:r>
            <w:r>
              <w:rPr>
                <w:b w:val="off"/>
                <w:color w:val="000000"/>
                <w:rFonts w:ascii="Times New Roman" w:hAnsi="Times New Roman" w:cs="Times New Roman" w:eastAsia="Times New Roman"/>
                <w:sz w:val="24"/>
              </w:rPr>
              <w:t>Odporúčame vložiť čiarku na konci písmena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333</w:t>
              <w:br/>
            </w:r>
            <w:r>
              <w:rPr>
                <w:b w:val="off"/>
                <w:color w:val="000000"/>
                <w:rFonts w:ascii="Times New Roman" w:hAnsi="Times New Roman" w:cs="Times New Roman" w:eastAsia="Times New Roman"/>
                <w:sz w:val="24"/>
              </w:rPr>
              <w:t>Navrhujeme upraviť členenie paragrafu na písmená v súlade s bodom 14 prílohy č. 1 Legislatívnych pravidiel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109 ods. 2</w:t>
              <w:br/>
            </w:r>
            <w:r>
              <w:rPr>
                <w:b w:val="off"/>
                <w:color w:val="000000"/>
                <w:rFonts w:ascii="Times New Roman" w:hAnsi="Times New Roman" w:cs="Times New Roman" w:eastAsia="Times New Roman"/>
                <w:sz w:val="24"/>
              </w:rPr>
              <w:t>Odporúčame v § 109 ods.  2 za písmeno ab) vložiť nové písmeno ac), ktoré znie:</w:t>
              <w:br/>
            </w:r>
            <w:r>
              <w:rPr>
                <w:b w:val="off"/>
                <w:color w:val="000000"/>
                <w:rFonts w:ascii="Times New Roman" w:hAnsi="Times New Roman" w:cs="Times New Roman" w:eastAsia="Times New Roman"/>
                <w:sz w:val="24"/>
              </w:rPr>
              <w:t>„ac) sexuálne násilie,“.</w:t>
              <w:br/>
            </w:r>
            <w:r>
              <w:rPr>
                <w:b w:val="off"/>
                <w:color w:val="000000"/>
                <w:rFonts w:ascii="Times New Roman" w:hAnsi="Times New Roman" w:cs="Times New Roman" w:eastAsia="Times New Roman"/>
                <w:sz w:val="24"/>
              </w:rPr>
              <w:t>Doterajšie písmená ac) až af) je potrebné označiť ako písmená ad) až ag).</w:t>
              <w:br/>
            </w:r>
            <w:r>
              <w:rPr>
                <w:b w:val="off"/>
                <w:color w:val="000000"/>
                <w:rFonts w:ascii="Times New Roman" w:hAnsi="Times New Roman" w:cs="Times New Roman" w:eastAsia="Times New Roman"/>
                <w:sz w:val="24"/>
              </w:rPr>
              <w:t xml:space="preserve">Odôvodnenie: Predkladateľom navrhované znenie § 109 ods. 2 ustanovuje výpočet kategórií trestných činov, pri ktorých súd neposudzuje splnenie podmienky obojstrannej trestnosti. </w:t>
              <w:br/>
            </w:r>
            <w:r>
              <w:rPr>
                <w:b w:val="off"/>
                <w:color w:val="000000"/>
                <w:rFonts w:ascii="Times New Roman" w:hAnsi="Times New Roman" w:cs="Times New Roman" w:eastAsia="Times New Roman"/>
                <w:sz w:val="24"/>
              </w:rPr>
              <w:t>V § 109 ods. 2 sa v písmene d) uvádza sexuálne zneužívanie alebo sexuálne vykorisťovanie vrátane detskej pornografie a v písmene ab) znásilnenie. Vzhľadom na skutočnosť, že podľa stavu de lege lata nemôže byť obeťou trestného činu znásilnenia podľa § 199 Trestného zákona muž, je nevyhnutné z dôvodu zabezpečenia rovnakej právnej ochrany obetiam trestných činov, ako aj zabezpečenia práva na spravodlivý proces, ktorých garantovanie vyplýva Slovenskej republike nielen z vnútroštátneho práva, ale aj medzinárodných záväzkov a práva Európskej únie, uvedené označenie skutkovej podstaty doplniť.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Zoznam kategórií vychádza z ustáleného zoznamu uvedeného v právne záväzných aktoch EÚ, ktoré s istou mierou všeobecnosti reagujú na skupiny trestných činov, pričom potenciálny odklon alebo modifikácie môžu byť zapracované len na základe a podľa transponovaných aktov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258 ods. 2 písm. a)</w:t>
              <w:br/>
            </w:r>
            <w:r>
              <w:rPr>
                <w:b w:val="off"/>
                <w:color w:val="000000"/>
                <w:rFonts w:ascii="Times New Roman" w:hAnsi="Times New Roman" w:cs="Times New Roman" w:eastAsia="Times New Roman"/>
                <w:sz w:val="24"/>
              </w:rPr>
              <w:t>Odporúčame v § 258 ods. 2 písm. a) slovo „zamestnania“ nahradiť slovom „práce“.</w:t>
              <w:br/>
            </w:r>
            <w:r>
              <w:rPr>
                <w:b w:val="off"/>
                <w:color w:val="000000"/>
                <w:rFonts w:ascii="Times New Roman" w:hAnsi="Times New Roman" w:cs="Times New Roman" w:eastAsia="Times New Roman"/>
                <w:sz w:val="24"/>
              </w:rPr>
              <w:t xml:space="preserve">Odôvodnenie: Ak predkladateľ v § 258 ods. 2 písm. a) má na mysli pojem „druh práce“ </w:t>
              <w:br/>
            </w:r>
            <w:r>
              <w:rPr>
                <w:b w:val="off"/>
                <w:color w:val="000000"/>
                <w:rFonts w:ascii="Times New Roman" w:hAnsi="Times New Roman" w:cs="Times New Roman" w:eastAsia="Times New Roman"/>
                <w:sz w:val="24"/>
              </w:rPr>
              <w:t xml:space="preserve">ako podstatnú náležitosť pracovnej zmluvy (§ 43 Zákonníka práce), tak by mal predkladateľ pri harmonizácii slovenského právneho poriadku s právom Európskej únie (Rámcové rozhodnutie rady 2009/829/SVV z 23. októbra 2009 o uplatňovaní zásady vzájomného uznávania na rozhodnutia o opatreniach dohľadu ako alternatíve väzby medzi členskými štátmi Európskej únie) použiť pojem slovenského právneho poriadku, t. j. druh práce, ktorý platné právo Slovenskej republiky používa v platnom základnom predpise pracovného práva </w:t>
              <w:br/>
            </w:r>
            <w:r>
              <w:rPr>
                <w:b w:val="off"/>
                <w:color w:val="000000"/>
                <w:rFonts w:ascii="Times New Roman" w:hAnsi="Times New Roman" w:cs="Times New Roman" w:eastAsia="Times New Roman"/>
                <w:sz w:val="24"/>
              </w:rPr>
              <w:t xml:space="preserve">a nie pojem „druh zamestnania“.  </w:t>
              <w:br/>
            </w:r>
            <w:r>
              <w:rPr>
                <w:b w:val="off"/>
                <w:color w:val="000000"/>
                <w:rFonts w:ascii="Times New Roman" w:hAnsi="Times New Roman" w:cs="Times New Roman" w:eastAsia="Times New Roman"/>
                <w:sz w:val="24"/>
              </w:rPr>
              <w:t>Ak má predkladateľ na mysli niečo iné, tak sa javí, že by mal použiť inú vhodnú formuláciu, ním zvolenú, aby nedošlo k zámene s druhom práce podľa Zákonníka práce u adresátov právnej normy, t. j. aby bolo jasné adresátovi právnej normy, čo sa myslí pod pojmom „druh zamestnania“ (napr. má ísť o nejakú osobitnú štatistickú klasifikáciu zamestnaní ako SK ISCO-08 (https://static.slov-lex.sk/pdf/prilohy/SK/ZZ/2020/449/20210101_5289809-2.pdf).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144</w:t>
              <w:br/>
            </w:r>
            <w:r>
              <w:rPr>
                <w:b w:val="off"/>
                <w:color w:val="000000"/>
                <w:rFonts w:ascii="Times New Roman" w:hAnsi="Times New Roman" w:cs="Times New Roman" w:eastAsia="Times New Roman"/>
                <w:sz w:val="24"/>
              </w:rPr>
              <w:t>V § 144 ods. 1 písm. c) žiadame na koniec pripojiť slová „vrátane cezhraničného sledovania“.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aby predmetné ustanovenie obsahovalo okrem pojmu z § 113 Trestného poriadku (tzn. sledovanie osôb a veci) aj pojem „cezhraničné sledovanie“ podľa § 544 Trestného poriadku, keďže oba tieto trestnoprocesné inštitúty môžu byť použité v aplikačnej praxi a sú samostatné.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9.2.2026 a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 ods. 3 návrhu zákona znie:</w:t>
              <w:br/>
            </w:r>
            <w:r>
              <w:rPr>
                <w:b w:val="off"/>
                <w:color w:val="000000"/>
                <w:rFonts w:ascii="Times New Roman" w:hAnsi="Times New Roman" w:cs="Times New Roman" w:eastAsia="Times New Roman"/>
                <w:sz w:val="24"/>
              </w:rPr>
              <w:t xml:space="preserve">(3) Na konanie vo vzťahu k členským štátom Európskej únie sa primerane použije druhá časť tohto zákona, ak  tretia časť     neustanovuje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sa upraví nasledovne: Ustanovenie reaguje na inštitúty a postupy, ktoré sú upravené v druhej časti návrhu tak, aby sa mohli uplatniť v postupoch justičných orgánov aj vo vzťahoch medzi členskými štátmi EÚ primeraným spôsobom, ktorý nebude v rozpore so samotnou treťou časťou (ide napr. o postupy cezhraničného sledovania).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144 a 145</w:t>
              <w:br/>
            </w:r>
            <w:r>
              <w:rPr>
                <w:b w:val="off"/>
                <w:color w:val="000000"/>
                <w:rFonts w:ascii="Times New Roman" w:hAnsi="Times New Roman" w:cs="Times New Roman" w:eastAsia="Times New Roman"/>
                <w:sz w:val="24"/>
              </w:rPr>
              <w:t>Žiadame upraviť znenie § 144 a 145 alebo vložiť ustanovenie nového paragrafu, ktoré bude bližšie upravovať postup a výkon cezhraničného sledovania</w:t>
              <w:br/>
            </w:r>
            <w:r>
              <w:rPr>
                <w:b w:val="off"/>
                <w:color w:val="000000"/>
                <w:rFonts w:ascii="Times New Roman" w:hAnsi="Times New Roman" w:cs="Times New Roman" w:eastAsia="Times New Roman"/>
                <w:sz w:val="24"/>
              </w:rPr>
              <w:t>Odôvodnenie: Na pôde Ministerstva spravodlivosti Slovenskej republiky sa dňa 20. júna 2024 uskutočnilo rozporové konanie k návrhu zákona o justičnej spolupráci v trestných veciach (ďalej len „pôvodný návrh zákona o justičnej spolupráci“) a k návrhu zákona o niektorých opatreniach súvisiacich s prijatím zákona o justičnej spolupráci v trestných veciach a o zmene a doplnení niektorých zákonov. Uplatnenými pripomienkami sa navrhovalo, aby bol upravený postup a výkon cezhraničného sledovania, nakoľko podľa § 98 pôvodného návrhu zákona o justičnej spolupráci sa vo vzťahu k členským štátom Európskej únie nepoužije Európsky dohovor Rady Európy z 20. apríla1959 o vzájomnej pomoci v trestných veciach, ako aj dva dodatkové protokoly k nemu a dvojstranné dohody uzavreté na základe článku 26 predmetného dohovoru. Rovnako sa podľa § 98 pôvodného návrhu zákona o justičnej spolupráci nemala aplikovať ani ďalšia medzinárodná zmluva (Dohovor, ktorým sa vykonáva Schengenská dohoda zo 14. júna 1985), ktorá upravuje cezhraničné sledovanie.</w:t>
              <w:br/>
            </w:r>
            <w:r>
              <w:rPr>
                <w:b w:val="off"/>
                <w:color w:val="000000"/>
                <w:rFonts w:ascii="Times New Roman" w:hAnsi="Times New Roman" w:cs="Times New Roman" w:eastAsia="Times New Roman"/>
                <w:sz w:val="24"/>
              </w:rPr>
              <w:t>Na základe vyššie uvedených skutočností bolo prisľúbené, že sa predmetná téma upraví, avšak v návrhu upravená nie je.</w:t>
              <w:br/>
            </w:r>
            <w:r>
              <w:rPr>
                <w:b w:val="off"/>
                <w:color w:val="000000"/>
                <w:rFonts w:ascii="Times New Roman" w:hAnsi="Times New Roman" w:cs="Times New Roman" w:eastAsia="Times New Roman"/>
                <w:sz w:val="24"/>
              </w:rPr>
              <w:t>V aktuálne predloženom návrhu zákona o medzinárodnej justičnej spolupráci sa podľa § 107 (vzťah k medzinárodným zmluvám) pri justičnej spolupráci s členskými štátmi Európskej únie opätovne neaplikujú vyššie uvedené medzinárodné zmluvy a dohovory, ktoré priamo upravujú postup pri cezhraničnom sledovaní (čl. 17 Dohovoru o vzájomnej pomoci v trestných veciach medzi členskými štátmi Európskej únie a čl. 40 Dohovoru, ktorým sa vykonáva Schengenská dohoda).</w:t>
              <w:br/>
            </w:r>
            <w:r>
              <w:rPr>
                <w:b w:val="off"/>
                <w:color w:val="000000"/>
                <w:rFonts w:ascii="Times New Roman" w:hAnsi="Times New Roman" w:cs="Times New Roman" w:eastAsia="Times New Roman"/>
                <w:sz w:val="24"/>
              </w:rPr>
              <w:t>Základným princípom cezhraničného sledovania je vykonávanie sledovania osôb a vecí štátnym orgánom jednej krajiny na území inej krajiny, na základe žiadosti jednej krajiny a následného súhlasu inej krajiny, vrátane naliehavého postupu, kedy je možné sledovanie vykonávať aj bez vopred udeleného súhlasu. Takto získané informácie štátny orgán vykonávajúci sledovanie na území inej krajiny, môže použiť ako dôkaz v rámci trestného konania vedeného vo vlastnej krajine.</w:t>
              <w:br/>
            </w:r>
            <w:r>
              <w:rPr>
                <w:b w:val="off"/>
                <w:color w:val="000000"/>
                <w:rFonts w:ascii="Times New Roman" w:hAnsi="Times New Roman" w:cs="Times New Roman" w:eastAsia="Times New Roman"/>
                <w:sz w:val="24"/>
              </w:rPr>
              <w:t>Inštitút sledovania osôb a vecí v § 144 a 145 súčasného návrhu zákona o medzinárodnej justičnej spolupráci v rámci európskeho vyšetrovacieho príkazu nezahŕňa základný princíp cezhraničného sledovania, a preto ho je možné využiť len v prípade, ak sledovanie bude vykonávané štátnym orgánom v rámci svojej územnej pôsobnosti na základe žiadosti inej krajiny. Takto získané informácie budú postúpené krajine, ktorá o sledovanie požiadala, aby ich mohla použiť ako dôkaz v rámci trestného konania vedeného vo vlastnej krajine.</w:t>
              <w:br/>
            </w:r>
            <w:r>
              <w:rPr>
                <w:b w:val="off"/>
                <w:color w:val="000000"/>
                <w:rFonts w:ascii="Times New Roman" w:hAnsi="Times New Roman" w:cs="Times New Roman" w:eastAsia="Times New Roman"/>
                <w:sz w:val="24"/>
              </w:rPr>
              <w:t>Nezapracovaním princípu cezhraničného sledovania (priame pôsobenie cudzích štátnych orgánov na území Slovenskej republiky, ako aj pôsobenie slovenských štátnych orgánov na území iných krajín) do tretej časti súčasného návrhu zákona o medzinárodnej justičnej spolupráci dôjde k nemožnosti vzájomného využívania tohto medzinárodne zavedeného špecifického inštitútu.</w:t>
              <w:br/>
            </w:r>
            <w:r>
              <w:rPr>
                <w:b w:val="off"/>
                <w:color w:val="000000"/>
                <w:rFonts w:ascii="Times New Roman" w:hAnsi="Times New Roman" w:cs="Times New Roman" w:eastAsia="Times New Roman"/>
                <w:sz w:val="24"/>
              </w:rPr>
              <w:t>Na základe uvedeného naďalej zastávame názor, že je potrebné upraviť a precizovať ustanovenia § 144 a § 145 aktuálne predloženého návrhu zákona o medzinárodnej justičnej spolupráci alebo vytvoriť nové spoločné ustanovenie (tzn. pre § 144 a § 145), ktoré bude bližšie špecifikovať postup a výkon cezhraničného sledovania, obdobne ako je to upravené v § 41 a § 42 súčasného návrhu zákona.</w:t>
              <w:br/>
            </w:r>
            <w:r>
              <w:rPr>
                <w:b w:val="off"/>
                <w:color w:val="000000"/>
                <w:rFonts w:ascii="Times New Roman" w:hAnsi="Times New Roman" w:cs="Times New Roman" w:eastAsia="Times New Roman"/>
                <w:sz w:val="24"/>
              </w:rPr>
              <w:t>Poukazujeme tiež  na zákon Českej republiky č. 104/2013 Sb. o mezinárodní justiční spolupráci ve věcech trestních v znení neskorších predpisov (ďalej len „český zákon o medzinárodnej justičnej spolupráci“), kde je v § 62 (přeshraniční sledování orgánem České republiky) a § 63 (přeshraniční sledování cizozemským orgánem) upravené cezhraničné sledovanie obdobne ako v predloženom návrhu zákona o medzinárodnej justičnej spolupráci.</w:t>
              <w:br/>
            </w:r>
            <w:r>
              <w:rPr>
                <w:b w:val="off"/>
                <w:color w:val="000000"/>
                <w:rFonts w:ascii="Times New Roman" w:hAnsi="Times New Roman" w:cs="Times New Roman" w:eastAsia="Times New Roman"/>
                <w:sz w:val="24"/>
              </w:rPr>
              <w:t>Zároveň sa obdobná právna úprava, ako tá slovenská, opätovne nachádza v českom zákone o medzinárodnej justičnej spolupráci v § 387 (sledování na území jiného členského státu), kde sa v odseku 4 odkazuje okrem iného na § 62 (přeshraniční sledování orgánem České republiky) a v § 388 (sledování na území České republiky) sa v odseku 3 odkazuje okrem iného na § 63 (přeshraniční sledování cizozemským orgánem) predmetného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9.2.2026 a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Pozri vyhodnotenie k pripomienke vyššie (k § 144).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Žiadame, aby bol do návrhu zapracovaný aj inštitút vyhotovovania obrazových, zvukových alebo obrazovo-zvukových záznamov podľa § 114 Trestného poriadku, ktorý v ňom bol opomenutý.</w:t>
              <w:br/>
            </w:r>
            <w:r>
              <w:rPr>
                <w:b w:val="off"/>
                <w:color w:val="000000"/>
                <w:rFonts w:ascii="Times New Roman" w:hAnsi="Times New Roman" w:cs="Times New Roman" w:eastAsia="Times New Roman"/>
                <w:sz w:val="24"/>
              </w:rPr>
              <w:t>Odôvodnenie: Vyhotovovanie obrazových, zvukových alebo obrazovo-zvukových záznamov podľa § 114 Trestného poriadku možno považovať za jeden z najvýznamnejších trestnoprocesných inštitútov zabezpečovania informácií.</w:t>
              <w:br/>
            </w:r>
            <w:r>
              <w:rPr>
                <w:b w:val="off"/>
                <w:color w:val="000000"/>
                <w:rFonts w:ascii="Times New Roman" w:hAnsi="Times New Roman" w:cs="Times New Roman" w:eastAsia="Times New Roman"/>
                <w:sz w:val="24"/>
              </w:rPr>
              <w:t>Podľa § 10 ods. 20 Trestného poriadku sa informačno-technickými prostriedkami „rozumejú elektrotechnické, rádiotechnické, fototechnické, optické, mechanické, chemické a iné technické prostriedky a zariadenia alebo ich súbory použité utajovaným spôsobom pri odpočúvaní a zázname prevádzky v elektronických komunikačných sieťach (ďalej len „odpočúvanie a záznam telekomunikačnej prevádzky“), obrazových, zvukových alebo obrazovo-zvukových záznamov alebo pri vyhľadávaní, otváraní a skúmaní zásielok, ak sa ich použitím zasahuje do základných ľudských práv a slobôd“. Z uvedenej zákonnej definície vyplýva, že informačno-technické prostriedky sa nepoužijú len pri odpočúvaní a zázname telekomunikačnej prevádzky, ale aj pri vyhotovovaní obrazových, zvukových alebo obrazovo-zvukových záznamov.</w:t>
              <w:br/>
            </w:r>
            <w:r>
              <w:rPr>
                <w:b w:val="off"/>
                <w:color w:val="000000"/>
                <w:rFonts w:ascii="Times New Roman" w:hAnsi="Times New Roman" w:cs="Times New Roman" w:eastAsia="Times New Roman"/>
                <w:sz w:val="24"/>
              </w:rPr>
              <w:t>Predmetný trestnoprocesný inštitút (§ 114 Trestného poriadku) sa môže použiť buď samostatne, ale často sa využíva aj v kombinácii s inými trestnoprocesnými inštitútmi. Jednotlivé ustanovenia aktuálne predloženého návrhu zákona o medzinárodnej justičnej spolupráci upravujú len odpočúvanie a záznam telekomunikačnej prevádzky (napríklad § 39, § 148, § 149, § 150, § 151), pričom vôbec nereflektujú na trestnoprocesný inštitút podľa § 114 Trestného poriadku.</w:t>
              <w:br/>
            </w:r>
            <w:r>
              <w:rPr>
                <w:b w:val="off"/>
                <w:color w:val="000000"/>
                <w:rFonts w:ascii="Times New Roman" w:hAnsi="Times New Roman" w:cs="Times New Roman" w:eastAsia="Times New Roman"/>
                <w:sz w:val="24"/>
              </w:rPr>
              <w:t>Zároveň je potrebné zdôrazniť, že aj samotné znenie § 114 ods. 2 Trestného poriadku obsahuje istý medzinárodný prvok: „...vyhotovovanie obrazových, zvukových alebo obrazovo-zvukových záznamov spojených s priamym vstupom do obydlia je prípustné len v trestnom konaní ... pre iný úmyselný trestný čin, o ktorom na konanie zaväzuje medzinárodná zmluva...“.</w:t>
              <w:br/>
            </w:r>
            <w:r>
              <w:rPr>
                <w:b w:val="off"/>
                <w:color w:val="000000"/>
                <w:rFonts w:ascii="Times New Roman" w:hAnsi="Times New Roman" w:cs="Times New Roman" w:eastAsia="Times New Roman"/>
                <w:sz w:val="24"/>
              </w:rPr>
              <w:t>Záverom uvádzame, že oba inštitúty (tzn. § 114 a § 115 Trestného poriadku) sa použijú vtedy, ak možno dôvodne predpokladať, že budú zistené skutočnosti významné pre trestné konanie (§ 114 ods. 1 a § 115 ods.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9.2.2026.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41  ods. 7 znie návrhu zákona znie: (7) Na vyhotovovanie obrazových, zvukových alebo obrazovo-zvukových záznamov sa postupuje primerane za podmienok upravených v medzinárodnej zmluve.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42  ods. 6 návrhu zákona znie: (6) Na vyhotovovanie obrazových, zvukových alebo obrazovo-zvukových záznamov sa postupuje primerane za podmienok upravených v medzinárodnej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sa upraví nasledovne: Ustanovenie upravuje možnosť slovenským orgánom (pri § 42 orgánom cudzieho štátu) uskutočňovať vyhotovovanie obrazových, zvukových alebo obrazovo-zvukových záznamov v súlade s ustanoveniami medzinárodnej zmluvy, ktorej je SR zmluvnou stranou. Ide predovšetkým o Tretí dodatkový protokol k Európskemu dohovoru o vzájomnej právnej pomoci v trestných veciach, konkrétne k jeho čl. 3, ktoré však SR zatiaľ nie je zmluvnou stranou. Záznamové zariadenia (GPS, audio atď.) sú účinnými nástrojmi v boji proti najzávažnejším formám nadnárodnej trestnej činnosti. Aktuálne sa upravuje rozsah výlučnej právomoci EÚ ohľadom jednotlivých ustanovení protokolu a rovnako možností pre členské štáty EÚ uplatniť výhrady resp. vyhlásenia.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204</w:t>
              <w:br/>
            </w:r>
            <w:r>
              <w:rPr>
                <w:b w:val="off"/>
                <w:color w:val="000000"/>
                <w:rFonts w:ascii="Times New Roman" w:hAnsi="Times New Roman" w:cs="Times New Roman" w:eastAsia="Times New Roman"/>
                <w:sz w:val="24"/>
              </w:rPr>
              <w:t>V § 204 ods. 2 žiadame slová „Policajného prezídia Slovenskej republiky“ nahradiť slovami „Prezídia Policajného zboru“.</w:t>
              <w:br/>
            </w:r>
            <w:r>
              <w:rPr>
                <w:b w:val="off"/>
                <w:color w:val="000000"/>
                <w:rFonts w:ascii="Times New Roman" w:hAnsi="Times New Roman" w:cs="Times New Roman" w:eastAsia="Times New Roman"/>
                <w:sz w:val="24"/>
              </w:rPr>
              <w:t>Odôvodnenie: Žiadame upraviť označenie Prezídia Policajného zboru tak, ako sa uvádza v § 4 ods. 3 písm. a) zákona Národnej rady Slovenskej republiky č. 171/1993 Z. z. o Policajnom zbore v znení neskorších predpisov a aj v § 42 ods. 2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w:t>
              <w:br/>
            </w:r>
            <w:r>
              <w:rPr>
                <w:b w:val="off"/>
                <w:color w:val="000000"/>
                <w:rFonts w:ascii="Times New Roman" w:hAnsi="Times New Roman" w:cs="Times New Roman" w:eastAsia="Times New Roman"/>
                <w:sz w:val="24"/>
              </w:rPr>
              <w:t>§ 3 vrátane nadpisu žiadame uviesť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w:t>
              <w:br/>
            </w:r>
            <w:r>
              <w:rPr>
                <w:b w:val="off"/>
                <w:color w:val="000000"/>
                <w:rFonts w:ascii="Times New Roman" w:hAnsi="Times New Roman" w:cs="Times New Roman" w:eastAsia="Times New Roman"/>
                <w:sz w:val="24"/>
              </w:rPr>
              <w:t>Prednosť medzinárodných zmlúv a právne záväzných aktov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Medzinárodná zmluva  podľa čl. 7 ods. 5 Ústavy Slovenskej republiky alebo právne záväzný akt Európskej únie majú prednosť pred týmto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Prednostnými zmluvami sú len medzinárodné zmluvy uvedené  v čl. 7 ods. 5 Ústavy Slovenskej republiky, podľa ktorého „Medzinárodné zmluvy o ľudských právach a základných slobodách, medzinárodné zmluvy, na ktorých vykonanie nie je potrebný zákon, a medzinárodné zmluvy, ktoré priamo zakladajú práva alebo povinnosti fyzických osôb alebo právnických osôb a ktoré boli ratifikované a vyhlásené spôsobom ustanoveným zákonom, majú prednosť pred zákonmi.</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10.2.2026 a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w:t>
              <w:br/>
            </w:r>
            <w:r>
              <w:rPr>
                <w:b w:val="off"/>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Prednosť medzinárodných zmlúv a právne záväzných aktov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Ustanovenia tohto zákona sa použijú, ak medzinárodná zmluva neustanovuje inak; § 107 tým nie je dotknutý.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Právne záväzné akty Európskej únie majú prednosť pred týmto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 3:</w:t>
              <w:br/>
            </w:r>
            <w:r>
              <w:rPr>
                <w:b w:val="off"/>
                <w:color w:val="000000"/>
                <w:rFonts w:ascii="Times New Roman" w:hAnsi="Times New Roman" w:cs="Times New Roman" w:eastAsia="Times New Roman"/>
                <w:sz w:val="24"/>
              </w:rPr>
              <w:t>Toto ustanovenie reflektuje v odseku 1 princíp subsidiarity zákonnej úpravy voči úprave v medzinárodných zmluvách, ktorý charakterizoval úpravu právneho styku s cudzinou aj v minulosti, pričom výnimkou je zoznam derogovaných medzinárodných zmlúv v ustanovení § 107, ktoré sa v dôsledku transpozičnej povinnosti SR neuplatňujú  vo vzťahoch členských štátov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107</w:t>
              <w:br/>
            </w:r>
            <w:r>
              <w:rPr>
                <w:b w:val="off"/>
                <w:color w:val="000000"/>
                <w:rFonts w:ascii="Times New Roman" w:hAnsi="Times New Roman" w:cs="Times New Roman" w:eastAsia="Times New Roman"/>
                <w:sz w:val="24"/>
              </w:rPr>
              <w:t>§ 107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Vnútroštátny zákon nemôže stricto sensu obmedziť vykonávanie medzinárodnej zmluvy vcelku ani niektorých jej ustanovení. Ustanovenie je v rozpore s čl.27 Viedenského dohovoru o zmluvnom práve (publ. pod č. 15/1998 Zb.).</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10.2.2026 a rozpor bol odstránený. Odkaz na rámcové rozhodnutie bude doplnený do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 107:</w:t>
              <w:br/>
            </w:r>
            <w:r>
              <w:rPr>
                <w:b w:val="off"/>
                <w:color w:val="000000"/>
                <w:rFonts w:ascii="Times New Roman" w:hAnsi="Times New Roman" w:cs="Times New Roman" w:eastAsia="Times New Roman"/>
                <w:sz w:val="24"/>
              </w:rPr>
              <w:t>Ustanovenie pozostávajúce zo zoznamu jednotlivých medzinárodných zmlúv vzťahujúcich sa na inštitúty v príslušných hlavách tretej časti zákona prináša jasnejšie a všeobecne platné pravidlo rozsahu ich použitia resp. ich nahradenia. Ustanovenie obsahuje princíp derogácie z uplatňovania vymenovaných  medzinárodných zmlúv, ktorý vyžaduje, aby sa pri vzťahoch s inými členskými štátmi EÚ neuplatňovali v celistvosti alebo v tých ich častiach, ktoré upravujú postupy pokryté už v právnych aktoch EÚ. Tento záväzok neuplatňovať vymedzené medzinárodné zmluvy je prítomný priamo v právnych aktoch EÚ ako napr.  rámcové rozhodnutie o európskom zatykači a postupoch odovzdávania osôb medzi členskými štátmi (2002/584/SVV), rámcové rozhodnutie o uplatňovaní zásady vzájomného uznávania na rozsudky v trestných veciach, ktorými sa ukladajú tresty odňatia slobody alebo opatrenia zahŕňajúce pozbavenie osobnej slobody, na účely ich výkonu v Európskej únii (2008/909/SVV), smernica o európskom vyšetrovacom príkaze v trestných veciach (2014/41/EÚ). Uvedené právne nástroje EÚ totiž vo vymedzenom segmente justičnej spolupráce poskytujú flexibilnejšiu a efektívnejšiu spoluprácu v porovnaní so „štandardnými“ metódami a tento zoznam neuplatniteľných právnych základov poskytuje nielen usmernenie pre praktikov, ale predstavuje najmä transpozičnú povinnosť  SR.  Neuplatňuje sa princíp subsidiarity vnútroštátnej právnej úpravy vo vzťahu k medzinárodných zmluvám, ako je to v doteraz platnom Trestnom poriadku. Medzinárodné zmluvy z oblasti justičnej spolupráce sa uplatnia v rozsahu upravenom týmto ustanovením. Od týchto zmlúv je však potrebné odlíšiť iné medzinárodné zmluvy (napríklad z oblasti ľudských práv a základných slobôd), ktoré majú prednosť pred zákonom.  Ministerstvo spravodlivosti (po dvojstranných rokovaniach s inými členskými štátmi EÚ, resp. po vnútroštátnych rokovaniach) môže vyhlásiť vzájomnosť použitia jazykov. Podstatou takýchto vyhlásení je skutočnosť, že justičný orgán štátu pôvodu môže vo vzájomnom styku s orgánom štátu, ktorý vykonáva žiadosť, používať svoj úradný jazyk bez toho, aby potrebné dokumenty boli preložené do úradného jazyka tohto štátu, alebo ak má viacero úradných jazykov, tak do jedného z nich (napr. Belgicko má tri úradné jazyky).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334</w:t>
              <w:br/>
            </w:r>
            <w:r>
              <w:rPr>
                <w:b w:val="off"/>
                <w:color w:val="000000"/>
                <w:rFonts w:ascii="Times New Roman" w:hAnsi="Times New Roman" w:cs="Times New Roman" w:eastAsia="Times New Roman"/>
                <w:sz w:val="24"/>
              </w:rPr>
              <w:t>§ 334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Vnútroštátny zákon nemôže stricto sensu obmedziť vykonávanie medzinárodnej zmluvy vcelku ani niektorých jej ustanovení. Ustanovenie je v rozpore s čl.27 Viedenského dohovoru o zmluvnom práve (publ. pod č. 15/1998 Zb.). Zároveň poukazujeme na skutočnosť, že predkladateľom navrhnuté znenie uvádza odkaz na § 333 ods. 2, pričom v § 333 sa odsek 2 nenachádza.</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10.2.2026 a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bude doplnená.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 334:</w:t>
              <w:br/>
            </w:r>
            <w:r>
              <w:rPr>
                <w:b w:val="off"/>
                <w:color w:val="000000"/>
                <w:rFonts w:ascii="Times New Roman" w:hAnsi="Times New Roman" w:cs="Times New Roman" w:eastAsia="Times New Roman"/>
                <w:sz w:val="24"/>
              </w:rPr>
              <w:t>V súlade s čl. 23 rámcového rozhodnutia 2008/847/SVV sa vymedzuje vzťah zákonnej právnej úpravy k medzinárodným zmluvám, Európsky  dohovor o dohľade nad podmienečne odsúdenými alebo podmienečne prepustenými páchateľmi je nahradený pri aplikácii postupmi v zmysle zásady vzájomného uznávania, ktoré sú upravené v ustanoveniach návrhu zákona. Touto derogáciou vyjadrenou v ustanovení dochádza aj k naplneniu transpozičnej povinnosti SR stanovenou v uvedenom rámcovom rozhodnutí.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333</w:t>
              <w:br/>
            </w:r>
            <w:r>
              <w:rPr>
                <w:b w:val="off"/>
                <w:color w:val="000000"/>
                <w:rFonts w:ascii="Times New Roman" w:hAnsi="Times New Roman" w:cs="Times New Roman" w:eastAsia="Times New Roman"/>
                <w:sz w:val="24"/>
              </w:rPr>
              <w:t>§ 333 odporúčame zosúladiť s Prílohou č. 1 Legislatívnych pravidiel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 333 by podľa významu mal obsahovať aj písmeno b), nie len písmeno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373 ods. 4</w:t>
              <w:br/>
            </w:r>
            <w:r>
              <w:rPr>
                <w:b w:val="off"/>
                <w:color w:val="000000"/>
                <w:rFonts w:ascii="Times New Roman" w:hAnsi="Times New Roman" w:cs="Times New Roman" w:eastAsia="Times New Roman"/>
                <w:sz w:val="24"/>
              </w:rPr>
              <w:t>§ 373 odsek 4 odporúčame preformulovať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„Národnému členovi patria počas funkčného obdobia v Eurojuste náhrady podľa osobitného predpisu64) v rozsahu rovnakom ako vedúcemu diplomatickej misie.“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MZVEZ SR v predchádzajúcom medzirezortnom pripomienkovom konaní (LP/611/2023) predložilo pripomienku s návrhom na vypustenie pôvodného ustanovenia z dôvodu jeho nesúladu s príslušnými ustanoveniami Ústavy Slovenskej republiky, zákona č. 151/2010 Z. z. o zahraničnej službe a o zmene a doplnení niektorých zákonov v znení neskorších právnych predpisov a Viedenského dohovoru o diplomatických stykoch (vyhláška ministra zahraničných vecí č. 157/1964 Zb.). Pripomienka bola akceptovaná len čiastočne. Z dôvody potreby zabezpečenia jednoznačnej formulácie v tom, že národný člen nemá postavenie vedúceho diplomatickej misie, navrhujeme preformulovanie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407 ods. 2</w:t>
              <w:br/>
            </w:r>
            <w:r>
              <w:rPr>
                <w:b w:val="off"/>
                <w:color w:val="000000"/>
                <w:rFonts w:ascii="Times New Roman" w:hAnsi="Times New Roman" w:cs="Times New Roman" w:eastAsia="Times New Roman"/>
                <w:sz w:val="24"/>
              </w:rPr>
              <w:t>V § 407 ods. 2 odporúčame za slová „ministerstva spravodlivosti“ vložiť slová „a ministerstva zahraničných vecí“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Komunikácia s medzinárodným súdom bez dohodnutia priameho kontaktného bodu napríklad na základe medzinárodnej zmluvy prebieha podľa diplomatických zvyklostí prostredníctvom ministerstiev zahraničných vecí (a/alebo zastupiteľských úradov). Cieľom návrhu je zabezpečiť, aby sa komunikácia uskutočnila obvyklou diplomatickou formou (verbálnou nótou) a aby MZVEZ SR nebolo z takejto komunikácie vylúčené.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sa doplní o diplomatickú komunikáciu.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25 ods . 1</w:t>
              <w:br/>
            </w:r>
            <w:r>
              <w:rPr>
                <w:b w:val="off"/>
                <w:color w:val="000000"/>
                <w:rFonts w:ascii="Times New Roman" w:hAnsi="Times New Roman" w:cs="Times New Roman" w:eastAsia="Times New Roman"/>
                <w:sz w:val="24"/>
              </w:rPr>
              <w:t>V § 25 ods. 1 odporúčame zabezpečiť jednotné používanie pojmu „zastupiteľský úrad“, a to v súlade s § 1 ods. 1 písm. b) zákona č. 151/2010 Z. z. o zahraničnej službe a o zmene a doplnení niektorých zákonov. Z uvedeného dôvodu odporúčame vypustiť slová „v cudzom štáte“ a za slovami „zastupiteľský úrad Slovenskej republiky“ vo všetkých tvaroch odporúčame vložiť slová „v zahraničí“. Alternatívne odporúčame zvoliť možnosť zavedenia legislatívnej skratky „zastupiteľský úrad“.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Pojem zastupiteľský úrad Slovenskej republiky v celom návrhu bude zapracovaný (bez skratky).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54</w:t>
              <w:br/>
            </w:r>
            <w:r>
              <w:rPr>
                <w:b w:val="off"/>
                <w:color w:val="000000"/>
                <w:rFonts w:ascii="Times New Roman" w:hAnsi="Times New Roman" w:cs="Times New Roman" w:eastAsia="Times New Roman"/>
                <w:sz w:val="24"/>
              </w:rPr>
              <w:t>Odkaz s poznámkou pod čiarou týkajúcej sa „Rímskeho štatútu“, v ktorej sa cituje oznámenie Ministerstva zahraničných vecí Slovenskej republiky  č. 333/2002 Z. z. odporúčame uviesť už v § 54 a nie až v § 91.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ustanovenia sa zmenil pod akceptovanej pripomienke GP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3 písm. a) doložky zlučiteľnosti odporúčame citovať Zmluvu o fungovaní Európskej únie spolu s publikačným zdrojom.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Zmluva o fungovaní Európskej únie predstavuje primárne právo Európskej únie. V doložke zlučiteľnosti sa pri primárnom práve EÚ štandardne uvádza názov zmluvy (prípadne konkrétny článok), nie však publikačný údaj Úradného vestníka Európskej únie.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4 písm. b) doložky zlučiteľnosti odporúčame neuvádzať konanie o porušení povinnosti č. INFR(2021)2240, keďže Európska komisia predmetné konanie uzavrela dňa 3. októbra 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377 ods. 1</w:t>
              <w:br/>
            </w:r>
            <w:r>
              <w:rPr>
                <w:b w:val="off"/>
                <w:color w:val="000000"/>
                <w:rFonts w:ascii="Times New Roman" w:hAnsi="Times New Roman" w:cs="Times New Roman" w:eastAsia="Times New Roman"/>
                <w:sz w:val="24"/>
              </w:rPr>
              <w:t xml:space="preserve">Odporúčame slová „osoba s právnickým vzdelaním a najmenej päťročnou praxou“ nahradiť slovami „osoba, ktorá získala vysokoškolské vzdelanie ... stupňa v študijnom odbore právo a má najmenej päť rokov praxe“.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legislatívno-technickú a terminologickú pripomienku, keďže podľa právnych predpisov v oblasti školstva nemôže osoba získať  „právnické vzdelanie“, ale môže získať vysokoškolské vzdelanie v príslušnom študijnom odbore a v príslušnom stupni. Odporúčame aj sprecizovať, či má ísť o vysokoškolské vzdelanie v prvom stupni alebo v druhom stupni alebo v oboch stupňoch.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304 a k § 368</w:t>
              <w:br/>
            </w:r>
            <w:r>
              <w:rPr>
                <w:b w:val="off"/>
                <w:color w:val="000000"/>
                <w:rFonts w:ascii="Times New Roman" w:hAnsi="Times New Roman" w:cs="Times New Roman" w:eastAsia="Times New Roman"/>
                <w:sz w:val="24"/>
              </w:rPr>
              <w:t xml:space="preserve">Odporúčame zosúladiť znenie § 304 a § 368 a doplniť odkaz na osobitné predpisy, napr. „Na prepočet sa použije referenčný výmenný kurz určený a vyhlásený Európskou centrálnou bankou alebo Národnou bankou Slovenska*....“. </w:t>
              <w:br/>
            </w:r>
            <w:r>
              <w:rPr>
                <w:b w:val="off"/>
                <w:color w:val="000000"/>
                <w:rFonts w:ascii="Times New Roman" w:hAnsi="Times New Roman" w:cs="Times New Roman" w:eastAsia="Times New Roman"/>
                <w:sz w:val="24"/>
              </w:rPr>
              <w:t>* Čl. 219 ods. 1 až 3 Zmluvy o fungovaní Európskej únie (Ú. v. EÚ C 202, 7. 6. 2016) v platnom znení. Čl. 12 ods. 12.1. Protokolu o štatúte Európskeho systému centrálnych bánk a Európskej centrálnej banky (Ú. v. EÚ C 202, 7. 6. 2016) v platnom znení. § 28 ods. 2 zákona Národnej rady Slovenskej republiky č. 566/1992 Zb. o Národnej banke Slovenska v znení zákona č. 659/2007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142 ods. 1</w:t>
              <w:br/>
            </w:r>
            <w:r>
              <w:rPr>
                <w:b w:val="off"/>
                <w:color w:val="000000"/>
                <w:rFonts w:ascii="Times New Roman" w:hAnsi="Times New Roman" w:cs="Times New Roman" w:eastAsia="Times New Roman"/>
                <w:sz w:val="24"/>
              </w:rPr>
              <w:t>Odporúčame prehodnotiť poznámky pod čiarou k odkazom 22 a 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Vnútroštátne predpisy uvedené v poznámkach pod čiarou  pôsobia zavádzajúco, keďže v texte zákona sa uvádza, že ide banku so sídlom na území iného členského štátu a finančnú inštitúciu so sídlom na území iného členského štátu, pričom napríklad podľa slovenského právneho poriadku je bankou právnická osoba so sídlom na území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Odkazy aj poznámky pod čiarou boli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 ods. 2</w:t>
              <w:br/>
            </w:r>
            <w:r>
              <w:rPr>
                <w:b w:val="off"/>
                <w:color w:val="000000"/>
                <w:rFonts w:ascii="Times New Roman" w:hAnsi="Times New Roman" w:cs="Times New Roman" w:eastAsia="Times New Roman"/>
                <w:sz w:val="24"/>
              </w:rPr>
              <w:t>Odporúčame slová „o účte v banke alebo pobočke zahraničnej banky“ nahradiť slovami „o platobnom účte“.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ohľadom na osobitný predpis o platobných službách (zákon č.  492/2009 Z. z.) sa javí ako adekvátnejšie používať  pojem „platobný účet“.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373 ods. 1</w:t>
              <w:br/>
            </w:r>
            <w:r>
              <w:rPr>
                <w:b w:val="off"/>
                <w:color w:val="000000"/>
                <w:rFonts w:ascii="Times New Roman" w:hAnsi="Times New Roman" w:cs="Times New Roman" w:eastAsia="Times New Roman"/>
                <w:sz w:val="24"/>
              </w:rPr>
              <w:t>V § 373 ods. 1 písm. c) žiadame doplniť do poznámky pod čiarou k odkazu 61 zákon č. 215/2004 Z. z. o ochrane utajovaných skutočností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373 ods. 1 písm. c) sa upravuje právo národného člena priamo sa obracať na orgány verejnej moci a vyžadovať od nich poskytnutie súčinnosti a informácií nevyhnutných na plnenie úloh Eurojustu, pričom jedným z týchto orgánov verejnej moci je aj Národný bezpečnostný úrad. V súvislosti s týmto právom národného člena poukazujeme na ustanovenie § 33 ods. 3 zákona č. 215/2004 Z. z. o ochrane utajovaných skutočností a o zmene a doplnení niektorých zákonov, podľa ktorého údaje z bezpečnostného spisu osoby možno využiť iba na plnenie úloh podľa tohto zákona a na účely trestného konania a priestupkového konania, ak ide o neoprávnenú manipuláciu s utajovanými skutočnosťami.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400</w:t>
              <w:br/>
            </w:r>
            <w:r>
              <w:rPr>
                <w:b w:val="off"/>
                <w:color w:val="000000"/>
                <w:rFonts w:ascii="Times New Roman" w:hAnsi="Times New Roman" w:cs="Times New Roman" w:eastAsia="Times New Roman"/>
                <w:sz w:val="24"/>
              </w:rPr>
              <w:t>Predmetný návrh sa predkladá do opätovného pripomienkového konania, pričom prvé pripomienkové konanie sa uskutočnilo v roku 2023. V rámci tohto pripomienkového konania uplatnil Národný bezpečnostný úrad zásadnú pripomienku, ktorá bola podľa vyhodnotenia pripomienkového konania akceptovaná. Napriek uvedenému však predmetný návrh obsahuje znenie § 400, ktoré je totožné s ustanovením (§ 365), ktoré úrad žiadal v roku 2023 vypustiť alebo preformulovať.</w:t>
              <w:br/>
            </w:r>
            <w:r>
              <w:rPr>
                <w:b w:val="off"/>
                <w:color w:val="000000"/>
                <w:rFonts w:ascii="Times New Roman" w:hAnsi="Times New Roman" w:cs="Times New Roman" w:eastAsia="Times New Roman"/>
                <w:sz w:val="24"/>
              </w:rPr>
              <w:t>V nadväznosti na uvedené v § 400 žiadame buď vypustiť časti týkajúce sa odmietnutia poskytnutia informácie alebo dôkazu, ktoré sú utajované podľa zákona č. 215/2004 Z. z. o ochrane utajovaných skutočností a o zmene a doplnení niektorých zákonov v znení neskorších predpisov z dôvodu, že táto problematika je upravená v zákone č. 215/2004 Z. z. o ochrane utajovaných skutočností a o zmene a doplnení niektorých zákonov v znení neskorších predpisov alebo ich tieto časti žiadame preformulovať tak, aby boli v súlade so zákonom č. 215/2004 Z. z. o ochrane utajovaných skutočností a o zmene a doplnení niektorých zákonov v znení neskorších predpisov.</w:t>
              <w:br/>
            </w:r>
            <w:r>
              <w:rPr>
                <w:b w:val="off"/>
                <w:color w:val="000000"/>
                <w:rFonts w:ascii="Times New Roman" w:hAnsi="Times New Roman" w:cs="Times New Roman" w:eastAsia="Times New Roman"/>
                <w:sz w:val="24"/>
              </w:rPr>
              <w:t xml:space="preserve">O odmietnutí sprístupnenia utajovanej skutočnosti by nemal rozhodovať Najvyšší súd Slovenskej republiky, pretože podľa § 36 a § 37 zákona č. 215/2004 Z. z. o ochrane utajovaných skutočností a o zmene a doplnení niektorých zákonov v znení neskorších predpisov o tom rozhoduje pôvodca utajovanej skutočnosti formou udelenia alebo neudelenia písomného súhlasu. Výlučne pôvodca utajovanej skutočnosti je kompetentný v komplexnosti posúdiť povahu konkrétnej utajovanej skutočnosti, mieru ohrozenia záujmov štátu, ktoré by mohli v dôsledku jej sprístupnenia vzniknúť, ako aj dôvodnosť ponechania, zrušenia alebo zmeny stupňa utajenia utajovanej skutočnosti. </w:t>
              <w:br/>
            </w:r>
            <w:r>
              <w:rPr>
                <w:b w:val="off"/>
                <w:color w:val="000000"/>
                <w:rFonts w:ascii="Times New Roman" w:hAnsi="Times New Roman" w:cs="Times New Roman" w:eastAsia="Times New Roman"/>
                <w:sz w:val="24"/>
              </w:rPr>
              <w:t>Podľa navrhovaného znenia § 400 je odmietnutie odovzdania utajovanej skutočnosti možné iba v prípade, že v konaní pred medzinárodným súdom nie je možné zaistiť dostatočnú ochranu utajovaných skutočností pred ich zverejnením, čím sa vlastne obchádza zákonné výsostné oprávnenie pôvodcu utajovanej skutočnosti rozhodovať o tom, či udelí písomný súhlas.</w:t>
              <w:br/>
            </w:r>
            <w:r>
              <w:rPr>
                <w:b w:val="off"/>
                <w:color w:val="000000"/>
                <w:rFonts w:ascii="Times New Roman" w:hAnsi="Times New Roman" w:cs="Times New Roman" w:eastAsia="Times New Roman"/>
                <w:sz w:val="24"/>
              </w:rPr>
              <w:t>Národný bezpečnostný úrad zásadne nesúhlasí so zavedením mechanizmu, ktorým by sa prelomilo výlučné oprávnenie pôvodcu utajovanej skutočnosti rozhodovať o ochrane utajovanej skutočnosti, ktorej je pôvodcom. Dochádza tu teda ku kolízii dvoch právnych noriem rovnakej právnej sily. Okrem toho ide aj o nepriamu novelizáciu zákona č. 215/2004 Z. z. o ochrane utajovaných skutočností a o zmene a doplnení niektorých zákonov v znení neskorších predpisov, ktorá je podľa § 6 ods. 1 zákona č. 400/2015 Z. z. o tvorbe právnych predpisov a o Zbierke zákonov Slovenskej republiky bez uvedenia úplnej citácie názvu právneho predpisu, ktorý sa novelizuje v samostatnom článku, neprípustná.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Ochrana utajovaných skutočností je upravená primárne v zákone č. 215/2004 Z. z. o ochrane utajovaných skutočností a o zmene a doplnení niektorých zákonov v znení neskorších predpisov (ďalej len „zákon č. 215/2004 Z. z.“). Je nevyhnutné vnímať skutočnosť, že medzinárodný súd je na účely prístupu k utajovaným skutočnostiam Slovenskej republiky (ďalej len „národné utajované skutočnosti“) cudzou mocou (cudzou mocou je cudzí štát, orgány cudzieho štátu alebo organizácie, ktoré cudzí štát používa na riadenie alebo vykonávanie svojej moci a činnosti; cudzou mocou sú aj nadštátne organizácie, medzinárodné organizácie a združenia štátov) a jeho pracovníci majú postavenie cudzincov. Na prístup cudzincov k národným utajovaným skutočnostiam sa okrem existencie zmluvy o ochrane vymieňaných utajovaných skutočností so Slovenskou republikou vyžaduje aj získanie vyjadrenia o bezpečnostnej spoľahlivosti cudzinca od príslušného orgánu krajiny, ktorej je občanom (úrad mu na základe tohto vyjadrenia vydá osvedčenie) a hlavne sa vyžaduje písomný súhlas vedúceho štátneho orgánu, do ktorého pôsobnosti patria utajované skutočnosti (teda súhlas vedúceho pôvodcu národnej utajovanej skutočnosti). Vedúcim na účely zákona č. 215/2004 Z. z. sa rozumie v štátnom orgáne štatutárny orgán, v obci starosta, vo vyššom územnom celku predseda a v inej právnickej osobe štatutárny orgán. Tieto skutočnosti sú už obsiahnuté v právnom poriadku Slovenskej republiky, konkrétne v zákone č. 215/2004 Z. z. Účelom zákona č. 215/2004 Z. z. je zamedzenie vzniku ujmy na záujmoch Slovenskej republiky. Ujmou je podľa § 2 písm. d) zákona č. 215/2004 Z. z. také ohrozenie alebo poškodenie záujmov Slovenskej republiky alebo záujmu, ku ktorého ochrane sa Slovenská republika zaviazala, ktorého následky nemožno odstrániť alebo možno ich zmierniť iba následným opatrením. Záujmy (hodnoty), ktoré sú zákonom č. 215/2004 Z. z. chránené, vyplývajú z ustanovení § 3 ods. 3 až 6 zákona č. 215/2004 Z. z., teda ide najmä o záujem na zachovaní ústavnosti, zvrchovanosti a územnej celistvosti štátu, na zabezpečení obrany a bezpečnosti štátu, na ochrane ekonomických záujmov štátu, zahraničnej politiky a medzinárodných vzťahov, na predchádzaní ohrozeniu štátnych záujmov, verejných záujmov, záujmov štátnych orgánov, prípadne aj dôležitých záujmov fyzických a právnických osôb. Dôsledkom ujmy na uvedených záujmoch je vznik mimoriadne vážnej ujmy, vážnej ujmy, jednoduchej ujmy alebo nevýhodnosti pre Slovenskú republiku. Z uvedeného výpočtu záujmov a hodnôt chránených zákonom č. 215/2004 Z. z. vyplýva, že ide o životné záujmy štátu, ktoré v právnom poriadku Slovenskej republiky požívajú najvyšší stupeň ochrany. Uvedené tvrdenie je opakovane potvrdené aj rozhodovacou činnosťou Ústavného súdu Slovenskej republiky, ktorý konštatoval: „V prípade zákona o ochrane utajovaných skutočností je osobitne potrebné zohľadniť skutočnosť, že jeho predmetom sú bezpečnostné záujmy Slovenskej republiky v tom najširšom zmysle slova, tak ako sú vyjadrené v jednotlivých ustanoveniach tohto zákona; majú tak materiálny, ako aj procesný charakter. Preto je legitímne a vo verejnom záujme chrániť utajované skutočnosti, ktorých odtajnený alebo inak uverejnený obsah by mohol ohroziť životné záujmy nielen nášho štátu, iných štátov, ale aj tretích osôb, ktoré sú mimo procesu takého utajovania.“ (nález Ústavného súdu Slovenskej republiky, sp. zn. PL. ÚS 15/03-39 z 11. februára 2004). Na základe uvedených argumentov a s poukazom na relevantnú súdnu judikatúru možno dospieť k záveru, že záujem štátu na ochrane utajovaných skutočností je životne dôležitým záujmom štátu, ktorý prevyšuje akýkoľvek iný záujem štátu alebo jednotlivca, a to aj záujem na dosiahnutí účelu trestného konania. V tejto súvislosti osobitne zdôrazňujeme, že účel trestného konania je možné docieliť aj inými spôsobmi, napr. zaobstaraním iných (neutajovaných) dôkazov do konania. Bezpečnostné záujmy štátu na ochrane utajovaných skutočností však žiadnym iným spôsobom možné zabezpečiť nie je. Navrhovaná právna úprava teda nespĺňa ústavnoprávne kritérium proporcionality medzi účelom, ktorý sa má dosiahnuť, a prostriedkami zvolenými na jeho dosiahnutie.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 2 písm. i): Odporúčame prepracovať navrhovanú definíciu trestu odňatia slobody, ktorý zahŕňa aj ochranné opatrenie, nakoľko viaceré ustanovenia návrhu zákona predstavujú transpozičné opatrenia smerníc, ktoré by mali reflektovať na ochranné opatrenia a nie aj na trest odňatia slobody a takáto úprava môže následne pôsobiť zmätočne.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Definícia v úvode návrhu predstavuje všeobecný rámec vymedzenia pojmu, pričom pri prípadných odklonoch má prednosť odlišná špecifická   úprava v dotknutých častiach návrhu. Navrhované znenie však svojím rozsahom lepšie pokrýva väčšinový výskyt prípadov použitia sporného vymedzenia.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 61 ods. 3: V osobitnej časti dôvodovej správy k tomuto ustanoveniu žiadame doplniť, z čoho navrhovaná koncepcia medzinárodného zatýkacieho rozkazu vyplýva.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bude doplnená, že koncept vychádza z zaužívaného postupu a obsahových náležitostí, ktoré sú v medzinárodných zmluvách a praxi justičných orgánov.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 66 ods. 4: Z navrhovanej koncepcie § 66 ods. 4 nie je zrejmé, ktorú prokuratúru má súd informovať. Žiadame navrhované znenie § 66 ods. 4 primerane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Príslušnosť prokuratúry, pokiaľ to osobitne nie je upravené, je daná ustanoveniami vo všeobecnej časti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 108 písm. c): Upozorňujeme, že navrhované znenie ustanovenia § 108 písm. c) obsahuje definíciu členského štátu, avšak pojem členský štát používa návrh zákona aj v ustanoveniach predtým, pričom nie je zrejmé, aké vymedzenie členský štát v skorších ustanoveniach predstavuje. Navrhovaná koncepcia členského štátu je zmätočná, preto žiadame používať na všetkých miestach, kde sa používa pojem „členský štát“, pojem „členský štát Európskej únie“ so zavedením skratky „EÚ“, a na miestach kde sa tým myslia aj iné štáty to uvádzať samostatne tak, ako je tomu aj v prípade napríklad § 89 návrhu zákona. Rovnako tak, je potrebné samostatne reflektovať na situácie, keď ide o štáty, ktoré majú zavedený opt-in systém v danej oblasti. Zároveň žiadame návrhom zákona reflektovať aj na situácie, kedy sa má predmetné ustanovenie návrhu zákona vzťahovať nie len na členské štáty EÚ ale aj na zmluvné štáty Dohody o EHP. V nadväznosti na vykonané zmeny žiadame na ne následne reflektovať v celom texte návrhu zákona.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 108 písm. c): Žiadame upraviť poznámku pod čiarou k odkazu 13) nasledovne: „13) Protokol (č. 22) o postavení Dánska (Ú. v. EÚ C 326, 26.10.2012)“.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 108 písm. c): Žiadame upraviť poznámku pod čiarou k odkazu 14) nasledovne: „14) Protokol č. 21 o postavení Spojeného kráľovstva a Írska s ohľadom na priestor slobody, bezpečnosti a spravodlivosti (Ú. v. EÚ C 202, 7.6.2016)“.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 108 písm. c): Žiadame upraviť poznámku pod čiarou k odkazu 15), nakoľko v navrhovanom znení nie je zrejmé, o aký dokument ide.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K § 108 písm. c): Žiadame upraviť poznámku pod čiarou k odkazu 16) nasledovne: „16) Dohoda medzi Európskou úniou a Islandskou republikou a Nórskym kráľovstvom o vydávacom konaní medzi členskými štátmi Európskej únie a Islandom a Nórskom (Ú. v. EÚ L 292, 21.10.2006)“.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K § 109 ods. 2 písm. h): Žiadame upraviť poznámku pod čiarou k odkazu 17) nasledovne: „17) Dohovor vypracovaný na základe článku K.3 Zmluvy o Európskej únii o ochrane finančných záujmov Európskych spoločenstiev (Mimoriadne vydanie Ú. v. EÚ, kap. 19/zv. 08; Ú. v. ES C 316, 27.11.199) (Oznámenie Ministerstva zahraničných vecí Slovenskej republiky č. 703/2004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K § 113: Žiadame upraviť poznámku pod čiarou k odkazu 18) nasledovne: „18) Nariadenie rady (EHS, EURATOM) č. 1182/71 z 3. júna 1971, ktorým sa stanovujú pravidlá pre lehoty, dátumy a termíny (Mimoriadne vydanie Ú. v. EÚ, kap. 1/zv. 01; Ú. v. ES L 124, 8.6.1971)“.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 114 ods. 2: Žiadame vypustiť neúčinné rozhodnutie uvádzané v poznámke pod čiarou k odkazu 20) návrhu zákona, a nahradiť ho platným a účinným právne záväzným aktom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Rozhodnutie Rady 2008/976/SVV zo 16. decembra 2008 o Európskej justičnej sieti (Ú. v. EÚ L 348, 24. 12. 2008) je platné a účinné.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12.	K § 114 ods. 6: Žiadame prepracovať navrhované znenie ustanovenia § 114 ods. 6, nakoľko nereflektuje na potrebu poskytnutia odpovede bez zbytočného odkladu, ak nie je stanovená lehota na odpoveď. Navrhované znenie ustanovenia § 114 ods. 6 je transpozičným opatrením čl. 6 ods. 1 a 2 rámcového rozhodnutia 2009/948/SVV, ktorý stanovuje, že kontaktovaný orgán odpovie na predloženú žiadosť v primeranej lehote uvedenej kontaktujúcim orgánom, alebo ak sa lehota neuviedla, bez zbytočného odkladu. Stanoviť novú lehotu je možné len v prípade, ak  nemožno poskytnúť odpoveď v stanovenej lehote dožadujúceho orgánu. Navrhovaná úprava § 114 ods. 6 reflektuje na bezodkladnú odpoveď len v prípade, že ide o väzobnú vec a zároveň dáva justičnému orgánu možnosť určiť si vlastnú lehotu nie len v prípade, ak nie je možné v stanovenej lehote odpovedať, ale aj v prípade, keď lehota nie je určená. Takáto formulácia nezabezpečuje správnu transpozíciu čl. 6 ods. 1 a 2 rámcového rozhodnutia 2009/948/SVV. Uvedené žiadame prepracovať.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Nové znenie ustanovenia: (6) Justičný orgán poskytne informácie na žiadosť podľa odseku 4 v lehote určenej orgánom členského štátu. Ak ide o väzobnú vec ALEBO, AK LEHOTA NEBOLA URČENÁ, urobí tak bezodkladne. Ak justičný orgán nemôže žiadosti v určenej lehote vyhovieť, informuje orgán členského štátu o dôvodoch a uvedie lehotu, v rámci ktorej vyžiadané informácie poskytne.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13.	K § 125 ods. 1 písm. a): Upozorňujeme na nesprávnu transpozíciu čl. 9 ods. 3 smernice 2014/41/EÚ v platnom znení, prostredníctvom § 125 ods. 1 písm. a). Čl. 9 ods. 3 smernice 2014/41/EÚ v platnom znení hovorí o povinnosti vrátiť EVP vydávajúcemu štátu, avšak navrhovaný § 125 ods. 1 písm. a) to formuluje ako možnosť. Uvedené žiadame prepracovať.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Zmena nastane nasledovne: Vykonávajúci justičný orgán vráti..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14.	K § 126 ods. 1 písm. d): V poznámke pod čiarou k odkazu 21) žiadame vypustiť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15.	K § 126 ods. 4: Upozorňujeme na nesprávnu transpozíciu čl. 11 ods. 4 smernice 2014/41/EÚ v platnom znení, prostredníctvom § 126 ods. 4. Čl. 11 ods. 4 smernice 2014/41/EÚ v platnom znení hovorí o tom, že vykonávajúci orgán sa akýmkoľvek vhodným spôsobom poradí s vydávajúcim orgánom, pričom táto transpozícia nie je zabezpečená. Navrhované znenie ustanovenia § 126 ods. 4 hovorí len o možnosti vyžiadať si stanovisko alebo doplňujúce informácie od vydávajúceho orgánu, pričom porada nie je vôbec súčasťou tohto ustanovenia. Uvedené žiadame prepracovať.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Poskytnutie stanoviska a reakcia naň predstavuje formu komunikácie, ktorá má rovnaké aspekty ako porada.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Vykonávajúci justičný orgán si pred odmietnutím výkonu európskeho vyšetrovacieho príkazu z dôvodu podľa odseku 1 písm. a), c), d) a odseku 3 písm. a) a b) vyžiada stanovisko alebo doplňujúce informácie od vydávajúceho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16.	K § 132 ods. 1: Žiadame upraviť navrhované znenie ustanovenia § 132 ods. 1 poslednej vety, tak, že sa vypustia slová „nemajú právomoci orgánov činných v trestnom konaní“ prípadne dôjde k inej primeranej úprave tak, aby ustanovenie dávalo zmysel.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Slová „nemajú právomoci orgánov činných v trestnom konaní“ sa vypustia.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17.	K § 133 ods. 5: V záujme zabezpečenia úplnej a správnej transpozície čl. 13 ods. 4 smernice 2014/41/EÚ v platnom znení, žiadame prepracovať navrhované znenie ustanovenia § 133 ods. 5, tak, že sa doplní povinnosť vykonávajúceho justičného orgánu poradiť sa s vydávajúcim orgánom pred dočasným odovzdaním dôkazu.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Prvok komunikácie a zvŕšenej „porady“ je prítomný v transponovanom ustanovení prostredníctvom aspektu „dohodnutej doby“, čo je vzhľadom na jej dôležitosť postačujúce.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18.	K § 148 ods. 3 písm. b): V záujme zabezpečenia úplnej a správnej transpozície čl. 30 ods. 6 písm. b) smernice 2014/41/EÚ v platnom znení, žiadame prepracovať navrhované znenie ustanovenia § 148 ods. 3 písm. b) tak, že sa doplní aj povinnosť následného zasielania výsledku odpočúvania telekomunikačnej prevádzky vydávajúcemu štátu.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Prvok zaslania je súčasťou ustanovenia bez nevyhnutnosti ho upraviť a bez ohrozenia cieľa transponovaného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19.	K § 148 ods. 4: Upozorňujeme na nesprávnu transpozíciu čl. 30 ods. 7 smernice 2014/41/EÚ v platnom znení prostredníctvom navrhovaného ustanovenia § 148 ods. 4. Čl. 30 ods. 7 smernice 2014/41/EÚ v platnom znení vyžaduje súhlas vykonávajúceho orgánu pre vyžiadanie prepisu, dekódovanie alebo dešifrovanie záznamu. Navrhované znenie ustanovenia § 148 ods. 4 takýto súhlas nestanovuje.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Podmienka žiadosti v sebe zahŕňa nevyhnutnosť súhlasu vykonávajúceho orgánu, avšak súhlas sa neviaže na možnosť požiadať o prepisy, ale s ich poskytnutím.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20.	K § 157: Žiadame upraviť poznámku pod čiarou k odkazu 24) tak, že dôjde k doplneniu publikačného zdroja „(Ú. v. EÚ L 191, 28.7.2023)“.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21.	K § 157: Žiadame upraviť poznámku pod čiarou k odkazu 25) tak, že bude odkazovať na platný a účinný právny predpis.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Predpis ešte nie je platný a účinný, nakoľko je v legislatívnom procese.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22.	K § 158: Žiadame upraviť poznámku pod čiarou k odkazu 26) až 30) tak, že dôjde k vypusteniu slov „Európskeho parlamentu a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23.	K § 160 až 163: Žiadame upraviť poznámku pod čiarou k odkazu 31) až 38) a k odkazu 40) tak, že dôjde k vypusteniu slov „Európskeho parlamentu a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24.	K § 160: Upozorňujeme, že poznámka pod čiarou k odkazu 32) a 34) je rovnaká. Žiadame preto návrh zjednotiť a zaviesť v oboch prípadoch len jeden odkaz.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25.	K § 160: Upozorňujeme, že poznámka pod čiarou k odkazu 33) a 36) je rovnaká. Žiadame preto návrh zjednotiť a zaviesť v oboch prípadoch len jeden odkaz.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totožné poznámky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26.	K § 166: Žiadame upraviť poznámku pod čiarou k odkazu 41) nasledovne: „41) Nariadenie Európskeho parlamentu a Rady (EÚ) 2018/1805 zo 14. novembra 2018 o vzájomnom uznávaní príkazov na zaistenie a príkazov na konfiškáciu (Ú. v. ES L 303, 28.11.2018)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27.	K § 167: Žiadame upraviť poznámku pod čiarou k odkazu 42) nasledovne: „42) Čl. 3 ods. 1 nariadenia (EÚ) 2018/1805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28.	K § 172: Žiadame upraviť poznámku pod čiarou k odkazu 43) nasledovne: „43) Čl. 10 nariadenia (EÚ) 2018/1805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29.	K § 172: Žiadame upraviť poznámku pod čiarou k odkazu 44) nasledovne: „44) Čl. 27 nariadenia (EÚ) 2018/1805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30.	K § 174: Žiadame upraviť poznámku pod čiarou k odkazu 45) nasledovne: „45) Čl. 31 ods. 2 nariadenia (EÚ) 2018/1805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31.	K § 175: Žiadame upraviť poznámku pod čiarou k odkazu 46) nasledovne: „46) Čl. 34 nariadenia (EÚ) 2018/1805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32.	K § 198 ods. 12: V záujme zabezpečenia úplnej a správnej transpozície čl. 10 ods. 5 smernice 2013/48/EÚ prostredníctvom navrhovaného § 198 ods. 12 žiadame doplniť lehotu „bezodkladne“ pokiaľ ide o informovanie príslušného súdu, ktorý vydal európsky zatýkací rozkaz.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Právny poriadok SR nemôže ukladať vykonávajúcemu orgánu povinnosť bezodkladne informovať štát pôvodu, ktorým je SR. Avšak povinnosť slovenského justičného orgánu v pozícii vykonávajúceho orgánu je správne stanovená v § 208 ods. 3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33.	K § 214 ods. 1 a § 226 ods. 1: Upozorňujeme na nesprávnu transpozíciu čl. 18 ods. 1 rámcového rozhodnutia 2002/584/SVV v platnom znení prostredníctvom navrhovaného § 214 ods. 1 a § 226 ods. 1. Čl. 18 ods. 1 rámcového rozhodnutia 2002/584/SVV v platnom znení stanovuje povinnosť vykonávajúceho súdneho orgánu súhlasiť s vypočutím požadovanej osoby alebo s dočasným transferom vyžiadanej osoby. Navrhovaná transpozícia prostredníctvom § 214 ods. 1 a § 226 ods. 1 to však formuluje ako možnosť. Z uvedeného dôvodu žiadame prepracovať ich navrhované znenie.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Oba postupy podliehajú podmienkam resp. dohode, ktoré sú ustanovené v iných častiach rámcového rozhodnutia, navyše súlad transponovaných ustanovení bol opakovane COM uznaný ako súladný s právom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34.	K § 223: Upozorňujeme na nesprávnu transpozíciu čl. 16 ods. 1 rámcového rozhodnutia 2022/584/SVV v platnom znení prostredníctvom § 223 návrhu zákona. Čl. 16 ods. 1 rámcového rozhodnutia 2022/584/SVV v platnom znení je koncipovaný tak, že príslušný orgán má rozhodnúť o tom, ktorý z európskych zatykačov sa vykoná. Navrhovaná koncepcia § 223 hovorí o výkone viacerých európskych zatýkacích rozkazov. Zároveň, pri zohľadňovaní okolností, by jednou z nich malo byť aj to, či európsky zatykač bol vydaný pre účely trestného stíhania alebo výkonu trestu alebo ochranného opatrenia. Navrhovaný § 223 však takúto okolnosť nezahŕňa. Uvedené žiadame prepracovať.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Aspekt účelu vydania EZR postačujúco pokrýva z hľadiska podstaty domnelo absentujúce prvky pri rozhodovaní o výkone EZR.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35.	K § 230 ods. 1: V záujme zabezpečenia úplnej a správnej transpozície čl. 28 ods. 4 rámcového rozhodnutia 2002/584/SVV žiadame upraviť navrhované znenie ustanovenia § 230 ods. 1 návrhu zákona tak, aby bolo zrejmé, že „súhlas musí udeliť štát, ktorý osobu odovzdal“, a teda, podľa výkladu čl. 28 rámcového rozhodnutia 2002/584/SVV, štát pôvodu.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Transpozícia realizovaná v návrhu zákona je jediná správna, vzhľadom na to, že štát, ktorý osobu odovzdal je vykonávajúci štát a je jediný, od ktorého sa , na základe zásady špeciality, vyžaduje súhlas s následným odovzdaním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36.	K § 253: Upozorňujeme na nesprávnu transpozíciu čl. 14 ods. 1 smernice 2011/99/EÚ do ustanovenia § 253 ods. 1. Čl. 14 ods. 1 smernice 2011/99/EÚ hovorí o možnosti pozastavenia prijatých opatrení, pričom ustanovenie § 253 hovorí o zrušení prijatých opatrení. Uvedené žiadame prepracovať.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dôvody pre zrušenie opatrení majú kategorickú povahu, pri ktorej sa nepredpokladá ich obnovenie, preto dočasnosť rozhodnutia nemá opodstatnenie. Navyše platí možnosť vydania nového osvedčenia v prípade, ak nastala zásadná zmena podstatných okolností.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37.	K § 254: Žiadame prepracovať navrhované znenie ustanovenia § 254, nakoľko na niektorých miestach používa pojem „následné opatrenie“ a na iných „obmedzujúce opatrenie“. V skorších ustanovenia návrh zákona používa pojem „následné opatrenie“, pričom z osobitnej časti dôvodovej správy je zrejmé, že ide o následné opatrenie, ktoré má len formu obmedzujúceho opatrenia. Žiadame pojmy zjednotiť a upresniť, aby nespôsobovali nejasnosť a nezrozumiteľnosť právnej úpravy.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vyjasní, že obmedzujúce opatrenia sa po uznaní transformujú na následné opatrenia, ktoré sú svojou povahou obmedzujúce, ale ako dôsledok ich uplatnenia vo vykonávajúcom štáte. Ich odlíšenie má význam, preto ich výskyt je opodstatnený s ohľadom na fázu konania, o ktorý ide.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38.	K § 264 ods. 2 písm. c): V záujme úplnej a správnej transpozície čl. 18 ods. 1 písm. c) rámcového rozhodnutia 2009/829/SVV žiadame prepracovať navrhované znenie ustanovenia § 264 ods. 2 písm. c)  a reflektovať na „iné vykonateľné súdne rozhodnutia s rovnakým účinkom“, ktoré možno prijať.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dôvod dopĺňať iný opatrenia, vzhľadom na podmienky a úpravu potenciálnych rozhodnutí 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39.	K § 269 ods. 1 písm. b): Žiadame upraviť  nesprávnu transpozíciu čl. 15 ods. 1 písm. b)  rámcového rozhodnutia 2009/829/SVV do ustanovenia § 269 ods. 1 písm. b) návrhu zákona, nakoľko príslušné ustanovenie rámcového rozhodnutia je formulované ako „možnosť“, ale uvádzané transpozičné opatrenie je formulované ako povinnosť.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Tabuľka nesprávne odkazuje na normatívny text návrhu. Platí aj pre nasledujúce písmená 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40.	K § 323 ods. 1 písm. k): Navrhovaný § 323 ods. 1 písm. k) je transpozičným ustanovením čl. 9 ods. 1 písm. j) rámcového rozhodnutia 2008/909/SVV v platnom znení, podľa ktorého príslušný orgán vykonávajúceho štátu môže odmietnuť uznanie rozsudku a vykonanie trestu ak „(...) štát pôvodu nesúhlasí aby dotknutá osoba bola trestne stíhaná, odsúdená alebo akýmkoľvek iným spôsobom pozbavená osobnej slobody“, pričom podľa návrhu zákona súd rozhodne o odmietnutí uznania a výkonu rozhodnutia, „ak (...) nebol udelený súhlas štátu pôvodu so stíhaním pre iné trestné činy spáchané pred odovzdaním alebo s výkonom trestu pre taký trestný čin podľa § 328 ods. 2 písm. g)“. Žiadame zosúladiť návrh zákona s predmetným ustanovením rámcového rozhodnutia a zahrnúť aj prípady kedy štát pôvodu nesúhlasí aby dotknutá osoba bola akýmkoľvek iným spôsobom pozbavená osobnej slobody (napr. v prípade väzby).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Dotknuté ustanovenie návrhu zákona má znenie súladné s pripomienkou a nezodpovedá zneniu uvedeného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41.	K § 324: V záujme úplnej a správnej transpozície čl. 10 ods. 1 rámcového rozhodnutia 2008/909/SVV žiadame upraviť navrhované znenie ustanovenia § 324. Čl. 10 ods. 1 rámcového rozhodnutia 2008/909/SVV stanovuje možnosť porady pred vydaním rozhodnutia, zatiaľ čo navrhovaný § 324 ods. 1 návrhu zákona umožňuje súdu rozhodnúť len po predchádzajúcej porade s justičným orgánom štátu pôvodu, t.j. porada je obligatórna.  Takáto transpozícia nie je správna. Uvedené žiadame prepracovať. Vykonané zmeny žiadame premietnuť aj do príslušných tabuliek zhody.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Tabuľka zhody bude doplnená v tomto bode o ustanovenie návrhu § 323 ods. 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42.	K § 281: Žiadame upraviť poznámku pod čiarou k odkazu č. 48 nasledovne: „48) Nariadenie (EÚ) 2018/1805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43.	K § 282: Žiadame upraviť poznámku pod čiarou k odkazu č. 49 nasledovne: „49) Čl. 3 ods. 1 nariadenia (EÚ) 2018/1805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44.	K § 373: K poznámke pod čiarou k odkazu č. 63 žiadame doplniť publikačný zdroj a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45.	K § 374: Žiadame upraviť poznámku pod čiarou k odkazu č. 65 nasledovne: „65) Čl. 19 nariadenia (EÚ) 2018/1727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46.	K § 379: Žiadame upraviť poznámku pod čiarou k odkazu č. 66 nasledovne: „66) Čl. 53 nariadenia (EÚ) 2018/1727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47.	K § 381: Žiadame upraviť poznámku pod čiarou k odkazu č. 67 nasledovne: „67) Čl. 4 nariadenia (EÚ) 2018/1727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48.	K § 382: Žiadame upraviť poznámku pod čiarou k odkazu č. 68 nasledovne: „68) Čl. 52 nariadenia (EÚ) 2018/1727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49.	K Prílohe: V prílohe návrhu zákona žiadame upraviť bod 1 nasledovne: „Rámcové rozhodnutie Rady z 13. júna 2002 o európskom zatykači a postupoch odovzdávania osôb medzi členskými štátmi (2002/584/SVV) (Mimoriadne vydanie Ú. v. EÚ, kap. 19/ zv. 006; Ú. v. ES L 190, 18.7.2002) v znení rámcového rozhodnutia Rady 2009/299/SVV z 26. februára 2009 (Ú. v. EÚ L 81, 27.3.2009)“.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50.	K Prílohe: V prílohe návrhu zákona žiadame upraviť bod 2 nasledovne: „Rámcové rozhodnutie Rady z 13. júna 2002 o spoločných vyšetrovacích tímoch (2002/465/SVV) (Mimoriadne vydanie Ú. v. EÚ, kap. 19/zv. 006; Ú. v. ES L 162, 20.6.2002) v znení  smernice Európskeho parlamentu a Rady (EÚ) 2022/211 zo 16. februára 2022 (Ú. v. EÚ L 37, 18.2.2022).“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51.	K Prílohe: V prílohe návrhu zákona žiadame upraviť bod 4 nasledovne: „Rámcové rozhodnutie Rady 2008/909/SVV z 27. novembra 2008 o uplatňovaní zásady vzájomného uznávania na rozsudky v trestných veciach, ktorými sa ukladajú tresty odňatia slobody alebo opatrenia zahŕňajúce pozbavenie osobnej slobody, na účely ich výkonu v Európskej únii (Ú. v. EÚ L 327, 5. 12. 2008) v znení rámcového rozhodnutia Rady 2009/299/SVV z 26. februára (Ú. v. EÚ L 081, 27. 3. 2009).“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52.	K Prílohe: V prílohe návrhu zákona žiadame upraviť bod 5 nasledovne: „ Rámcové rozhodnutie Rady 2008/947/SVV z 27. novembra 2008 o uplatňovaní zásady vzájomného uznávania na rozsudky a probačné rozhodnutia na účely dohľadu nad probačnými opatreniami a alternatívnymi sankciami (Ú. v. EÚ L 337, 16. 12. 2008) v znení rámcového rozhodnutia Rady 2009/299/SVV z 26. februára (Ú. v. EÚ L 081, 27. 3. 2009).“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53.	K Prílohe: V prílohe návrhu zákona žiadame upraviť bod 12 nasledovne: „Smernica Európskeho parlamentu a Rady 2014/41/EÚ z 3. apríla 2014 o európskom vyšetrovacom príkaze v trestných veciach (Ú. v. EÚ L 130, 1. 5. 2014) v znení smernice Európskeho parlamentu a Rady (EÚ) 2022/228 zo 16. februára 2022 (Ú. v. EÚ L 39, 21.2.2022).“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54.	K Prílohe: V prílohe návrhu zákona žiadame upraviť bod 14 nasledovne: „Smernica Európskeho parlamentu a Rady (EÚ) 2023/1544 z 12. júla 2023, ktorou sa stanovujú harmonizované pravidlá určovania určených prevádzkarní a vymenúvania právnych zástupcov na účely zhromažďovania dôkazov v trestnom konaní (Ú. v. EÚ L 191, 28.7.2023).“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2023/1544:</w:t>
              <w:br/>
            </w:r>
            <w:r>
              <w:rPr>
                <w:b w:val="off"/>
                <w:color w:val="000000"/>
                <w:rFonts w:ascii="Times New Roman" w:hAnsi="Times New Roman" w:cs="Times New Roman" w:eastAsia="Times New Roman"/>
                <w:sz w:val="24"/>
              </w:rPr>
              <w:t>1.	Z tabuľky zhody je možné vypustiť transpozíciu čl. 9 a 10, nakoľko nedochádza k zmene transpozičných opatrení a predkladá sa čiastková tabuľka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2022/228:</w:t>
              <w:br/>
            </w:r>
            <w:r>
              <w:rPr>
                <w:b w:val="off"/>
                <w:color w:val="000000"/>
                <w:rFonts w:ascii="Times New Roman" w:hAnsi="Times New Roman" w:cs="Times New Roman" w:eastAsia="Times New Roman"/>
                <w:sz w:val="24"/>
              </w:rPr>
              <w:t>1.	Z tabuľky zhody je možné vypustiť transpozíciu čl. 1, nakoľko nedochádza k zmene transpozičných opatrení a predkladá sa čiastková tabuľka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2016/1919:</w:t>
              <w:br/>
            </w:r>
            <w:r>
              <w:rPr>
                <w:b w:val="off"/>
                <w:color w:val="000000"/>
                <w:rFonts w:ascii="Times New Roman" w:hAnsi="Times New Roman" w:cs="Times New Roman" w:eastAsia="Times New Roman"/>
                <w:sz w:val="24"/>
              </w:rPr>
              <w:t>1.	Pri preukazovaní transpozície jednotlivých článkov smernice (EÚ) 2016/1919, je možné uvádzať v siedmom stĺpci tabuľky zhody na všetkých miestach označenie písmenom „Ú“, ako úplná transpozícia, nakoľko transpozícia článkov smernice bola vykonaná, je úplná a správna.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2016/1919:</w:t>
              <w:br/>
            </w:r>
            <w:r>
              <w:rPr>
                <w:b w:val="off"/>
                <w:color w:val="000000"/>
                <w:rFonts w:ascii="Times New Roman" w:hAnsi="Times New Roman" w:cs="Times New Roman" w:eastAsia="Times New Roman"/>
                <w:sz w:val="24"/>
              </w:rPr>
              <w:t>2.	Pri preukazovaní transpozície čl. 1 ods. 1 písm. b) smernice (EÚ) 2016/1919 žiadame v druhom stĺpci tabuľky zhody uvádzať aj úvodnú vetu.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2016/1919:</w:t>
              <w:br/>
            </w:r>
            <w:r>
              <w:rPr>
                <w:b w:val="off"/>
                <w:color w:val="000000"/>
                <w:rFonts w:ascii="Times New Roman" w:hAnsi="Times New Roman" w:cs="Times New Roman" w:eastAsia="Times New Roman"/>
                <w:sz w:val="24"/>
              </w:rPr>
              <w:t>3.	Pri preukazovaní transpozície čl. 5 ods. 1 a 2 smernice (EÚ) 2016/1919 žiadame uvádzať ako transpozičné opatrenie aj ustanovenie § 34 ods. 3 zákona č. 301/2005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2016/1919:</w:t>
              <w:br/>
            </w:r>
            <w:r>
              <w:rPr>
                <w:b w:val="off"/>
                <w:color w:val="000000"/>
                <w:rFonts w:ascii="Times New Roman" w:hAnsi="Times New Roman" w:cs="Times New Roman" w:eastAsia="Times New Roman"/>
                <w:sz w:val="24"/>
              </w:rPr>
              <w:t>4.	Pri preukazovaní transpozície čl. 5 ods. 3 smernice (EÚ) 2016/1919 žiadame uvádzať ako transpozičné opatrenie aj ustanovenie, ktoré je premietnuté do textu v ôsmom stĺpci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2016/1919:</w:t>
              <w:br/>
            </w:r>
            <w:r>
              <w:rPr>
                <w:b w:val="off"/>
                <w:color w:val="000000"/>
                <w:rFonts w:ascii="Times New Roman" w:hAnsi="Times New Roman" w:cs="Times New Roman" w:eastAsia="Times New Roman"/>
                <w:sz w:val="24"/>
              </w:rPr>
              <w:t>5.	Pri preukazovaní transpozície čl. 6 ods. 2 smernice (EÚ) 2016/1919 žiadame uvádzať ako transpozičné opatrenie aj ustanovenie, ktoré je premietnuté do textu v ôsmom stĺpci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1.	Žiadame preukázať transpozíciu čl. 4 písm. d) smernice 2014/41/EÚ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Preukázanie transpozície považujeme za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2.	Pri preukazovaní transpozície jednotlivých článkov smernice 2014/41/EÚ v platnom znení, je možné uvádzať v siedmom stĺpci tabuľky zhody na všetkých miestach označenie písmenom „Ú“, ako úplná transpozícia, nakoľko transpozícia článkov smernice bol vykonaná, je úplná a správna.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3.	Žiadame preukázať transpozíciu čl. 7 ods. 2 smernice 2014/41/EÚ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uvedené v tabuľke zhody predstavuje všeobecné výkladové pravidlo ako pilier vzájomného uznávania, ktorý korešponduje s úrovňou detailnosti predmetného ustanovenia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4.	Žiadame preukázať transpozíciu čl. 8 ods. 2 smernice 2014/41/EÚ v platnom znení do slovenského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tabuľky sa doplní § 100 ods. 2. Ustanovenie § 100 ods. 2 poskytuje flexibilný priestor pre výklad a realizáciu odovzdania EVP priamo určenému justičnému orgánu v štáte výkonu.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5.	 Žiadame preukázať transpozíciu čl. 8 ods. 3 smernice 2014/41/EÚ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Doplnenie odkazu na § 118 a) bod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6.	Žiadame preukázať transpozíciu čl. 9 ods. 1 smernice 2014/41/EÚ v platnom znení do slovenského právneho poriadku, a to pokiaľ ide o uznanie.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Koncept transpozície smernice je založený na preskúmaní a vykonaní EVP, s cieľom odstrániť formality konania,  a to v súlade s cieľmi smernice. Postup transpozície bol hodnotený pozitívne aj v rámci hodnotenia SR pri vzájomných hodnoteniach štátov EÚ v aplikácii dotknutej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7.	Pri preukazovaní transpozície čl. 11 ods. 1 písm. a) smernice 2014/41/EÚ v platnom znení, žiadame doplniť do ôsmeho stĺpca tabuľky zhody poznámku, týkajúcu sa uplatnenia daného ustanovenia v kontexte určenia a obmedzenia trestnej zodpovednosti týkajúce sa slobody tlače a slobody médií.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Dotknuté ustanovenie bolo do textu smernice doplnené v procese rokovaní výhradne z iniciatívy jedného členského štátu, ktorý tradične vyžaduje doplniť a akcentovať ústavou garantovaný princíp slobody tlače, vzhľadom na jej veľmi široké výkladové použitie, preto ho osobitne akcentovať nemá opodstatnenie.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8.	Pri preukazovaní transpozície čl. 11 ods. 1 písm. e) smernice 2014/41/EÚ v platnom znení, žiadame uvádzať v šiestom stĺpci tabuľky zhody celé znenie transpozičného opatrenia.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9.	Žiadame preukázať transpozíciu čl. 11 ods. 1 písm. h) smernice 2014/41/EÚ v platnom znení do slovenského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opatrenie vyjadruje genericky podmienky, ktoré sú uvedené v dotknutom ustanovení smernice spôsobom , ktorý poskytuje priestor pre zohľadnenie dôvodov, ktoré sú v ňom uvedené.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10.	Žiadame preukázať transpozíciu čl. 12 ods. 1 smernice 2014/41/EÚ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Subsidiárne použitie najmä Trestného poriadku najlepšie vystihuje zásadu ekvivalencie prístupov.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11.	Žiadame preukázať transpozíciu čl. 13 ods. 2 smernice 2014/41/EÚ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opatrenie obsahuje podstatné prvky dotknutého ustanovenia smernice z hľadiska dosiahnutého výsledku.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12.	Pri preukazovaní transpozície čl. 14 ods. 1 smernice 2014/41/EÚ v platnom znení žiadame uviesť v ôsmom stĺpci tabuľky zhody vysvetlenie, aké sa uvádza aj pri preukazovaní transpozície čl. 14 ods. 2 smernice 2014/41/EÚ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13.	Žiadame preukázať transpozíciu čl. 14 ods. 5 smernice 2014/41/EÚ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14.	Pri preukazovaní transpozície čl. 14 ods. 6 smernice 2014/41/EÚ v platnom znení žiadame uvádzať ako transpozičné opatrenie aj ustanovenie, ktoré je premietnuté do textu v ôsmom stĺpci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15.	Pri preukazovaní transpozície čl. 14 ods. 7 smernice 2014/41/EÚ v platnom znení žiadame uvádzať ako transpozičné opatrenie aj ustanovenie, ktoré je premietnuté do textu v ôsmom stĺpci tabuľky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bližšiu špecifikáciu, nie transpozičné ustanovenie.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16.	Žiadame preukázať transpozíciu čl. 22 ods. 4 smernice 2014/41/EÚ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uvedené ustanovenia sú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17.	Pri preukazovaní transpozície čl. 22 ods. 9 smernice 2014/41/EÚ v platnom znení sa domnievame, že dochádza ku goldplatingu typu b) - navýšenie požiadaviek, nakoľko dochádza k zavedeniu doby „45 dní“  pričom úprava v čl. 22 ods. 9 smernice 2014/41/EÚ v platnom znení žiadnu dobu nestanovuje. V tejto súvislosti žiadame uviesť v deviatom stĺpci tabuľky zhody slová „GP – A, b) navýšenie požiadaviek“ a v desiatom stĺpci je potrebné identifikovať oblasť, na ktorú má goldplating vplyv. V závere tabuľky zhody je potrebné doplniť Vyjadrenie k opodstatnenosti goldplatingu a jeho odôvodnenie vo vzťahu k dotknutému čl. 22 ods. 9 smernice 2014/41/EÚ v platnom znení. Túto pripomienku primerane vzťahujeme aj na doložku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18.	Žiadame preukázať transpozíciu čl. 24 ods. 3 písm. a) smernice 2014/41/EÚ v platnom znení do slovenského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návrhu zákona ohľadom opatrení na zabezpečenie výsluchu dotknutých osôb znamenajú  bežné opatrenia, ktoré upravuje vnútroštátny právny poriadok s cieľom realizácie výsluchu.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19.	Žiadame preukázať transpozíciu čl. 29 ods. 3 písm. b) smernice 2014/41/EÚ v platnom znení do slovenského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Požadovaný cieľ ustanovení smernice je dosiahnutý prostredníctvom uvedených ustanovení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20.	Žiadame preukázať transpozíciu čl. 30 ods. 3 písm. a) smernice 2014/41/EÚ v platnom znení do slovenského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21.	Žiadame preukázať transpozíciu čl. 30 ods. 6 písm. a) smernice 2014/41/EÚ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Forma vykonania EVP v transpozičnom opatrení predstavuje pružnú formu realizácie žiadosti vydávajúceho štátu zodpovedajúceho technickým podmienkam súčasnosti.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22.	Žiadame preukázať transpozíciu čl. 32  ods. 1 smernice 2014/41/EÚ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 dotknutého ustanovenia smernice je plne naplnený cez zaistenie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23.	Žiadame preukázať transpozíciu čl. 32 ods. 2 smernice 2014/41/EÚ v platnom znení do slovenského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opatrenie plne sleduje cieľ ustanovenia smernice, ktorým je urýchlene konať a informovať štát pôvodu.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24.	Žiadame preukázať transpozíciu čl. 32 ods. 4 smernice 2014/41/EÚ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25.	Žiadame preukázať transpozíciu čl. 32 ods. 5 smernice 2014/41/EÚ v platnom znení do slovenského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opatrenia sledujú cieľ dotknutého ustanovenia smernice v miere, ktorá odráža oprávnené očakávania spájané so vzájomnou dôverou a efektívnou spoluprácou medzi justičnými orgánmi.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26.	Žiadame preukázať transpozíciu Prílohy A smernice 2014/41/EÚ v platnom znení, týkajúcu sa vzoru Európskeho vyšetrovacieho príkazu, so vzorom v zmysle návrhu vyhlášky.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27.	Žiadame preukázať transpozíciu Prílohy B smernice 2014/41/EÚ v platnom znení, týkajúcu sa vzoru potvrdenia doručenia EVP, so vzorom v zmysle návrhu vyhlášky.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2014/41/EÚ v platnom znení:</w:t>
              <w:br/>
            </w:r>
            <w:r>
              <w:rPr>
                <w:b w:val="off"/>
                <w:color w:val="000000"/>
                <w:rFonts w:ascii="Times New Roman" w:hAnsi="Times New Roman" w:cs="Times New Roman" w:eastAsia="Times New Roman"/>
                <w:sz w:val="24"/>
              </w:rPr>
              <w:t>28.	Žiadame preukázať transpozíciu Prílohy C smernice 2014/41/EÚ v platnom znení, týkajúcu sa Oznámenia, so vzorom v zmysle návrhu vyhlášky. Zároveň, žiadame upraviť druhý stĺpec tabuľky zhody tak, že sa uvedie iba znenie „Oznámenie“.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2013/48/EÚ:</w:t>
              <w:br/>
            </w:r>
            <w:r>
              <w:rPr>
                <w:b w:val="off"/>
                <w:color w:val="000000"/>
                <w:rFonts w:ascii="Times New Roman" w:hAnsi="Times New Roman" w:cs="Times New Roman" w:eastAsia="Times New Roman"/>
                <w:sz w:val="24"/>
              </w:rPr>
              <w:t>1.	Žiadame preukázať transpozíciu čl. 1 smernice 2013/48/EÚ, a to pokiaľ ide o právo na komunikáciu s tretími osobami a s konzulárnymi úradmi po pozbavení osobnej slobody.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2013/48/EÚ:</w:t>
              <w:br/>
            </w:r>
            <w:r>
              <w:rPr>
                <w:b w:val="off"/>
                <w:color w:val="000000"/>
                <w:rFonts w:ascii="Times New Roman" w:hAnsi="Times New Roman" w:cs="Times New Roman" w:eastAsia="Times New Roman"/>
                <w:sz w:val="24"/>
              </w:rPr>
              <w:t>2.	Pri preukazovaní transpozície čl. 3 ods. 1 smernice 2013/48/EÚ, žiadame uvádzať ako relevantné transpozičné opatrenie aj ustanovenie § 33b ods. 1 zákona č. 301/2005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2013/48/EÚ:</w:t>
              <w:br/>
            </w:r>
            <w:r>
              <w:rPr>
                <w:b w:val="off"/>
                <w:color w:val="000000"/>
                <w:rFonts w:ascii="Times New Roman" w:hAnsi="Times New Roman" w:cs="Times New Roman" w:eastAsia="Times New Roman"/>
                <w:sz w:val="24"/>
              </w:rPr>
              <w:t>3.	Žiadame preukázať transpozíciu čl. 8 ods. 1 písm. a) – d) smernice 2013/48/EÚ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2013/48/EÚ:</w:t>
              <w:br/>
            </w:r>
            <w:r>
              <w:rPr>
                <w:b w:val="off"/>
                <w:color w:val="000000"/>
                <w:rFonts w:ascii="Times New Roman" w:hAnsi="Times New Roman" w:cs="Times New Roman" w:eastAsia="Times New Roman"/>
                <w:sz w:val="24"/>
              </w:rPr>
              <w:t>4.	Pri preukazovaní transpozície čl. 8 ods. 1 písm. a) – d) smernice 2013/48/EÚ žiadame uvádzať ako relevantné transpozičné opatrenie aj čl. 47 ods. 2 Ústavy SR. Zároveň, žiadame doplniť Ústavu SR aj do pravého záhlavia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2013/48/EÚ:</w:t>
              <w:br/>
            </w:r>
            <w:r>
              <w:rPr>
                <w:b w:val="off"/>
                <w:color w:val="000000"/>
                <w:rFonts w:ascii="Times New Roman" w:hAnsi="Times New Roman" w:cs="Times New Roman" w:eastAsia="Times New Roman"/>
                <w:sz w:val="24"/>
              </w:rPr>
              <w:t>5.	Žiadame preukázať transpozíciu čl. 10 ods. 4 smernice 2013/48/EÚ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opatrenia považujeme za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2013/48/EÚ:</w:t>
              <w:br/>
            </w:r>
            <w:r>
              <w:rPr>
                <w:b w:val="off"/>
                <w:color w:val="000000"/>
                <w:rFonts w:ascii="Times New Roman" w:hAnsi="Times New Roman" w:cs="Times New Roman" w:eastAsia="Times New Roman"/>
                <w:sz w:val="24"/>
              </w:rPr>
              <w:t>6.	Pri preukazovaní transpozície čl. 12 ods. 1 smernice 2013/48/EÚ, žiadame uvádzať ako relevantné transpozičné opatrenia aj ustanovenia Trestného poriadku týkajúce sa uplatnenia práva na účinný opravný prostriedok.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1.	Žiadame preukázať splnenie notifikačnej povinnosti v zmysle čl. 3 ods. 1 smernice 2011/99/EÚ.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Notifikačná povinnosť SR bola splnená a zverejnené vyhlásenie SR bolo publikované aj na webovom sídle trestnej EJN.</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2.	Žiadame preukázať splnenie povinnosť informovať chránenú osobu o dostupných prostriedkoch nápravy v zmysle čl. 6 ods. 7 smernice 2011/99/EÚ.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Rozhodnutie vždy obsahuje informáciu o opravnom prostriedku.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3.	Na preukázanie úplnej a správnej transpozície čl. 7 písm. a) – k) smernice 2011/99/EÚ, žiadame uvádzať ako transpozičné opatrenie aj znenie Prílohy č. 5 v zmysle návrhu vyhlášky.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4.	Žiadame preukázať transpozíciu čl. 8 ods. 1 smernice 2011/99/EÚ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atribúty komunikácie sú súčasťou transpozičných opatrení alebo imanentných znakov ich realizácie.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5.	Žiadame preukázať transpozíciu čl. 10 ods. 1 písm. a) a e) smernice 2011/99/EÚ do slovenského právneho poriadku.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 doplnený § 249 ods. 1 návrhu zákona. Písm. e) je dostatočne transponované v dotknutej časti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6.	Pri preukazovaní transpozície čl. 10 ods. 1 smernice 2011/99/EÚ sa domnievame, že dochádza ku goldplatingu typu b) - navýšenie požiadaviek, nakoľko dochádza k rozšíreniu možností odmietnuť uznať európsky ochranný príkaz aj z dôvodov, ktoré smernica 2011/99/EÚ neuvádza. Ide konkrétne o ustanovenia § 250 písm. b) a h) návrhu zákona. V tejto súvislosti žiadame uviesť v deviatom stĺpci tabuľky zhody slová „GP – A, b) navýšenie požiadaviek“ a v desiatom stĺpci je potrebné identifikovať oblasť, na ktorú má goldplating vplyv. V závere tabuľky zhody je potrebné doplniť Vyjadrenie k opodstatnenosti goldplatingu a jeho odôvodnenie vo vzťahu k dotknutému čl. 10 ods. 1 smernice 2011/99/EÚ. Túto pripomienku primerane vzťahujeme aj na doložku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Nestotožňujeme sa s tvrdením, že ide o goldplating. Ustanovenie § 250 písm. b)  vychádza zo základných podmienok pre vydanie EPO ako existencia ochranných opatrení v štáte pôvodu a výskyt chránenej osoby v SR, čo vnímame ako premietnutie čl. 10 ods. 1 písm. b) vo väzbe na podmienky upravené v čl. 5 smernice </w:t>
              <w:br/>
            </w:r>
            <w:r>
              <w:rPr>
                <w:b w:val="off"/>
                <w:color w:val="000000"/>
                <w:rFonts w:ascii="Times New Roman" w:hAnsi="Times New Roman" w:cs="Times New Roman" w:eastAsia="Times New Roman"/>
                <w:sz w:val="24"/>
              </w:rPr>
              <w:t>Ustanovenie § 205 psím. h) ohľadom nedostatku  veku je rovnako výsledok premietnutia čl. 10 ods. 1  písm. h), ktorý sleduje rovnaký cieľ.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7.	Žiadame preukázať transpozíciu čl. 10 ods. 2 písm. a) smernice 2011/99/EÚ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opatrenie dostatočne sleduje cieľ ustanovenia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8.	Pri preukazovaní transpozície čl. 10 ods. 2 písm. b) smernice 2011/99/EÚ odporúčame doplniť ako relevantné transpozičné opatrenia ustanovenia návrhu zákona týkajúce sa následných opatrení. Z povahy ustanovenia čl. 10 ods. 2 smernice 2011/99/EÚ nevyplýva, že by muselo ísť len o predbežné opatrenia tak, ako predkladateľ vysvetľuje v ôsmom stĺpci tabuľky zhody. Navyše, ochranné opatrenia, ktoré sa majú prijímať na základe európskeho ochranného príkazu, ktorých vzor upravuje Príloha II smernice 2011/99/EÚ sa transponujú prostredníctvom ustanovení návrhu zákona, ktoré upravujú následné opatrenia - § 251 ods. 3 a § 1 ods. 6 návrhu vyhlášky. Z uvedeného dôvodu máme za to, že príslušné ustanovenia by mali byť transpozičným opatrením čl. 10 ods. 2 písm. a) smernice 2011/99/EÚ.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9.	Žiadame preukázať transpozíciu čl. 10 ods. 2 písm. c) smernice 2011/99/EÚ do slovenského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Rozhodnutie vykonávajúceho orgánu obsahuje poučenie o opravných prostriedkoch.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10.	Žiadame preukázať transpozíciu čl. 11 ods. 2 písm. a) – c) smernice 2011/99/EÚ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11.	Pri preukazovaní transpozície čl. 11 ods. 3 smernice 2011/99/EÚ, žiadame upraviť text uvádzaný v šiestom stĺpci tabuľky zhody v súlade s návrhom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12.	Žiadame preukázať transpozíciu čl. 13 ods. 1 písm. a) – b) smernice 2011/99/EÚ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opatrenia sledujú ciele v dotknutých častiach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13.	Žiadame preukázať transpozíciu čl. 13 ods. 4 smernice 2011/99/EÚ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opatrenia sledujú ciele v dotknutých častiach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14.	Žiadame preukázať transpozíciu čl. 13 ods. 7 písm. b) smernice 2011/99/EÚ do slovenského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opatrenia sledujú ciele v dotknutých častiach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15.	Pri preukazovaní transpozície čl. 15 smernice 2011/99/EÚ sa domnievame, že dochádza ku goldplatingu typu b) - navýšenie požiadaviek, nakoľko dochádza k rozšíreniu okolností, ktoré je potrebné zohľadňovať aj o „vek chránenej osoby“, pričom úprava v čl. 15 smernice 2011/99/EÚ takúto okolnosť neupravuje. V tejto súvislosti žiadame uviesť v deviatom stĺpci tabuľky zhody slová „GP – A, b) navýšenie požiadaviek“ a v desiatom stĺpci je potrebné identifikovať oblasť, na ktorú má goldplating vplyv. V závere tabuľky zhody je potrebné doplniť Vyjadrenie k opodstatnenosti goldplatingu a jeho odôvodnenie vo vzťahu k dotknutému čl. 15 smernice 2011/99/EÚ. Túto pripomienku primerane vzťahujeme aj na doložku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Nestotožňujeme sa s tvrdením, že ide o goldplating. Ustanovenie § 241 písm. a) obsahuje medzi prvkami na účel postupu pri výkone EPO, ktoré demonštratívne vymenúva aj vek chránenej osoby. Tento aspekt je možné podradiť pod stupeň ochrany chránenej osoby, nakoľko vek chránenej osoby z hľadiska jeho zraniteľnosti by mal byť vnímaný ako špecifikácia stupňa ochrany osoby  a následne ho treba zohľadniť pre prioritu konaní o takýchto veciach. Taktiež máme za to, že vek možno podradiť pod osobitné okolnosti prípadu.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16.	Z tabuľky zhody je možné vypustiť transpozíciu čl. 19 ods. 3, nakoľko predkladaným návrhom zákona nedochádza k jeho transpozícii, ani k zmene transpozičných opatrení, a ide o čiastkovú tabuľku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17.	Žiadame preukázať transpozíciu Prílohy I smernice 2011/99/EÚ, týkajúcu sa vzoru Európskeho ochranného príkazu, so vzorom v zmysle návrhu vyhlášky.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2011/99/EÚ:</w:t>
              <w:br/>
            </w:r>
            <w:r>
              <w:rPr>
                <w:b w:val="off"/>
                <w:color w:val="000000"/>
                <w:rFonts w:ascii="Times New Roman" w:hAnsi="Times New Roman" w:cs="Times New Roman" w:eastAsia="Times New Roman"/>
                <w:sz w:val="24"/>
              </w:rPr>
              <w:t>18.	Žiadame preukázať transpozíciu Prílohy II smernice 2011/99/EÚ, týkajúcu sa vzoru oznámenia o porušení ochranného opatrenia prijatého na základe európskeho ochranného príkazu, so vzorom v zmysle návrhu vyhlášky.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2009/829/SVV:</w:t>
              <w:br/>
            </w:r>
            <w:r>
              <w:rPr>
                <w:b w:val="off"/>
                <w:color w:val="000000"/>
                <w:rFonts w:ascii="Times New Roman" w:hAnsi="Times New Roman" w:cs="Times New Roman" w:eastAsia="Times New Roman"/>
                <w:sz w:val="24"/>
              </w:rPr>
              <w:t>1.	Žiadame preukázať transpozíciu čl. 20 ods. 2 písm. a) rámcového rozhodnutia 2009/829/SVV do slovenského právneho poriadku, pokiaľ ide o prvú časť tohto ustanovenia.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2009/829/SVV:</w:t>
              <w:br/>
            </w:r>
            <w:r>
              <w:rPr>
                <w:b w:val="off"/>
                <w:color w:val="000000"/>
                <w:rFonts w:ascii="Times New Roman" w:hAnsi="Times New Roman" w:cs="Times New Roman" w:eastAsia="Times New Roman"/>
                <w:sz w:val="24"/>
              </w:rPr>
              <w:t>2.	 Žiadame preukázať transpozíciu čl. 20 ods. 2 písm. g) rámcového rozhodnutia 2009/829/SVV do slovenského právneho poriadku, nakoľko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2009/829/SVV:</w:t>
              <w:br/>
            </w:r>
            <w:r>
              <w:rPr>
                <w:b w:val="off"/>
                <w:color w:val="000000"/>
                <w:rFonts w:ascii="Times New Roman" w:hAnsi="Times New Roman" w:cs="Times New Roman" w:eastAsia="Times New Roman"/>
                <w:sz w:val="24"/>
              </w:rPr>
              <w:t>3.	 Pri preukazovaní transpozície čl. 24 rámcového rozhodnutia 2009/829/SVV do slovenského právneho poriadku, žiadame v piatom stĺpci tabuľky zhody uvádzať § 337.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2009/829/SVV:</w:t>
              <w:br/>
            </w:r>
            <w:r>
              <w:rPr>
                <w:b w:val="off"/>
                <w:color w:val="000000"/>
                <w:rFonts w:ascii="Times New Roman" w:hAnsi="Times New Roman" w:cs="Times New Roman" w:eastAsia="Times New Roman"/>
                <w:sz w:val="24"/>
              </w:rPr>
              <w:t>4.	 V predloženej tabuľke zhody k rámcovému rozhodnutiu 2009/829/SVV žiadame preukazovať  aj transpozíciu Prílohy I a Prílohy 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Transpozícia je uvedená v časti k čl. 10 ods. 1 a k čl. 19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2009/829/SVV:</w:t>
              <w:br/>
            </w:r>
            <w:r>
              <w:rPr>
                <w:b w:val="off"/>
                <w:color w:val="000000"/>
                <w:rFonts w:ascii="Times New Roman" w:hAnsi="Times New Roman" w:cs="Times New Roman" w:eastAsia="Times New Roman"/>
                <w:sz w:val="24"/>
              </w:rPr>
              <w:t>5.	Do tabuľky zhody s rámcovým rozhodnutím 2009/829/SVV žiadame doplniť preukázanie transpozície čl. 21 ods. 2 rámcového rozhodnutia 2009/829/SVV.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Transpozícia vyplýva z aplikácie a úpravy vykonávania EZR.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2009/829/SVV:</w:t>
              <w:br/>
            </w:r>
            <w:r>
              <w:rPr>
                <w:b w:val="off"/>
                <w:color w:val="000000"/>
                <w:rFonts w:ascii="Times New Roman" w:hAnsi="Times New Roman" w:cs="Times New Roman" w:eastAsia="Times New Roman"/>
                <w:sz w:val="24"/>
              </w:rPr>
              <w:t>6.	Žiadame preukázať transpozíciu čl. 23 ods. 2 rámcového rozhodnutia 2009/829/SVV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2009/948/SVV:</w:t>
              <w:br/>
            </w:r>
            <w:r>
              <w:rPr>
                <w:b w:val="off"/>
                <w:color w:val="000000"/>
                <w:rFonts w:ascii="Times New Roman" w:hAnsi="Times New Roman" w:cs="Times New Roman" w:eastAsia="Times New Roman"/>
                <w:sz w:val="24"/>
              </w:rPr>
              <w:t>1.	Žiadame preukázať transpozíciu čl. 7 rámcového rozhodnutia 2009/948/SVV do slovenského právneho poriadku, a to pokiaľ ide o možnosť vyhotovenia písomného záznamu.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2009/948/SVV:</w:t>
              <w:br/>
            </w:r>
            <w:r>
              <w:rPr>
                <w:b w:val="off"/>
                <w:color w:val="000000"/>
                <w:rFonts w:ascii="Times New Roman" w:hAnsi="Times New Roman" w:cs="Times New Roman" w:eastAsia="Times New Roman"/>
                <w:sz w:val="24"/>
              </w:rPr>
              <w:t>2.	Pri preukazovaní transpozície čl. 8 ods. 1 písm. a) – e) rámcového rozhodnutia 2009/948/SVV, žiadame do ôsmeho stĺpca tabuľky zhody uviesť vysvetlenie, čo zahŕňa väzobnú vec v zmysle § 114 ods. 3 písm. 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2009/948/SVV:</w:t>
              <w:br/>
            </w:r>
            <w:r>
              <w:rPr>
                <w:b w:val="off"/>
                <w:color w:val="000000"/>
                <w:rFonts w:ascii="Times New Roman" w:hAnsi="Times New Roman" w:cs="Times New Roman" w:eastAsia="Times New Roman"/>
                <w:sz w:val="24"/>
              </w:rPr>
              <w:t>3.	Pri preukazovaní transpozície čl. 8 ods. 2 rámcového rozhodnutia 2009/948/SVV, žiadame v šiestom stĺpci tabuľky zhody uvádzať aj úvodnú vetu.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2009/948/SVV:</w:t>
              <w:br/>
            </w:r>
            <w:r>
              <w:rPr>
                <w:b w:val="off"/>
                <w:color w:val="000000"/>
                <w:rFonts w:ascii="Times New Roman" w:hAnsi="Times New Roman" w:cs="Times New Roman" w:eastAsia="Times New Roman"/>
                <w:sz w:val="24"/>
              </w:rPr>
              <w:t>4.	Žiadame preukázať transpozíciu prvej vety čl. 10 ods. 3 rámcového rozhodnutia 2009/948/SVV do slovenského 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2008/909/SVV:</w:t>
              <w:br/>
            </w:r>
            <w:r>
              <w:rPr>
                <w:b w:val="off"/>
                <w:color w:val="000000"/>
                <w:rFonts w:ascii="Times New Roman" w:hAnsi="Times New Roman" w:cs="Times New Roman" w:eastAsia="Times New Roman"/>
                <w:sz w:val="24"/>
              </w:rPr>
              <w:t>1.	Pri preukazovaní transpozície čl. 4 ods. 5 rámcového rozhodnutia 2008/909/SVV žiadame do šiesteho stĺpca tabuľky zhody doplniť aj úvodnú vetu § 327 ods. 1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2008/909/SVV:</w:t>
              <w:br/>
            </w:r>
            <w:r>
              <w:rPr>
                <w:b w:val="off"/>
                <w:color w:val="000000"/>
                <w:rFonts w:ascii="Times New Roman" w:hAnsi="Times New Roman" w:cs="Times New Roman" w:eastAsia="Times New Roman"/>
                <w:sz w:val="24"/>
              </w:rPr>
              <w:t>2.	Do tabuľky zhody s rámcovým rozhodnutím 2008/909/SVV žiadame doplniť preukázanie transpozície čl. 5 ods. 2 predmetného rozhodnutia.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2008/909/SVV:</w:t>
              <w:br/>
            </w:r>
            <w:r>
              <w:rPr>
                <w:b w:val="off"/>
                <w:color w:val="000000"/>
                <w:rFonts w:ascii="Times New Roman" w:hAnsi="Times New Roman" w:cs="Times New Roman" w:eastAsia="Times New Roman"/>
                <w:sz w:val="24"/>
              </w:rPr>
              <w:t>3.	Žiadame preukázať transpozíciu čl. 9 ods. 1 písm. e) rámcového rozhodnutia 2008/909/SVV v platnom znení. Uvedený § 323 ods. 1 písm. e) návrhu zákona považujeme za nesúvisiace transpozičné opatrenie.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Slovenský preklad rámcového rozhodnutia je nesprávny, preto je pripomienka neopodstatnená.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2008/909/SVV:</w:t>
              <w:br/>
            </w:r>
            <w:r>
              <w:rPr>
                <w:b w:val="off"/>
                <w:color w:val="000000"/>
                <w:rFonts w:ascii="Times New Roman" w:hAnsi="Times New Roman" w:cs="Times New Roman" w:eastAsia="Times New Roman"/>
                <w:sz w:val="24"/>
              </w:rPr>
              <w:t>4.	Žiadame preukázať transpozíciu čl. 16 ods. 2 rámcového rozhodnutia 2008/909/SVV v platnom znení, a to pokiaľ ide o povinnosti Slovenskej republiky, v prípade, že je v pozícii členského štátu, ktorý bol požiadaný o prevoz odsúdenej osoby cez jeho územie, a teda informovať štát pôvodu, že nemôže zaručiť, že odsúdená osoba nebude stíhaná alebo inak podrobená obmedzeniu osobnej slobody na jeho území.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2008/909/SVV:</w:t>
              <w:br/>
            </w:r>
            <w:r>
              <w:rPr>
                <w:b w:val="off"/>
                <w:color w:val="000000"/>
                <w:rFonts w:ascii="Times New Roman" w:hAnsi="Times New Roman" w:cs="Times New Roman" w:eastAsia="Times New Roman"/>
                <w:sz w:val="24"/>
              </w:rPr>
              <w:t>5.	Žiadame v tabuľke zhody s rámcovým rozhodnutím 2008/909/SVV preukázať transponovanie čl. 16 ods. 5 rámcového rozhodnutia 2008/909/SVV v platnom znení, konkrétne povinnosť Slovenskej republiky ako štátu pôvodu poskytnúť do 72 hodín informácie ustanovené v čl. 16 ods. 1 v prípade neplánovaného medzipristátia.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2008/909/SVV:</w:t>
              <w:br/>
            </w:r>
            <w:r>
              <w:rPr>
                <w:b w:val="off"/>
                <w:color w:val="000000"/>
                <w:rFonts w:ascii="Times New Roman" w:hAnsi="Times New Roman" w:cs="Times New Roman" w:eastAsia="Times New Roman"/>
                <w:sz w:val="24"/>
              </w:rPr>
              <w:t>6.	V tabuľke zhody s rámcovým rozhodnutím 2008/909/SVV žiadame preukázať transpozíciu poslednej vety čl. 18 ods. 2 písm. f) predmetného rozhodnutia, ktoré upravuje spôsob vzdania sa zásady špeciality.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2008/909/SVV:</w:t>
              <w:br/>
            </w:r>
            <w:r>
              <w:rPr>
                <w:b w:val="off"/>
                <w:color w:val="000000"/>
                <w:rFonts w:ascii="Times New Roman" w:hAnsi="Times New Roman" w:cs="Times New Roman" w:eastAsia="Times New Roman"/>
                <w:sz w:val="24"/>
              </w:rPr>
              <w:t>7.	Žiadame v tabuľke zhody preukázať transponovanie časti ustanovenia čl. 24 rámcového rozhodnutia 2008/909/SVV v platnom znení, podľa ktorého Slovenská republika ako štát pôvodu je povinná znášať náklady na odovzdanie odsúdenej osoby do vykonávajúceho štátu a nákladov, ktoré vzniknú na jej výsostnom území ako štátu pôvodu.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2008/909/SVV:</w:t>
              <w:br/>
            </w:r>
            <w:r>
              <w:rPr>
                <w:b w:val="off"/>
                <w:color w:val="000000"/>
                <w:rFonts w:ascii="Times New Roman" w:hAnsi="Times New Roman" w:cs="Times New Roman" w:eastAsia="Times New Roman"/>
                <w:sz w:val="24"/>
              </w:rPr>
              <w:t>8.	Žiadame preukázať transpozíciu čl. 7 ods. 3 rámcového rozhodnutia 2008/909/SVV v platnom znení do § 310 ods. 1 návrhu zákona, resp. vysvetliť v 8. stĺpci navrhovaný spôsob transpozície.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ustanovenie považujeme za jednoznačné bez potreby uvádzať vysvetlenie.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2008/947/SVV:</w:t>
              <w:br/>
            </w:r>
            <w:r>
              <w:rPr>
                <w:b w:val="off"/>
                <w:color w:val="000000"/>
                <w:rFonts w:ascii="Times New Roman" w:hAnsi="Times New Roman" w:cs="Times New Roman" w:eastAsia="Times New Roman"/>
                <w:sz w:val="24"/>
              </w:rPr>
              <w:t>1.	Upozorňujeme, že navrhované ustanovenie § 344 ods. 3 ide nad rámec minimálnych požiadaviek stanovených čl. 11 ods. 3 rámcového rozhodnutia 2008/947/SVV v platnom znení a to pokiaľ ide o okruh prípadov, v ktorých má dochádzať ku komunikácii medzi príslušnými orgánmi vykonávajúceho štátu a štátu pôvodu. V tejto súvislosti požadujeme uviesť v predloženej tabuľke zhody, v súlade s platnými Legislatívnymi pravidlami vlády SR oblasti, na ktoré má uvedený goldplating vplyv a požadujeme taktiež osobitné zhodnotenie rozsahu takejto transpozície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vzhľadom na čl. 15 Rámcového rozhodnutia 2008/947/SVV, ktorý uvádza, že príslušné orgány štátu pôvodu a vykonávajúceho štátu sa môžu navzájom radiť s cieľom uľahčiť hladké a efektívne uplatňovanie tohto rámcového rozhodnutia kedykoľvek sa to považuje za vhodné. Uvedené teda nezakladá vznik goldplatingu, nakoľko nejde o transpozíciu nad rámec minimálnych požiadaviek stanovených čl. 11 ods. 3 uvedeného rámcového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2008/947/SVV:</w:t>
              <w:br/>
            </w:r>
            <w:r>
              <w:rPr>
                <w:b w:val="off"/>
                <w:color w:val="000000"/>
                <w:rFonts w:ascii="Times New Roman" w:hAnsi="Times New Roman" w:cs="Times New Roman" w:eastAsia="Times New Roman"/>
                <w:sz w:val="24"/>
              </w:rPr>
              <w:t>2.	Žiadame preukázať transpozíciu čl. 14 ods. 1 rámcového rozhodnutia 2008/947/SVV v platnom znení do slovenského právneho poriadku. Uvádzané transpozičné opatrenia sú nedostatočné a vecne nesúvisiace.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opatrenia, najmä s ohľadom na subsidiárne použitie Trestného poriadku, predstavujú postačujúci základ pre dosiahnutie cieľu požadovaného rámcovým rozhodnutím.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2008/947/SVV:</w:t>
              <w:br/>
            </w:r>
            <w:r>
              <w:rPr>
                <w:b w:val="off"/>
                <w:color w:val="000000"/>
                <w:rFonts w:ascii="Times New Roman" w:hAnsi="Times New Roman" w:cs="Times New Roman" w:eastAsia="Times New Roman"/>
                <w:sz w:val="24"/>
              </w:rPr>
              <w:t>3.	Žiadame preukázať transpozíciu čl. 16 ods. 1 rámcového rozhodnutia 2008/947/SVV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2008/947/SVV:</w:t>
              <w:br/>
            </w:r>
            <w:r>
              <w:rPr>
                <w:b w:val="off"/>
                <w:color w:val="000000"/>
                <w:rFonts w:ascii="Times New Roman" w:hAnsi="Times New Roman" w:cs="Times New Roman" w:eastAsia="Times New Roman"/>
                <w:sz w:val="24"/>
              </w:rPr>
              <w:t>4.	Žiadame preukázať transpozíciu čl. 17 ods. 1 rámcového rozhodnutia 2008/947/SVV v platnom znení do slovenského právneho poriadku. Uvádzané transpozičné opatrenia sú nedostatočné. Zároveň žiadame vyplniť siedmy stĺpec tabuľky zhody podľa rozsahu vykonanej transpozície daného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2008/947/SVV:</w:t>
              <w:br/>
            </w:r>
            <w:r>
              <w:rPr>
                <w:b w:val="off"/>
                <w:color w:val="000000"/>
                <w:rFonts w:ascii="Times New Roman" w:hAnsi="Times New Roman" w:cs="Times New Roman" w:eastAsia="Times New Roman"/>
                <w:sz w:val="24"/>
              </w:rPr>
              <w:t>5.	Žiadame preukázať transpozíciu čl. 17 ods. 5 rámcového rozhodnutia 2008/947/SVV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2005/214/SVV:</w:t>
              <w:br/>
            </w:r>
            <w:r>
              <w:rPr>
                <w:b w:val="off"/>
                <w:color w:val="000000"/>
                <w:rFonts w:ascii="Times New Roman" w:hAnsi="Times New Roman" w:cs="Times New Roman" w:eastAsia="Times New Roman"/>
                <w:sz w:val="24"/>
              </w:rPr>
              <w:t>1.	Pri preukazovaní transpozície čl. 1 písm. c) rámcového rozhodnutia 2005/214/SVV žiadame v šiestom stĺpci uviesť relevantný text návrhu zákona, navrhovaná úprava je nesúvisiaca.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2005/214/SVV:</w:t>
              <w:br/>
            </w:r>
            <w:r>
              <w:rPr>
                <w:b w:val="off"/>
                <w:color w:val="000000"/>
                <w:rFonts w:ascii="Times New Roman" w:hAnsi="Times New Roman" w:cs="Times New Roman" w:eastAsia="Times New Roman"/>
                <w:sz w:val="24"/>
              </w:rPr>
              <w:t>2.	Pri preukazovaní transpozície čl. 1 písm. d) rámcového rozhodnutia 2005/214/SVV žiadame v šiestom stĺpci uviesť relevantný text návrhu zákona, navrhovaná úprava je nesúvisiaca.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2005/214/SVV:</w:t>
              <w:br/>
            </w:r>
            <w:r>
              <w:rPr>
                <w:b w:val="off"/>
                <w:color w:val="000000"/>
                <w:rFonts w:ascii="Times New Roman" w:hAnsi="Times New Roman" w:cs="Times New Roman" w:eastAsia="Times New Roman"/>
                <w:sz w:val="24"/>
              </w:rPr>
              <w:t>3.	Pri preukazovaní transpozície čl. 4 ods. 2 rámcového rozhodnutia 2005/214/SVV do § 357 ods. 1 návrhu zákona žiadame preukázať transpozíciu skutočnosti, že správnosť obsahu osvedčenia musí byť overená príslušným orgánom štátu pôvodu a osvedčenie musí byť podpísané.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Uplatnené transpozičné opatrenie v rozsahu povinnosti orgánu štát pôvodu poskytuje v kombinácii s náležitosťami osvedčenia postačujúci základ pre naplnenie cieľa rámcového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2005/214/SVV:</w:t>
              <w:br/>
            </w:r>
            <w:r>
              <w:rPr>
                <w:b w:val="off"/>
                <w:color w:val="000000"/>
                <w:rFonts w:ascii="Times New Roman" w:hAnsi="Times New Roman" w:cs="Times New Roman" w:eastAsia="Times New Roman"/>
                <w:sz w:val="24"/>
              </w:rPr>
              <w:t>4.	Žiadame doplniť  preukázanie transpozície čl. 4 ods. 3 rámcového rozhodnutia 2005/214/SVV, nakoľko v navrhovaných ustanoveniach chýba úprava povinnosti zaslať originál osvedčenia vykonávajúcemu štátu, ak o to požiada.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Zasielanie osvedčenia z hľadiska jeho formy je uniformne riešené v návrhu zákona, ktoré poskytuje istotu hodnovernosti. Rovnako povinnosť poskytovať vykonávajúcemu orgánu dostatočné informácie a podklady.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2005/214/SVV:</w:t>
              <w:br/>
            </w:r>
            <w:r>
              <w:rPr>
                <w:b w:val="off"/>
                <w:color w:val="000000"/>
                <w:rFonts w:ascii="Times New Roman" w:hAnsi="Times New Roman" w:cs="Times New Roman" w:eastAsia="Times New Roman"/>
                <w:sz w:val="24"/>
              </w:rPr>
              <w:t>5.	Pri preukazovaní transpozície čl. 16 ods. 1 rámcového rozhodnutia 2005/214/SVV  žiadame do 6. stĺpca doplniť aj § 18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2005/214/SVV:</w:t>
              <w:br/>
            </w:r>
            <w:r>
              <w:rPr>
                <w:b w:val="off"/>
                <w:color w:val="000000"/>
                <w:rFonts w:ascii="Times New Roman" w:hAnsi="Times New Roman" w:cs="Times New Roman" w:eastAsia="Times New Roman"/>
                <w:sz w:val="24"/>
              </w:rPr>
              <w:t>6.	V tabuľke zhody s rámcovým rozhodnutím 2005/214/SVV žiadame preukázať transpozíciu čl. 16 ods. 2 rámcového rozhodnutia.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Nakoľko ide o dobrovoľnú transpozíciu, ktorú sa Slovenská republika rozhodla nevyužiť, nie je potrebné v čiastkovej tabuľke zhody preukazovať transpozíciu.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2005/214/SVV:</w:t>
              <w:br/>
            </w:r>
            <w:r>
              <w:rPr>
                <w:b w:val="off"/>
                <w:color w:val="000000"/>
                <w:rFonts w:ascii="Times New Roman" w:hAnsi="Times New Roman" w:cs="Times New Roman" w:eastAsia="Times New Roman"/>
                <w:sz w:val="24"/>
              </w:rPr>
              <w:t>7.	V súlade s Prílohou č. 3 Legislatívnych pravidiel vlády Slovenskej republiky žiadame za tabuľku zhody doplniť vyjadrenie k opodstatnenosti goldplatingu pri preukazovaní transpozície čl. 7 ods. 3  rámcového rozhodnutia 2005/214/SVV a jeho odôvodnenie.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tabuľke zhody bol nesprávne identifikovaný goldplating.</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1.	V ľavom záhlaví tabuľky zhody žiadame uvádzať citáciu nasledovne: „Rámcové rozhodnutie Rady z 13. júna 2002 o európskom zatykači a postupoch odovzdávania osôb medzi členskými štátmi (2002/584/SVV) (Mimoriadne vydanie Ú. v. EÚ, kap. 19/zv. 06; Ú. v. ES L 190, 18.7.2002)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2.	Žiadame preukázať transpozíciu čl. 4 ods. 6 rámcového rozhodnutia 2002/584/SVV v platnom znení do slovenského 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transpozičné opatrenia sú prejavom dotknutého ustanovenia, čo bolo potvrdené aj v rôznych hodnoteniach aplikácie 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3.	Žiadame preukázať transpozíciu čl. 4a ods. 2 rámcového rozhodnutia 2002/584/SVV v platnom znení do slovenského právneho poriadku v časti týkajúcej sa poskytnutia kópie rozsudku hľadanej osobe prostredníctvom vykonávajúceho orgánu.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vykonávajúceho orgánu je dostatočne upravená v citovanom ustanovení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4.	Žiadame preukázať transpozíciu čl. 4a ods. 3 rámcového rozhodnutia 2002/584/SVV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5.	Žiadame preukázať transpozíciu čl. 5 bod 1 rámcového rozhodnutia 2002/584/SVV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5 bod 1 rámcového rozhodnutia bol vypustený, preto sa jeho transpozícia nepreukazuje. Predmetný riadok tabuľky zhody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6.	Žiadame preukázať transpozíciu čl. 8 ods. 1 písm. c) rámcového rozhodnutia 2002/584/SVV v platnom znení do slovenského 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opatrenie preukázateľne zodpovedá preukázateľným znakom dokumentov v rámcovom rozhodnutí.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7.	Žiadame preukázať transpozíciu čl. 8 ods. 2 rámcového rozhodnutia 2002/584/SVV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8.	Žiadame preukázať transpozíciu čl. 10 ods. 2 rámcového rozhodnutia 2002/584/SVV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Transpozičné opatrenie je dostatočne generické pre pokrytie všetkých kanálov vrátane namietaného. Navyše vstupom do platnosti digitalizačného balíčka bude tento spôsob komunikácie v lepšom prípade nevyužívaný.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9.	Žiadame preukázať transpozíciu čl. 10 ods. 5 rámcového rozhodnutia 2002/584/SVV v platnom znení do slovenského právneho poriadku. Na preukázanie transpozície nepostačuje všeobecné ustanovenie o spolupráci. Prípadne, ak nová formulácia nie je možná a účelná, je možné vysvetliť zabezpečenie transpozície v ôsmom stĺpci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10.	Upozorňujeme, že slovenské jazykové znenie ustanovenia čl. 13 ods. 1 rámcového rozhodnutia 2002/584/SVV je z hľadiska svojho významu zmätočné. Odporúčame preto realizovať proces korigenda.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11.	Pri preukazovaní transpozície čl. 13 ods. 4 rámcového rozhodnutia 2002/584/SVV v platnom znení do slovenského právneho poriadku sa javí, že túto dobrovoľnú transpozíciu sme sa rozhodli nevyužiť. V tom prípade ju nie je potrebné v tabuľke zhody preukazovať, nakoľko ide iba o čiastkovú tabuľku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12.	Žiadame preukázať transpozíciu čl. 14 rámcového rozhodnutia 2002/584/SVV v platnom znení do slovenského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tabuľky zhody bol vypustený § 217 ods. 3. Ponechaná bola len prvá veta § 213 ods. 3, ktorá upravuje vypočutie zadržanej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13.	Žiadame upraviť navrhovanú transpozíciu čl. 18 ods. 1 rámcového rozhodnutia 2002/584/SVV. Článok 18 ods. 1 rámcového rozhodnutia 2002/584/SVV je formulovaný ako povinnosť, avšak transpozícia do slovenskej právnej úpravy sa formuluje ako „možnosť“, čo predstavuje rozpor s predmetným článkom.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návrhu zákona sleduje cieľ rámcového rozhodnutia a zohľadňuje potenciálne okolnosti prípadu, ktoré je nevyhnutné v činnosti vykonávajúcich orgánov zohľadniť. Pri hodnotení úrovne transpozície boli tieto ustanovenia vyhodnotené ako súladné s rámcovým rozhodnutím, a to aj zo strany Európskej komisie.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14.	Žiadame preukázať transpozíciu čl. 18 ods. 3 rámcového rozhodnutia 2002/584/SVV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Transpozičné ustanovenia návrhu sledujú ciele uvedené v dotknutých ustanoveniach rámcového rozhodnutia a pružne reagujú na okolnosti prípadov, ktorých sa to môže týkať. Do tabuľky zhody bol zároveň doplnený § 199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15.	Žiadame preukázať transpozíciu čl. 21 rámcového rozhodnutia 2002/584/SVV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16.	Žiadame preukázať transpozíciu čl. 23 ods. 3 rámcového rozhodnutia 2002/584/SVV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opatrenia zohľadňujú nevyhnutnosť dosiahnutia súladu ohľadom novej lehoty odovzdania.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17.	Žiadame preukázať transpozíciu čl. 23 ods. 4 rámcového rozhodnutia 2002/584/SVV v platnom znení do slovenského právneho poriadku, v časti týkajúcej sa výkonu európskeho zatykača.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opatrenia zohľadňujú nevyhnutnosť dosiahnutia súladu ohľadom novej lehoty odovzdania.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18.	Žiadame preukázať transpozíciu čl. 23 ods. 5 rámcového rozhodnutia 2002/584/SVV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opatrenia sú dostatočné z hľadiska zachovania cieľa dotknutých ustanovení rámcového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19.	Upozorňujeme, že navrhované znenie ustanovenia § 234, ktoré je transpozičným opatrením čl. 25 ods. 1 rámcového rozhodnutia 2002/584/SVV ide nad rámec požiadaviek stanovených čl. 25 ods. 1 v súvislosti s požiadavkou na pripojenie európskeho zatýkacieho rozkazu. V tejto súvislosti požadujeme uviesť v predloženej tabuľke zhody, v súlade s platnými Legislatívnymi pravidlami vlády SR oblasti, na ktoré má uvedený goldplating vplyv a požadujeme taktiež osobitné zhodnotenie rozsahu takejto transpozície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nakoľko pripojenie EZR má opodstatnenie z hľadiska potrieb organizácie eskorty osoby. Uvedené nevyvolá dodatočné náklady, nakoľko EZR je už vydaný a JE v systéme SIS.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20.	Žiadame preukázať transpozíciu čl. 25 ods. 1 písm. d) a posledný pod odsek čl. 25 ods. 1 rámcového rozhodnutia 2002/584/SVV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Skutočnosti uvedené v čl. 25 ods. 1 písm. d) sú súčasťou informácií v poskytnutom EZR. Pokiaľ ide o transpozíciu posledného pododseku čl. 25 ods. 1, Slovenská republika nevyužila túto možnosť. Táto skutočnosť bola uvedená v tabuľke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21.	Žiadame doplniť transpozičné opatrenie pri preukazovaní transpozície čl. 27 ods. 3  rámcového rozhodnutia 2002/584/SVV v časti „Zrieknutie sa formuluje tak, aby bolo jasné, že osoba sa súhlasu vzdala dobrovoľne  a pri plnom vedomí si následkov. Za týmto účelom osoba má právo na právneho zástupcu.“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22.	Žiadame preukázať transpozíciu čl. 27 ods. 4 rámcového rozhodnutia 2002/584/SVV v platnom znení do slovenského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23.	Žiadame preukázať transpozíciu čl. 28 ods. 2 písm. a) a b) druhej vety rámcového rozhodnutia 2002/584/SVV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24.	Žiadame preukázať transpozíciu čl. 28 ods. 3 rámcového rozhodnutia 2002/584/SVV v platnom znení do slovenského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2002/584/SVV v platnom znení:</w:t>
              <w:br/>
            </w:r>
            <w:r>
              <w:rPr>
                <w:b w:val="off"/>
                <w:color w:val="000000"/>
                <w:rFonts w:ascii="Times New Roman" w:hAnsi="Times New Roman" w:cs="Times New Roman" w:eastAsia="Times New Roman"/>
                <w:sz w:val="24"/>
              </w:rPr>
              <w:t>25.	V súlade s Prílohou č. 3 Legislatívnych pravidiel vlády Slovenskej republiky žiadame za tabuľku zhody doplniť vyjadrenie k opodstatnenosti goldplatingu pri preukazovaní transpozície čl. 25 ods. 1 rámcového rozhodnutia 2002/584/SVV a jeho odôvodnenie.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tabuľke zhody bol nesprávne identifikovaný goldplating.</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2002/465/SVV v platnom znení:</w:t>
              <w:br/>
            </w:r>
            <w:r>
              <w:rPr>
                <w:b w:val="off"/>
                <w:color w:val="000000"/>
                <w:rFonts w:ascii="Times New Roman" w:hAnsi="Times New Roman" w:cs="Times New Roman" w:eastAsia="Times New Roman"/>
                <w:sz w:val="24"/>
              </w:rPr>
              <w:t>1.	V ľavom záhlaví tabuľky zhody žiadame uvádzať citáciu nasledovne: „Rámcové rozhodnutie Rady z 13. júna 2002 o spoločných vyšetrovacích tímoch (2002/465/SVV) (Mimoriadne vydanie Ú. v. EÚ, kap. 19/zv. 06; Ú. v. ES L 162, 20.06.2002)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 rámcovým rozhodnutím 2002/465/SVV v platnom znení:</w:t>
              <w:br/>
            </w:r>
            <w:r>
              <w:rPr>
                <w:b w:val="off"/>
                <w:color w:val="000000"/>
                <w:rFonts w:ascii="Times New Roman" w:hAnsi="Times New Roman" w:cs="Times New Roman" w:eastAsia="Times New Roman"/>
                <w:sz w:val="24"/>
              </w:rPr>
              <w:t>2.	Domnievame sa, že ustanovenia § 44 a 45 návrhu zákona predstavujú transpozičné opatrenia aj ďalších článkov rámcového rozhodnutia 2002/465/SVV v platnom znení. Žiadame preto transpozíciu týchto preukázať ich doplnením do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všeobecnej časti:</w:t>
              <w:br/>
            </w:r>
            <w:r>
              <w:rPr>
                <w:b w:val="off"/>
                <w:color w:val="000000"/>
                <w:rFonts w:ascii="Times New Roman" w:hAnsi="Times New Roman" w:cs="Times New Roman" w:eastAsia="Times New Roman"/>
                <w:sz w:val="24"/>
              </w:rPr>
              <w:t>V zmysle Legislatívnych pravidiel vlády Slovenskej republiky žiadame do dôvodovej správy doplniť informáciu o vnútrokomunitárnom pripomienkovom konaní.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1.	V celej osobitnej časti dôvodovej správy žiadame citovať právne akty Európskej únie v súlade s Legislatívnymi pravidlami vlády Slovenskej republiky, a to pokiaľ ide o ich úplnú aj skrátenú citáciu.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2.	V dôvodovej správe k bodu 318 žiadame rozpísať skratku VTOS.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1.	V zmysle čl. 19 ods. 1 písm. b) Legislatívnych pravidiel vlády Slovenskej republiky žiadame do predkladacej správy doplniť obsah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2.	Za citáciu nariadenia (EÚ) 2018/1805 žiadame doplniť slová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Žiadame upraviť citáciu rámcového rozhodnutia 2002/584/SVV v platnom znení nasledovne: „ Rámcové rozhodnutie Rady z 13. júna 2002 o európskom zatykači a postupoch odovzdávania osôb medzi členskými štátmi (2002/584/SVV) (Mimoriadne vydanie Ú. v. EÚ, kap. 19/zv. 006; Ú. v. ES L 190, 18.7.2002)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Žiadame upraviť citáciu rámcového rozhodnutia 2002/465/SVV v platnom znení nasledovne: „Rámcové rozhodnutie Rady z 13. júna 2002 o spoločných vyšetrovacích tímoch (2002/465/SVV) (Mimoriadne vydanie Ú. v. EÚ, kap. 19/zv. 006; Ú. v. ES L 162, 20.6.2002)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3.	V bode 7 žiadame uviesť vyjadrenie ku goldplatingu, ktorý je identifikovaný v tabuľkách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vyhodnotenia pripomienok č. 25 k RR 2002/584/SVV v platnom znení a č. 7 rámcovým rozhodnutím 2005/214/SVV nie je potrebné uviesť vyjadrenie ku goldplatingu.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všeobecne:</w:t>
              <w:br/>
            </w:r>
            <w:r>
              <w:rPr>
                <w:b w:val="off"/>
                <w:color w:val="000000"/>
                <w:rFonts w:ascii="Times New Roman" w:hAnsi="Times New Roman" w:cs="Times New Roman" w:eastAsia="Times New Roman"/>
                <w:sz w:val="24"/>
              </w:rPr>
              <w:t>1.	Zo sprievodných materiálov žiadame vypustiť tabuľku zhody k rámcovému rozhodnutiu rady  2009/299/SVV a jej obsah preukazovať prostredníctvom tabuliek zhody s európskymi predpismi, ktoré toto rozhodnutie novelizuje.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upraviť citáciu rámcového rozhodnutia 2002/584/SVV v platnom znení nasledovne: „Rámcové rozhodnutie Rady z 13. júna 2002 o európskom zatykači a postupoch odovzdávania osôb medzi členskými štátmi (2002/584/SVV) (Mimoriadne vydanie Ú. v. EÚ, kap. 19/zv. 006; Ú. v. ES L 190, 18.7.2002) v platnom znení.“ Takto upravenú citáciu žiadame následne používať vo všetkých ďalších bodoch doložky zlučiteľnosti, ako i v sprievodných dokumentoch k predkladanému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upraviť citáciu rámcového rozhodnutia 2002/465/SVV v platnom znení nasledovne: „Rámcové rozhodnutie Rady z 13. júna 2002 o spoločných vyšetrovacích tímoch (2002/465/SVV) (Mimoriadne vydanie Ú. v. EÚ, kap. 19/zv. 006; Ú. v. ES L 162, 20.6.2002) v platnom znení.“ Takto upravenú citáciu žiadame následne používať vo všetkých ďalších bodoch doložky zlučiteľnosti, ako i v sprievodných dokumentoch k predkladanému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celom bode 3 písm. b) doložky zlučiteľnosti žiadame ku každému právnemu predpisu Európskej únie doplniť slovo „gestor“ v súlade s Legislatívnymi pravidlami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Do bodu 3 písm. b) doložky zlučiteľnosti žiadame doplniť rámcové rozhodnutia Rady 2008/675/SVV v úplnej citácii spolu s uvedením gestora.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Transpozícia  uvedeného RR je zabezpečená návrhom zákona o niektorých opatreniach súvisiacich s prijatím zákona o medzinárodnej justičnej spolupráci v trestných veciach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V bode 3 písm. b) doložky zlučiteľnosti žiadame doplniť do citácie rámcového rozhodnutia Rady 2009/829/SVV dodatok „v platnom znení“. Takto upravenú citáciu žiadame následne používať vo všetkých ďalších bodoch doložky zlučiteľnosti, ako i v sprievodných dokumentoch k predkladanému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6.	V bode 3 písm. b) doložky zlučiteľnosti doplniť do citácie rámcového rozhodnutia Rady 2009/948/SVV dodatok „v platnom znení“. Takto upravenú citáciu žiadame následne používať vo všetkých ďalších bodoch doložky zlučiteľnosti, ako i v sprievodných dokumentoch k predkladanému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7.	V bode 3 písm. b) doložky zlučiteľnosti doplniť do citácie nariadenia Európskeho parlamentu a Rady (EÚ) 2018/1805 dodatok „v platnom znení“. Takto upravenú citáciu žiadame následne používať vo všetkých ďalších bodoch doložky zlučiteľnosti, ako i v sprievodných dokumentoch k predkladanému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8.	V bode 3 písm. b) doložky zlučiteľnosti žiadame upraviť publikačný zdroj smernice (EÚ) 2023/1544 nasledovne : „Ú. v. EÚ L 191, 28.7.2023“. Takto upravenú citáciu žiadame následne používať vo všetkých ďalších bodoch doložky zlučiteľnosti, ako i v sprievodných dokumentoch k predkladanému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9.	V bode 3 písm. c) doložky zlučiteľnosti žiadame upraviť citáciu rámcového rozhodnutia Rady 2005/214/SVV nasledovne: „Rámcové rozhodnutie Rady 2005/214/SVV z 24. februára 2005 o uplatňovaní zásady vzájomného uznávania na peňažné sankcie (Ú. v. EÚ L 76, 22.3.2005) v platnom znení“. Takto upravenú citáciu žiadame následne používať vo všetkých ďalších bodoch doložky zlučiteľnosti, ako i v sprievodných dokumentoch k predkladanému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10.	V bode 3 písm. c) doložky zlučiteľnosti žiadame doplniť do citácie rámcového rozhodnutia Rady 2008/909/SVV dodatok „v platnom znení“. Takto upravenú citáciu žiadame následne používať vo všetkých ďalších bodoch doložky zlučiteľnosti, ako i v sprievodných dokumentoch k predkladanému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11.	V bode 3 písm. c) doložky zlučiteľnosti žiadame doplniť do citácie rámcového rozhodnutia Rady 2008/947/SVV dodatok „v platnom znení“. Takto upravenú citáciu žiadame následne používať vo všetkých ďalších bodoch doložky zlučiteľnosti, ako i v sprievodných dokumentoch k predkladanému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12.	V bode 4 písm. a) doložky zlučiteľnosti žiadame zosúladiť zoznam preberaných právnych aktov Európskej únie so zoznamom právnych predpisov uvedených v bode 3 písm. b) doložky zlučiteľnosti.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13.	V bode 4 písm. b) doložky zlučiteľnosti žiadame vypustiť konanie o porušení povinnosti INFR (2021) 2240, nakoľko bolo ukončené dňa 3.10.2024 a nie je relevantné ho uvádzať.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159</w:t>
              <w:br/>
            </w:r>
            <w:r>
              <w:rPr>
                <w:b w:val="off"/>
                <w:color w:val="000000"/>
                <w:rFonts w:ascii="Times New Roman" w:hAnsi="Times New Roman" w:cs="Times New Roman" w:eastAsia="Times New Roman"/>
                <w:sz w:val="24"/>
              </w:rPr>
              <w:t>V čl. I v § 159 navrhujeme spresniť úpravu vzájomných vzťahov medzi orgánmi príslušnými na prijatie oznámenia o európskom príkaze za účelom postupu podľa čl. 10 a 11 Nariadenia Európskeho parlamentu a Rady (EÚ) 2023/1543 z 12. júla 2023 o európskych príkazoch na predloženie elektronických dôkazov a európskych príkazoch na uchovanie elektronických dôkazov v trestnom konaní a na výkon trestu odňatia slobody v nadväznosti na trestné konanie (ďalej aj len ako „nariadenie“), najmä vo väzbe na plynutie lehôt (8-hodinová lehota,10-dňová lehota), a to najmä v prípade, ak má byť  plynutie lehoty pre poskytovateľa služby závislé od interakcie a konania vnútroštátneho vykonávajúce orgánu.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lehôt, ako aj vzájomné vzťahy poskytovateľa služieb a orgánov príslušných na prijatie oznámenia, vychádza priamo z nariadenia. Nie je preto možné na vnútroštátnej úrovni  upraviť plynutie lehôt iným spôsobom než tým, ktorý ustanovuje nariadenie č. 2023/1543.</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163 ods. 1</w:t>
              <w:br/>
            </w:r>
            <w:r>
              <w:rPr>
                <w:b w:val="off"/>
                <w:color w:val="000000"/>
                <w:rFonts w:ascii="Times New Roman" w:hAnsi="Times New Roman" w:cs="Times New Roman" w:eastAsia="Times New Roman"/>
                <w:sz w:val="24"/>
              </w:rPr>
              <w:t xml:space="preserve">V čl. I, navrhujeme upraviť §163 ods. 1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„Krajská prokuratúra podľa § 159 môže uložiť určenej prevádzkarni alebo vymenovanému právnemu zástupcovi pokutu do 2 % celkového celosvetového obratu poskytovateľa služieb v hospodárskom roku predchádzajúcom rozhodnutiu o pokute, ak určená prevádzkareň alebo vymenovaný zástupca neplní povinnosti podľa osobitného predpisu [1]. Za nesplnenie povinnosti podľa predchádzajúcej vety sa nepovažuje nesplnenie povinnosti z dôvodu vyššej moci, dočasnej nedostupnosti informačného systému alebo technickej limitácie systému, ak tieto okolnosti nastali nezávisle od vôle určenej prevádzkarne alebo vymenovaného právneho zástupcu a nebolo ich možné rozumne predvídať ani im zabrániť. Krajská prokuratúra môže upustiť od uloženia pokuty, ak určená prevádzkareň alebo vymenovaný právny zástupca splní povinnosť, ktorej porušenie bolo dôvodom pre začatie konania o uložení pokuty, a to do 30 dní odo dňa doručenia upovedomenia o začatí konania o uložení pokuty, o čom krajská prokuratúra určenú prevádzkareň alebo vymenovaného právneho zástupcu poučí v upovedomení o začatí konania o uložení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aj o spresnenie poznámky tak, aby odkazovala na čl. 16 ods. 10 nariadenia.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aby v odôvodnených prípadoch bolo možné upustiť od uloženia sankcie. V čl. 15 ods. 1 nariadenia je uvedené: „... .Členské štáty zabezpečia, aby bolo možné (nie však nevyhnutné) uložiť peňažné sankcie do výšky 2 % celkového celosvetového ročného obratu poskytovateľa služieb za predchádzajúci finančný rok.“ Taktiež, v zmysle predmetného ustanovenia nariadenia, sankcia sa môže uložiť za porušenie čl. 10, 11, 13 ods. 4 v súlade s čl. 16 ods. 10 len v  prípade, ak nedôjde k splneniu povinností v rámci náhradného vykonávania.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nie je možné akceptovať, keďže výšku aj podmienky uloženia sankcie upravuje nariadenie č. 2023/1543. Nie je teda možné otázku upraviť odlišne na vnútroštátnej úrovni.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ponechanie príslušnosti krajských súdov na rozhodovanie o predbežnej väzbe, vydávacej väzbe a ďalších úkonoch súvisiacich s konaniami o vydaní a odovzdaní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tejto oblasti existuje stabilizovaná a konzistentná judikatúra krajských súdov, ktorá významne prispieva k predvídateľnosti rozhodovania. Krajské súdy disponujú dlhodobou odbornou špecializáciou a praktickými skúsenosťami s extradičnou agendou, čo je vzhľadom na komplexnosť európskych a medzinárodných mechanizmov nevyhnutné. Prenos tejto agendy na iné súdy by si vyžadoval rozsiahle preškoľovanie a dočasne by mohol viesť k predlžovaniu konaní, čo je v extradičných konaniach neprípustné vzhľadom na potrebu rýchlosti a princíp vzájomnej dôvery.</w:t>
              <w:br/>
            </w:r>
            <w:r>
              <w:rPr>
                <w:b w:val="off"/>
                <w:color w:val="000000"/>
                <w:rFonts w:ascii="Times New Roman" w:hAnsi="Times New Roman" w:cs="Times New Roman" w:eastAsia="Times New Roman"/>
                <w:sz w:val="24"/>
              </w:rPr>
              <w:t>Rovnako aj presun vecnej príslušnosti v konaniach o európskom zatýkacom rozkaze (§ 206 ods. 2 návrhu zákona), v extradičných konaniach (§ 70 ods. 3 návrhu zákona), ako aj v konaniach o uznaní a výkone cudzích rozhodnutí z krajských súdov na okresné súdy, resp. na okresné súdy v sídle krajského súdu, môže viesť k aplikačným a interpretačným problémom v rozhodovacej praxi. Vzhľadom na osobitnú povahu tejto agendy, jej výrazný medzinárodný rozmer a zvýšené nároky na jednotný výklad sa javí ako nevyhnutné zachovanie centralizovanej rozhodovacej autority. Takáto zastrešujúca inštancia, ktorú v súčasnosti plní Najvyšší súd Slovenskej republiky, zabezpečuje kontinuitu, predvídateľnosť a jednotnosť rozhodovacej praxe, najmä na úrovni sťažnostného konania, a zároveň významne prispieva k formovaniu stabilnej a konzistentnej judikatúry v oblasti medzinárodnej justičnej spolupráce v trestných veciach.</w:t>
              <w:br/>
            </w:r>
            <w:r>
              <w:rPr>
                <w:b w:val="off"/>
                <w:color w:val="000000"/>
                <w:rFonts w:ascii="Times New Roman" w:hAnsi="Times New Roman" w:cs="Times New Roman" w:eastAsia="Times New Roman"/>
                <w:sz w:val="24"/>
              </w:rPr>
              <w:t>Súdy prvého stupňa sú už v súčasnosti výrazne vyťažené a extradičná agenda by ďalej zvyšovala nerovnomerné pracovné zaťaženie medzi jednotlivými súdmi. Súdy v sídle krajského súdu sa líšia veľkosťou, počtom sudcov aj organizačnou kapacitou, pričom prerozdelenie agendy by bolo nerovnomerné a mohlo by viesť k zhoršeniu prieťahov v iných typoch rozhodovacej činnosti. S ohľadom na rýchlosť konania a ochranu práv vyžiadanej osoby je vhodné, aby rozhodovali súdy s najvyššou mierou konzistentnej odbornej praxe v predmetnej oblasti, ktorú majú krajské súdy.</w:t>
              <w:br/>
            </w:r>
            <w:r>
              <w:rPr>
                <w:b w:val="off"/>
                <w:color w:val="000000"/>
                <w:rFonts w:ascii="Times New Roman" w:hAnsi="Times New Roman" w:cs="Times New Roman" w:eastAsia="Times New Roman"/>
                <w:sz w:val="24"/>
              </w:rPr>
              <w:t>Alternatívne, aj keď stále nie ideálne riešenie by mohlo byť, ak by kategória súdov v sídle krajského súdu nebola vypustená, upraviť vecnú príslušnosť všetkým okresným súdom v sídle kraja. Zabezpečilo by sa tým rovnomernejšie rozloženie zaťaženia. Vyhlo by sa tým koncentrácii konaní na jeden preťažený okresný súd/mestský súd.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Otázka príslušnosti súdov bude riešená na vyššej - politickej úrovni, nakoľko v tejto otázke ostal rozpor z rozporových konaní s GP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doplnenie ustanovení, ktoré garantujú povinné poučenie vyžiadanej osoby o všetkých procesných právach, vrátane možnosti udeliť súhlas s odovzdaním (s jasným vysvetlením jeho právnych následkov) práva na právnu pomoc a práva  na konzultáciu s advokátom pred každým procesným úkonom.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Vydávacie konanie predstavuje intenzívny zásah do osobnej slobody. Precízna úprava poučenia a prístupu k obhajobe je vyžadovaná aj judikatúrou.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10.2.2026 a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SAK ustúpila od zásadnej pripomienky a považuje navrhovanú právnu úpravu (poučovaciu povinnosť a právo na nutnú obhajobu)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doplnenie ustanovení upravujúce prednosť priamo uplatniteľných aktov EÚ (najmä nariadení a vykonávacích rozhodnutí týkajúcich  sa mechanizmov vzájomného uznávania, e-CODEX a justičných databáz) a zároveň ustanoviť jednotné pravidlá pre riešenie kolízií medzi vnútroštátnou úpravou, medzinárodnými zmluvami a judikatúrou Súdneho dvora EÚ a Európskeho súdu pre ľudské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Konania o vydaní, odovzdaní osôb, prenos výkonu trestov a spolupráca pri získavaní dôkazov sú súčasťou viacvrstvového právneho režimu, v ktorom sa súbežne aplikujú vnútroštátne normy, záväzky z medzinárodných dohovorov (napr. Európsky dohovor o vydávaní, Dohovor o vzájomnej pomoci) a právo Európskej únie. Absencia výslovného kolízneho pravidla môže v praxi viesť k odlišným výkladom jednotlivých súdov, komplikovať procesné rozhodnutia a spomaľovať konanie. Výslovné zakotvenie normatívnej hierarchie posilní právnu istotu a predíde aplikačným nejasnostiam, najmä pri situáciách, v ktorých sa vnútroštátna úprava môže dostať do rozporu s požiadavkami vyplývajúcimi z princípu vzájomnej dôvery a vzájomného uznávania rozhodnutí v 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čiastočne. Pokiaľ ide o vzťah právnych aktov EÚ a právnych predpisov SR (konkr. návrh predkladaného zákona) tento je definovaný jednak v Ústave SR, ale aj v návrhu zákona v §3. Pokiaľ ide o judikatúru SDEÚ, táto bola zohľadnená po dôkladnej analýze vo fáze prípravy návrhu zákona a odsúhlasená členmi relevantných pracovných skupín. Iné judikáty budú ešte zapracované do dôvodovej správy návrhu (napr. Petruuhin). Rovnako judikatúra ESĽP našla vyjadrenie v úprave textu návrhu zákona (napr. obmedzenie trvania extradičnej väzby). Pokiaľ ide o všeobecné pravidlá aplikácie, návrh zákona nie je vhodný legislatívny text na ich všeobecné vyjadrenie. Každopádne praktické problémy spojené s otáznou aplikáciou judikatúry európskych súdov alebo právnych aktov EÚ neboli zaznamenané a pri významnejších judikátoch dochádza k metodickému a informačnému pôsobeniu zo strany ministerstva spravodlivosti vo vzťahu k súdom.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doplnenie ustanovení o jednotný postup pre posudzovanie dôvodov odmietnutia justičnej spolupráce, najmä v prípadoch obáv z porušenia základných práv v štáte pôvodu žiadosti (neľudské zaobchádzanie, systémové nedostatky v súdnictve, riziko nespravodlivého procesu), alebo pri posudzovaní požiadaviek týkajúcich sa zásady ne bis in idem či zásady obojstrannej trestnosti.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Judikatúra Súdneho dvora EÚ (napr. C-404/15 - Aranyosi a Căldăraru) a ESĽP stanovuje, že pri existencii relevantných indícií musí vnútroštátny orgán vykonať konkrétny, individualizovaný a dvojfázový test, často vrátane doplňujúcich záruk od dožadujúceho štátu. V súčasnosti však vnútroštátna právna úprava neobsahuje metodicky jednotný mechanizmus na posudzovanie týchto rizík, čo vedie k rozdielnej rozhodovacej praxi medzi krajskými súdmi. Zavedenie jednotného postupu (vrátane povinnosti vyžiadať si dodatočné informácie alebo záruky) zabezpečí predvídateľnosť rozhodovania, súlad s európskou a medzinárodnou judikatúrou a zníži riziko procesných pochybení, ktoré môžu viesť k porušeniu základných práv vyžiadanej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vzhľadom na negatívne stanovisko Najvyššieho súdu Slovenskej republiky  k uvedeným návrhom, ktoré vzišli zo strany SAK z rozporového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doplnenie § 82, toto považujeme za nedôvodné. Ak súd dospeje, že existuje dôvod neprípustnosti vydania, tak samozrejme rozhodne, že vydanie nie je prípustné. Návrh SAK reflektuje súčasnú právnu úpravu, ktorá rozlišuje dôvody neprípustnosti vydania a dôvody nepovolenia vydania a len súdna prax zaviedla, že v rámci rozhodovania o (ne)prípustnosti majú súdy posudzovať aj dôvody nepovolenia vydania, ktoré sa výslovne týkajú iba MS. Tento koncept sa však mení.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nie je dôvodné ani doplnenie poslednej vety v § 218 ods. 3. Treba totiž rozlišovať fakultatívnosť dôvodu odmietnutia (tie sú aj v ods. 2) a ich posudzovanie prokurátorom v rámci predbežného vyšetrovania a následne súdom. Ich existenciu zisťuje súd aj bez návrhu a následne (vzhľadom na ich fakultatívnosť) musí vysvetliť, prečo ich uplatnil alebo neuplatnil.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rozšíriť/vytvoriť/spravovať a pravidelne aktualizovať verejne dostupný zoznam všetkých bilaterálnych a multilaterálnych medzinárodných zmlúv a dohovorov, na základe ktorých Slovenská republika vykonáva justičnú spoluprácu v trestných veciach s tretími štátmi, a tento zoznam publikovať spôsobom umožňujúcim verejný prístup. Súčasťou by mal byť aj stručný opis vecnej pôsobnosti jednotlivých dohôd, ich aktuálny status (platnosť/účinnosť) a prípadné obmedzenia.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orgány činné v trestnom konaní,  súdy a advokáti často čelia situáciám, v ktorých si dožiadaný štát uplatňuje špecifické požiadavky vyplývajúce z konkrétnej bilaterálnej zmluvy, o ktorej slovenské orgány nemusia mať okamžitú informáciu, alebo dochádza k nejasnostiam, či je určitá dohoda stále účinná. Zverejnený zoznam zvýši právnu istotu, transparentnosť a umožní rýchle preverenie právneho základu spolupráce. Ide o štandardnú prax viacerých členských štátov EÚ (napr. Rakúsko, Holandsko).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nakoľko uvedené je úlohou Ministerstva zahraničných vecí a európskych záležitostí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b)</w:t>
              <w:br/>
            </w:r>
            <w:r>
              <w:rPr>
                <w:b w:val="off"/>
                <w:color w:val="000000"/>
                <w:rFonts w:ascii="Times New Roman" w:hAnsi="Times New Roman" w:cs="Times New Roman" w:eastAsia="Times New Roman"/>
                <w:sz w:val="24"/>
              </w:rPr>
              <w:t>Navrhuje sa vypustiť časť slov v závere písm. b) „[...] a medzinárodný súd, [...]“, ktorá je duplicitná k úvodným slovám uvedeným v písm. c) „medzinárodným súdom súd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vhodné, aby pojem, ktorý je legálne definovaný v písm. c) vrátane jeho úvodu bol uvádzaný v závere legálnej definície predchádzajúceho pojmu v písm. b), súčasne ale spojka „a“ nie je vhodná na tomto mieste, pretože výpočet pokračuje, pričom spojka „a“ sa uvádza vo výpočtoch v zákonoch bežne až za predposledným prvkom.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2</w:t>
              <w:br/>
            </w:r>
            <w:r>
              <w:rPr>
                <w:b w:val="off"/>
                <w:color w:val="000000"/>
                <w:rFonts w:ascii="Times New Roman" w:hAnsi="Times New Roman" w:cs="Times New Roman" w:eastAsia="Times New Roman"/>
                <w:sz w:val="24"/>
              </w:rPr>
              <w:t>Navrhuje sa, aby predkladateľ k § 12 ods. 2 doplnil § 12 ods. 3, ktorý upraví procesný aspekt vyžiadania súhlasu podľa § 12 ods. 2 v rozsahu, akou formou a kto je oprávnený požiadať o takýto súhlas cudzí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navrhovanému hmotnoprávnemu zákazu použiť poskytnuté informácie cudzím orgánom na iný účel bez súhlasu sa vyžaduje špecifikácia procesného aspektu získania takéhoto súhlasu, nakoľko v praxi sa ukázala byť procesná problematika implementácie získania súhlasov resp. dodatočných súhlasov ako relevantná problematika, ktorá si žiada presnú úpravu príslušnosti a formy.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Dôvodová správa poskytne výkladové pravidlo pre prípad pochybností, avšak ustanovenie je dostatočné pokiaľ ide o postup v tomto prípade.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 ods. 6</w:t>
              <w:br/>
            </w:r>
            <w:r>
              <w:rPr>
                <w:b w:val="off"/>
                <w:color w:val="000000"/>
                <w:rFonts w:ascii="Times New Roman" w:hAnsi="Times New Roman" w:cs="Times New Roman" w:eastAsia="Times New Roman"/>
                <w:sz w:val="24"/>
              </w:rPr>
              <w:t>Navrhuje sa konkretizovať, že na konanie o dodatočný súhlas je príslušný súd, ktorý je príslušný na vydanie medzinárodného zatýkacieho rozkazu podľa tohto zákona za trestné činy, ktoré majú byť predmetom žiadosti o dodatočný súhlas štátu s trestným stíhaním, a že žiadosť o dodatočný súhlas zasiela tento súd štátu prostredníctvom ústredného orgánu, ak medzinárodná zmluva neustanovuje inak. Žiadosť o dodatočný súhlas má formu a povahu medzinárodného zatýkacieho rozkazu podľa tohto zákona, ak medzinárodná zmluva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sa vyskytli situácie, kedy bolo problematické stanoviť, ktorý z orgánov a ak súd, ktorý z nich je príslušný vybaviť požiadavku prokurátora o zabezpečenie dodatočného súhlasu pre trestné stíhanie osoby, ktorá bola do Slovenskej republiky odovzdaná na výkon trestu odňatia slobody, ktorého výkon bol Slovenskou republikou prevzatý, pričom sa na túto osobu vzťahovala zásada špeciality a súčasne bola táto osoba však podozrivá z inej trestnej činnosti, ktorú mala na území Slovenskej republiky spáchať predtým, ako bola štátom do Slovenskej republiky odovzdaná. Len odkaz na „primerané“ použitie ustanovení tohto zákona o vydanie MZR nie je dostatočne konkrétny a jasný vo vzťahu ku forme a príslušnosti na tento postup.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Dotknuté ustanovenie upravuje dostatočne usmernenie pre postup pre dodatočný súhlas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 ods. 8</w:t>
              <w:br/>
            </w:r>
            <w:r>
              <w:rPr>
                <w:b w:val="off"/>
                <w:color w:val="000000"/>
                <w:rFonts w:ascii="Times New Roman" w:hAnsi="Times New Roman" w:cs="Times New Roman" w:eastAsia="Times New Roman"/>
                <w:sz w:val="24"/>
              </w:rPr>
              <w:t>Na konci sa navrhuje doplniť slovo: „spravodlivosti“.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legálnej definícii v § 2 písm. f) sa ministerstvo spravodlivosti označilo ako „ministerstvo spravodlivosti“. Odporúča sa tento pojem jednotne používať. Keďže v niektorých prípadoch tento zákon používa aj pojem ministerstvo zahraničných vecí je vhodné konkretizovať, na ktorý z týchto aspoň 2 v tomto zákone používaných ministerstiev sa na tomto mieste odkazuje.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83</w:t>
              <w:br/>
            </w:r>
            <w:r>
              <w:rPr>
                <w:b w:val="off"/>
                <w:color w:val="000000"/>
                <w:rFonts w:ascii="Times New Roman" w:hAnsi="Times New Roman" w:cs="Times New Roman" w:eastAsia="Times New Roman"/>
                <w:sz w:val="24"/>
              </w:rPr>
              <w:t>Navrhuje sa aby sa v § 83 taktiež odkázalo na účinok rozhodnutia ministra spravodlivosti podľa § 84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Znenie § 84 ods. 2 má tak významne všeobecnú povahu, že by sa malo týkať všetkých rozhodnutí ministra spravodlivosti v tejto súvislosti. Je preto vhodné, aby bolo osobitne vztiahnuté toto znenie aj na rozhodnutia nielen v § 84 ale aj § 83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názvu tretej časti</w:t>
              <w:br/>
            </w:r>
            <w:r>
              <w:rPr>
                <w:b w:val="off"/>
                <w:color w:val="000000"/>
                <w:rFonts w:ascii="Times New Roman" w:hAnsi="Times New Roman" w:cs="Times New Roman" w:eastAsia="Times New Roman"/>
                <w:sz w:val="24"/>
              </w:rPr>
              <w:t>Navrhuje sa do nadpisu doplniť na konci slová: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aby v predpise trestnoprávneho charakteru boli veci jasné bez možnosti rôznej a nejasnej interpretácie. Preto je potrebné, aby bolo zrejmé, členský štát čoho sa má na mysli v tomto nadpise.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108</w:t>
              <w:br/>
            </w:r>
            <w:r>
              <w:rPr>
                <w:b w:val="off"/>
                <w:color w:val="000000"/>
                <w:rFonts w:ascii="Times New Roman" w:hAnsi="Times New Roman" w:cs="Times New Roman" w:eastAsia="Times New Roman"/>
                <w:sz w:val="24"/>
              </w:rPr>
              <w:t>Navrhuje sa vymeniť poradie §§ 107 a 108 tak, aby súčasný § 108 bol ako § 107 a naopak.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k tomu, že § 107 opakovane používa pojem členský štát, ktorý je legálne definovaný až v § 108 písm. c) je vhodné, aby legálna definícia pojmu v zákone predchádzala jeho použitiu v konkrétnych ustanoveniach. Zároveň systematicky nič nebráni tomu, aby definícia pojmov na účely tejto časti predchádzala negatívnej enumerácií medzinárodných zmlúv na vzťahy s inými členskými štátmi upravenými v tejto časti.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členského štátu bola presunutá do §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206 ods. 3</w:t>
              <w:br/>
            </w:r>
            <w:r>
              <w:rPr>
                <w:b w:val="off"/>
                <w:color w:val="000000"/>
                <w:rFonts w:ascii="Times New Roman" w:hAnsi="Times New Roman" w:cs="Times New Roman" w:eastAsia="Times New Roman"/>
                <w:sz w:val="24"/>
              </w:rPr>
              <w:t>Navrhuje sa pre systematickosť predpisu namiesto pojmu „Okresný súd v sídle krajského súdu“ použiť pojem „Okresný súd v sídle kraja“, ktorý sa používa aj v § 206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zrejmé, že vo výsledku okresným súdom v sídle krajského súdu je ten istý okresný súd akým je okresný súd v sídle kraja. Je zrejmé, že toto ustanovenie má zachovať príslušnosť prvého vo veci EZR voči tej istej osobe konajúceho okresného (a v II. stupňovom konaní krajského) súdu a (krajskej) prokuratúry. Preto je vhodné to takto i naformulovať, aby nevznikali v zákone zbytočné rôzne pojmy, ktoré ale majú mať ten istý obsah.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zmenené v rámci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225 ods. 3</w:t>
              <w:br/>
            </w:r>
            <w:r>
              <w:rPr>
                <w:b w:val="off"/>
                <w:color w:val="000000"/>
                <w:rFonts w:ascii="Times New Roman" w:hAnsi="Times New Roman" w:cs="Times New Roman" w:eastAsia="Times New Roman"/>
                <w:sz w:val="24"/>
              </w:rPr>
              <w:t>Navrhuje sa pred poslednú vetu doplniť veta v znení: „Súd rozhoduje na neverejnom zasadnutí.“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vhodné pre súd určiť formu pri akom úkone má rozhodnúť o postupe podľa ods. 3 nakoľko toto špecifikované nie je a absentuje aj všeobecná úprava podľa ktorej by súd rozhodoval na neverejnom zasadnutí ak zákon neustanovuje inak. Vzhľadom k tomu je potrebné toto špecifikovať.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228 ods. 2</w:t>
              <w:br/>
            </w:r>
            <w:r>
              <w:rPr>
                <w:b w:val="off"/>
                <w:color w:val="000000"/>
                <w:rFonts w:ascii="Times New Roman" w:hAnsi="Times New Roman" w:cs="Times New Roman" w:eastAsia="Times New Roman"/>
                <w:sz w:val="24"/>
              </w:rPr>
              <w:t>Znenie § 228 ods. 2 sa navrhuje upraviť takto: „Žiadosť o dodatočný súhlas musí obsahovať všetky informácie podľa § 198 ods. 7. Súd vydá európsky zatýkací rozkaz pre trestný čin, ktorý má byť predmetom trestného stíhania alebo výkonu trestu odňatia slobody. Žiadosť spolu s pripojeným európskym zatýkacím rozkazom zašle súd spravidla priamo vykonávajúcemu justičnému orgánu v jazyku podľa § 233.“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Takéto prevzaté znenie z doterajších právnych predpisov do značnej miery nie je v súlade s čl. 27 ods. 4 v spojení s čl. 8 ods. 1 v súvislosti s čl. 8 ods. 2 Rámcového rozhodnutia Rady z 13. júna 2002 o európskom zatykači a postupoch odovzdávania osôb medzi členskými štátmi (2002/584/SVV). Zo znenia (čl. 8 ods. 1 časti slov: „formou, obsiahnutou v prílohe“) ako aj systematiky daného Rámcového rozhodnutia jasne vyplýva, že formálnym podkladom na vyžiadanie dodatočného súhlasu v inom členskom štáte je práve forma stanovená pre Európsky zatýkací rozkaz podľa čl. 8 ods. 1 Rámcového rozhodnutia Rady. To isté vyplýva aj zo súčasného znenia zákona č. 154/2010 Z. z. o európskom zatýkacom rozkaze, kde § 32 ods. 2 odkazuje na § 5 ods. 5, ktorý začína slovami: „európsky zatýkací rozkaz musí obsahovať“.</w:t>
              <w:br/>
            </w:r>
            <w:r>
              <w:rPr>
                <w:b w:val="off"/>
                <w:color w:val="000000"/>
                <w:rFonts w:ascii="Times New Roman" w:hAnsi="Times New Roman" w:cs="Times New Roman" w:eastAsia="Times New Roman"/>
                <w:sz w:val="24"/>
              </w:rPr>
              <w:t>Vnútroštátne právne poriadky iných členských štátov môžu preto ako podklad na konanie o udelení dodatočného súhlasu vydanie Európskeho zatýkacieho rozkazu požadovať a predpokladať a nutnosť jeho dodatočného vydávania by znamenala pre účel konania o dodatočný súhlas zbytočné praktické komplikácie. Je preto vhodné, aby sa navrhovaný zákon vysporiadal s vecou tak, aby automaticky žiadosť o dodatočný súhlas už bola spojená s vydaním Európskeho zatýkacieho rozkazu tak, aby sa predchádzalo zbytočným prieťahom, nakoľko pre súd, ktorý vo veci bude konať nepredstavuje vydanie takéhoto EZR ako formalitu žiadne zásadné komplikácie, ak sa tak stane hneď spolu s podaním žiadosti o dodatočný súhlas resp. tie kroky, ktoré sú na to potrebné, sa vykonajú vopred (preventívne) čo je z pohľadu procesného postupu zmysluplnejšie, ako vykonávať ich dodatočne pod tlakom lehôt stanovených členským štátom, v ktorom sa o súhlas žiadalo.</w:t>
              <w:br/>
            </w:r>
            <w:r>
              <w:rPr>
                <w:b w:val="off"/>
                <w:color w:val="000000"/>
                <w:rFonts w:ascii="Times New Roman" w:hAnsi="Times New Roman" w:cs="Times New Roman" w:eastAsia="Times New Roman"/>
                <w:sz w:val="24"/>
              </w:rPr>
              <w:t>S podmienkou podľa čl. 8 ods. 1 je spojená aj podmienka podľa čl. 8 ods. 2, teda aj takto vydaný Európsky zatýkací rozkaz musí byť preložený do jazyku štátu, od ktorého sa dodatočný súhlas má žiadať. Uvedené vyplýva aj zo systematiky, akým je konanie o dodatočný súhlas poňaté v Rámcových rozhodnutiach Rady, kedy sa na toto konanie uplatňujú rovnaké procesné a hmotnoprávne podmienky na rozhodnutie o dodatočnom súhlase ako na rozhodnutie o vykonaní Európskeho zatýkacieho rozkazu.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opatrenia je v súlade s cieľom rámcového rozhodnutia a poskytuje pružnosť pre právne systémy s mene formalistickým prístupom k dodatočnému súhlasu.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235 ods. 1</w:t>
              <w:br/>
            </w:r>
            <w:r>
              <w:rPr>
                <w:b w:val="off"/>
                <w:color w:val="000000"/>
                <w:rFonts w:ascii="Times New Roman" w:hAnsi="Times New Roman" w:cs="Times New Roman" w:eastAsia="Times New Roman"/>
                <w:sz w:val="24"/>
              </w:rPr>
              <w:t>Navrhuje sa odstrániť zbytočná medzera pred 5. čiarkou v časti vety pred bodkočiarkou tohto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tomto mieste je medzera umiestnená chybne.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249 ods. 1</w:t>
              <w:br/>
            </w:r>
            <w:r>
              <w:rPr>
                <w:b w:val="off"/>
                <w:color w:val="000000"/>
                <w:rFonts w:ascii="Times New Roman" w:hAnsi="Times New Roman" w:cs="Times New Roman" w:eastAsia="Times New Roman"/>
                <w:sz w:val="24"/>
              </w:rPr>
              <w:t>Navrhuje sa namiesto pojmu „ukončenie konania“ použiť pojem „zastavenie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Slovenských právnych podmienkach je na situáciu, kedy súd ukončí konanie bez meritórneho rozhodnutia vo veci, resp. ako procesný odklon od štandardného konca konania z procesných dôvodov ustálený pojem: zastavenie konania. V danom prípade nie je ničím ani pojmovo technicky odôvodnené odklonenie sa od tohto pojmu, nakoľko obsahovo ide o to isté – procesné rozhodnutie, ktorým sa konanie končí bez toho, že sa vo veci konalo riadne z toho dôvodu, že nie sú splnené procesné podmienky pre pokračovanie v konaní je typický prípad na zastavenie konania. Pojmové odlíšenie tohto od zaužívaného pojmu bez dôvodu by mohlo viesť v praxi k nedorozumeniam. Slovný základ koniec konania sa v Slovenskom práve skôr používa na zdôraznenie, kedy určitým rozhodnutím konanie nekončí, pretože vo fáze po rozhodnutí pokračuje do implementácie rozhodnutia a až osvedčením implementácie konanie následne skončí (napr. § 250 Správneho súdneho poriadku). To ale nie je tento prípad.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261</w:t>
              <w:br/>
            </w:r>
            <w:r>
              <w:rPr>
                <w:b w:val="off"/>
                <w:color w:val="000000"/>
                <w:rFonts w:ascii="Times New Roman" w:hAnsi="Times New Roman" w:cs="Times New Roman" w:eastAsia="Times New Roman"/>
                <w:sz w:val="24"/>
              </w:rPr>
              <w:t>Navrhuje sa zmeniť príslušnosť na súd, ktorý rozhodoval o väzbe ako prvostupňový.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rozhodovaní o väzbe je prípustná sťažnosť, v takom prípade o sťažnosti rozhoduje nadriadený súd, vzhľadom k tomu, že sťažnosť môže podať aj prokurátor voči nevzatiu do väzby ale i všeobecne do definície súdu, ktorý rozhoduje o väzbe podľa § 261 môže spadnúť aj sťažnostný súd, čo nie je vhodné, nakoľko tento vedie potom len zberný spis a spis vo veci vracia prvostupňovému (okresnému) súdu. Príslušnosť krajského súdu na odovzdanie probačného dohľadu pri nahradení väzby probačným dohľadom v prípadoch, v ktorých krajský súd rozhoduje ako sťažnostný súd je preto nepraktická. Je vhodné, aby na toto bol príslušný súd, ktorý koná vo veci, ktorý je aj príslušný na rozhodovanie o žiadosti obvineného o prepustenie z väzby. Takto upravená príslušnosť v § 261 by v takomto trestnom konaní viedla ku komplikáciám, kedy by bolo potrebné hore-dole posielať spis medzi prvostupňovým súdom konajúcim vo veci samej a sťažnostným súdom konajúcim vo veci justičnej spolupráce len preto, že tento rozhodol o väzbe ako sťažnostný súd.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 návrh neakceptujeme z dôvodu zachovania logiky určenia príslušnosti súdov v celom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263 ods. 1</w:t>
              <w:br/>
            </w:r>
            <w:r>
              <w:rPr>
                <w:b w:val="off"/>
                <w:color w:val="000000"/>
                <w:rFonts w:ascii="Times New Roman" w:hAnsi="Times New Roman" w:cs="Times New Roman" w:eastAsia="Times New Roman"/>
                <w:sz w:val="24"/>
              </w:rPr>
              <w:t>V nadväznosti na dôvody v pripomienke k § 261 sa navrhuje, aby právomoc bol daná súdu, ktorý rozhodol o opatreniach dohľadu ako prvostupňový.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Ako je uvedené v pripomienke k § 261 nie je praktické, aby mal dohliadať na dodržiavanie opatrení sťažnostný súd, ktorý po svojom rozhodnutí o sťažnosti spis vráti prvostupňovému súdu.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 návrh neakceptujeme z dôvodu zachovania logiky určenia príslušnosti súdov v celom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309 písm. f)</w:t>
              <w:br/>
            </w:r>
            <w:r>
              <w:rPr>
                <w:b w:val="off"/>
                <w:color w:val="000000"/>
                <w:rFonts w:ascii="Times New Roman" w:hAnsi="Times New Roman" w:cs="Times New Roman" w:eastAsia="Times New Roman"/>
                <w:sz w:val="24"/>
              </w:rPr>
              <w:t xml:space="preserve">Navrhuje sa zmena znenia: „odsúdeným aj páchateľ činu inak trestného, ktorému bolo v trestnom konaní uložené ochranné liečenie alebo detencia alebo obdobné opatrenie podľa právneho poriadku štátu pôvodu osvedčenia.“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Právne poriadky niektorých členských štátov totižto môžu ustanovovať možnosť uloženia ochranného opatrenia bez potreby zastavenia konania, kedy samotné ochranné opatrenie môže byť uložené rozsudkom alebo iným rozhodnutím, ktorým sa konanie končí. Bolo by preto nevhodné túto legálnu definíciu takto obmedziť, čo by v praxi mohlo spôsobiť aplikačné problémy.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311</w:t>
              <w:br/>
            </w:r>
            <w:r>
              <w:rPr>
                <w:b w:val="off"/>
                <w:color w:val="000000"/>
                <w:rFonts w:ascii="Times New Roman" w:hAnsi="Times New Roman" w:cs="Times New Roman" w:eastAsia="Times New Roman"/>
                <w:sz w:val="24"/>
              </w:rPr>
              <w:t>Navrhuje sa doterajšie znenie uviesť ako ods. 1 a doplnenie ods. 2 so znením: „Súd o zaslaní návrhu podľa ods. 1 upovedomí bezodkladne odsúdeného, ktorý mu návrh podal.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odsúdený sám takýto podnet podá, je vhodné aby bol o tom, že jeho podnet súd v zmysle § 311 vybavil podaním návrhu príslušnému justičnému orgánu štátu pôvodu, informovaný, aby odsúdený vedel, že vo veci súd koná a postupuje v súlade s týmto zákonom. Opačné by mohlo v odsúdenom vzbudiť dojem, že súd čakajúci na reakciu justičného orgánu štátu pôvodu sa vecou nezaoberá, čo by u neho mohlo viesť k potrebe súdu podávať ďalšie podania v tejto veci, čo by súd zaťažilo.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Informovanie odsúdeného prebehne v odpovedi na návrh odsúdeného zo strany súdu.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311</w:t>
              <w:br/>
            </w:r>
            <w:r>
              <w:rPr>
                <w:b w:val="off"/>
                <w:color w:val="000000"/>
                <w:rFonts w:ascii="Times New Roman" w:hAnsi="Times New Roman" w:cs="Times New Roman" w:eastAsia="Times New Roman"/>
                <w:sz w:val="24"/>
              </w:rPr>
              <w:t>Navrhuje sa doterajšie znenie uviesť ako ods. 1 a v nadväznosti na inú pripomienku verejnosti k tomuto ustanoveniu doplnenie ďalšieho odseku (ods. 3) so znením: „V prípade ak súd začne konanie podľa tretieho dielu tejto časti, súd upovedomí o začatí konania aj odsúdeného. V prípade ak justičný orgán štátu pôvodu v stanovenej lehote na návrh podľa ods. 1 neodpovie alebo ak oznámi súdu, že výkon rozhodnutia do Slovenskej republiky odovzdať nemieni, súd o tejto skutočnosti a o prípadných dôvodoch, ktoré justičný orgán štátu pôvodu súdu oznámi upovedomí odsúdeného.“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Odsúdený, ktorý sám svojim návrhom inicioval pred súdom zaslanie návrhu súdu justičnému orgánu štátu pôvodu by mal mať garantované právo sa dozvedieť o výsledku tohto návrhu a dôvodoch nezačatia konania o uznaní a výkone ak nejaké existujú, aby mal odsúdený vedomosť o tom, prečo súd vo veci ďalej nemôže konať.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Absentujúca transpozičná povinnosť, ktorá by mohla viesť ku goldpatingu.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314</w:t>
              <w:br/>
            </w:r>
            <w:r>
              <w:rPr>
                <w:b w:val="off"/>
                <w:color w:val="000000"/>
                <w:rFonts w:ascii="Times New Roman" w:hAnsi="Times New Roman" w:cs="Times New Roman" w:eastAsia="Times New Roman"/>
                <w:sz w:val="24"/>
              </w:rPr>
              <w:t>Navrhuje sa doplnenie ods. 5 s nasledovným znením:</w:t>
              <w:br/>
            </w:r>
            <w:r>
              <w:rPr>
                <w:b w:val="off"/>
                <w:color w:val="000000"/>
                <w:rFonts w:ascii="Times New Roman" w:hAnsi="Times New Roman" w:cs="Times New Roman" w:eastAsia="Times New Roman"/>
                <w:sz w:val="24"/>
              </w:rPr>
              <w:t>„Ak justičný orgán vykonávajúceho štátu oznámi, že niektorí z trestných činov, pre ktorý bol odsúdenému uložený úhrnný alebo súhrnný trest podľa právneho poriadku vykonávajúceho štátu nie je trestným činom, určí súd na verejnom zasadnutí primeraný trest za trestné činy, na ktoré sa odovzdanie výkonu vzťahuje uznesením, voči ktorému je prípustná sťažnosť.“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Vo vykonávajúcom štáte sa môže stať, že jeden z viacerých trestných skutkov, za ktoré boli v Slovenskej republike odsúdenému uložený úhrnný alebo súhrnný trest v štáte pôvodu nie je trestným činom, a preto je možné rozhodnutie uznať iba čiastočne. V takom prípade je potrebné, aby mal súd zákonnú možnosť úhrnný alebo súhrnný trest rozdeliť, aby justičný orgán vykonávajúceho štátu mohol na podklade takéhoto rozhodnutia uznať rozhodnutie čiastočne. V tomto smere sa navrhuje inšpirovať sa úpravou k tejto problematike v Rakúskej republike (§ 42b ods. 7a (resp. § 42b ods. 8) EU-JZG. V danom sa pripomienka inšpiruje úpravou § 65 ods. 3 návrhu. Takouto úpravou by sa prijala možnosť súdu rozdeliť resp. určiť príslušné časti pripadajúce na jednotlivé trestné činy tak, aby justičný orgán vykonávajúceho štátu mohol uložiť trest za tie časti trestných činov, ktoré sú predmetom úhrnného alebo súhrnného trestu, ktoré sú podľa jeho právneho poriadku trestným činom. Daným spôsobom sa zabezpečí možnosť odovzdania výkonu aj úhrnných a súhrnných trestov do členských štátov, v ktorých niektorí z trestných činov, za ktoré bol úhrnný alebo súhrnný trest uložený trestným činom nie sú, čomu v súčasnosti práve bráni legálne nemožnosť rozbitia úhrnného alebo súhrnného trestu na čiastky, aby bolo možné čiastočné uznanie a výkon cudzieho rozhodnutia.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Navrhovaný postup nie je nevyhnutné upravovať osobitne, vzhľadom na to, že platná právna úprava nespôsobuje problémy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319 ods. 3</w:t>
              <w:br/>
            </w:r>
            <w:r>
              <w:rPr>
                <w:b w:val="off"/>
                <w:color w:val="000000"/>
                <w:rFonts w:ascii="Times New Roman" w:hAnsi="Times New Roman" w:cs="Times New Roman" w:eastAsia="Times New Roman"/>
                <w:sz w:val="24"/>
              </w:rPr>
              <w:t>Navrhuje sa druhá veta ods. 3 premiestniť ako samostatný ods. 4 a na jej miesto doplniť ods. 3 takto: „Ak je tomu istému súdu doručených súčasne viacero osvedčení o vydaní rozhodnutia a viacero rozhodnutí a súd zistí svoju nepríslušnosť, súd postúpi súčasne všetky tieto osvedčenia o vydaní rozhodnutia a rozhodnutia príslušnému súdu tým istým uznesením.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sa opakovane začali vyskytovať prípady, kedy justičný orgán štátu pôvodu v jednom podaní doručí súdu alebo je takéto hromadné podanie súdu postúpené z ministerstva spravodlivosti, ktorého súčasťou je viacero osvedčení k viacero rozsudkom, ktoré úzko súvisia spravidla až tak, že na uznanie a výkon niektorého z nich (teda na rozhodnutie o jednom z osvedčení) sa vyžaduje sprocesnenie (zaradeie do spisu ako listinný dôkaz na uznávacie konanie) aj aspoň jedno alebo aj všetky ostatné osvedčenia resp. najmä rozsudky, ktoré sú takto súčasne doručené. Typicky ide o situáciu, kedy je tej istej osoby, vo vzťahu ku ktorej má byť uznané a vykonané cudzie rozhodnutie uložených v štáte pôvodu jedným alebo viacerými justičnými orgánmi viacero trestov za rôzne trestné činy medzi ktorými existuje súbeh, ktorý je nutné zohľadniť vzhľadom na najnovšiu judikatúru Najvyššieho súdu a Ústavného súdu. Alternatívne alebo dokonca v kombinácii k tomu sa stáva, že niektoré neskoršie rozsudky a nimi uložené tresty súvisia s predchádzajúcimi rozsudkami a trestami a pri ich uznaní je nutné vychádzať z ich spojenia. Táto situácia nastáva napr. ak ide v skoršom rozsudku o čiastočne nepodmienečný trest a čiastočne podmienečný trest, ktorý je pri neskoršom rozsudku o inom neskoršom trestnom čine s uložením trestu za tento súčasne odvolaný a je nariadený výkon zvyšku podmienečne odloženého trestu v neskoršom rozsudku. V takom prípade je nutné v uznávacom konaní v oboch prípadoch mať v spise oba rozsudky a prípadne aj obe osvedčenia. V praxi sa ale stávajú prípady, kedy sa takéto hromadné podanie doručí nepríslušnému súdu, ktorý ale hneď ako prvé rozdelí napr. 3 osvedčenia do 3 spisov, pričom nie je vylúčené, že niektorí z týchto vylúčených spisov je náhodným výberom pridelený úplne inému súdnemu oddeleniu na rozhodnutie – inému senátu/inému sudcovi. Pri následnom postúpení dochádza k prieťahom v konaní z dôvodu, že jedno alebo viacero osvedčení resp. rozsudkov už je právoplatne postúpených a doručených príslušnému súdu, ale jeden alebo viacero zo súvisiacich rozsudkov resp. osvedčení tento súd ešte nemá, pretože v tom spise k postúpeniu právoplatne ešte nedošlo, čo dočasne bráni v riadnom procesnom postupe v uznávacom konaní. V prípade pretrvania tejto prekážky by to mohlo viesť k porušeniu 90-dňovej lehoty. Súčasne by sa týmto praktickým problémom dalo ale predísť, ak by sa v takýchto špecifických prípadoch osvedčenia a rozsudky z prvého spisu nevylučovali do času, kým nie je zrejmé, že nijako nesúvisia a/alebo, že sa nachádzajú všetky spoločne na príslušnom súde. Pokiaľ totižto sú tieto všetky na príslušnom súde, nie je náročné pripojiť spis a vyhotoviť kópiu rozsudku z pripojeného spisu do dotknutého spisu a následne pripojený spis znovu odpojiť a proces zopakovať prípadne v opačnom spise. Takpovediac ale predčasné rozbitie spisu v tomto prípade spôsobuje v kombinácií s postúpením spisov na iné súdy značné ťažkosti a môže viesť aj k zbytočným výdavkom pre štátny rozpočet, ak sa napr. dokonca vyhotovuje preklad rozsudky zo štátu pôvodu vo viac ako jednom spise, lebo je takýto preklad nutný aj v inom spise, pričom ale nebolo možné v tom čase pripojiť spis, v ktorom sa preklad už nachádzal a súčasne vzhľadom na povinnosť konať bezodkladne nebolo možné na takúto príležitosť vyčkávať. Preto sa navrhuje právna úprava, ktorá by predpokladala, že súd postúpi takéto „balíčky“ osvedčení a rozsudkov len ako „balíček“ (t. j. jeden spis) tak, aby príslušný súd mohol bez zbytočných prieťahov a efektívne postupovať ďalej. Alternatívne sa predkladateľovi navrhuje takýto postup ustanoviť vo vyhláške o spravovacom a kancelárskom poriadku pre okresné súdy, krajské súdy a špecializovaný trestný súd.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Aplikačný problém nebol v tomto zmysle zaznamenaný a potrebná pružnosť pre súdy pri zohľadnení nevyhnutnosti ich diskrécie pre postup neposkytujú predpoklady pre nevyhnutnosť osobitnej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322 ods. 5</w:t>
              <w:br/>
            </w:r>
            <w:r>
              <w:rPr>
                <w:b w:val="off"/>
                <w:color w:val="000000"/>
                <w:rFonts w:ascii="Times New Roman" w:hAnsi="Times New Roman" w:cs="Times New Roman" w:eastAsia="Times New Roman"/>
                <w:sz w:val="24"/>
              </w:rPr>
              <w:t>Navrhuje sa doplnenie vety v znení: „Odsúdený môže podať odvolanie aj proti rozsudku, ktorým boli uznanie a výkon rozhodnutia odmietnuté.“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Judikatúra Najvyššieho súdu Slovenskej republiky jasne pripustila odvolanie aj odsúdeného, ktorému bol trest uložený v prípade, ak súd rozhodne o odmietnutí uznania a výkonu cudzieho rozhodnutia. Je zrejmé, že môže byť oprávneným záujmom odsúdeného dosiahnuť výkon svojho trestu, ktorý mu bol uložený v inom členskom štáte v Slovenskej republike, a to z rôznych dôvodov. Bolo by preto vhodné, aby takéto právo odsúdeného bolo v zákone jasne reflektované ako nespochybniteľné.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nevylučuje účel pripomienky a nebola v tomto zmysle zaznamenaná potreba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325 ods. 1</w:t>
              <w:br/>
            </w:r>
            <w:r>
              <w:rPr>
                <w:b w:val="off"/>
                <w:color w:val="000000"/>
                <w:rFonts w:ascii="Times New Roman" w:hAnsi="Times New Roman" w:cs="Times New Roman" w:eastAsia="Times New Roman"/>
                <w:sz w:val="24"/>
              </w:rPr>
              <w:t>Z 2. vety sa navrhuje vypustiť slová: „[...] príslušný na konanie o uznaní a výkone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Prvou vetou sa opúšťa doterajšia prax, kedy súd, ktorý rozhodol o uznaní a výkone je aj súd, ktorý rozhoduje o všetkých ďalších otázkach výkonu, po novom teda má byť na tieto príslušný už súd podľa TP. To znamená, že o podmienečnom prepustení alebo zmeny spôsobu výkonu trest odňatia slobody bude rozhodovať súd príslušný podľa TP, bez ohľadu na to, ktorý súd uznal cudzie rozhodnutie. Druhou vetou sa ale pokyn zohľadniť zahraničnú úpravu podmienečného prepustenia, ak je pre páchateľa výhodnejšia adresuje súdu, ktorý o tejto otázke vzhľadom na prvú vetu rozhodovať nebude – teda súdu, ktorý rozhodol o uznaní, ktorý nemusí vo veľa prípadoch byť so súdom, ktorý bude o podmienečnom prepustení rozhodovať totožný. Vzhľadom k tomu sa navrhuje vypustiť časti slov, ktoré ten súd obmedzujú na súd, ktorý rozhodol o uznaní a výkone. Ak však predkladateľ chcel, aby súd, ktorý uznáva cudzie rozhodnutie vo svojom uznávacom rozsudku rozvinul podmienky podmienečného prepustenia v štáte pôvodu, je potrebné takýto legislatívny zámer pretaviť jasnejšie, pretože to momentálne z návrhu nevyplýva.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Súd, ktorý je uvedený v odseku 1 pre  zohľadnenie lehôt z právneho poriadku štátu pôvodu je jediný vo fáze uznania, ktorý by mal tento aspekt uviesť do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326 ods. 2</w:t>
              <w:br/>
            </w:r>
            <w:r>
              <w:rPr>
                <w:b w:val="off"/>
                <w:color w:val="000000"/>
                <w:rFonts w:ascii="Times New Roman" w:hAnsi="Times New Roman" w:cs="Times New Roman" w:eastAsia="Times New Roman"/>
                <w:sz w:val="24"/>
              </w:rPr>
              <w:t>Navrhuje sa na koniec prvej vety doplniť slovo: „uznesením“.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vhodné vždy jasne špecifikovať formu, akou súd niečo rozhodne alebo vykoná, najmä ak je to špecifikované v príľahlom ustanovení, ktoré upravuje podobnú vec. V takom prípade je chodné zachovať systematiku a upraviť to rovnako aj v ods. 2 – teda konkretizovať, že súd tak urobí uznesením.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Forma rozhodnutia je upravená vo všeobecných ustanoveniach v prvej časti, pričom odklony sú možné, ale musia byť opodstatnené.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 K vlastnému materiálu:</w:t>
              <w:br/>
            </w:r>
            <w:r>
              <w:rPr>
                <w:b w:val="off"/>
                <w:color w:val="000000"/>
                <w:rFonts w:ascii="Times New Roman" w:hAnsi="Times New Roman" w:cs="Times New Roman" w:eastAsia="Times New Roman"/>
                <w:sz w:val="24"/>
              </w:rPr>
              <w:t>1.	V poznámke pod čiarou k odkazu 56) bodku na konci vety nahradiť čiarkou a vložiť text „§ 12 zákona č. 541/2004 Z. z. o mierovom využívaní jadrovej energie (atómový zákon) a o zmene a doplnení niektorých zákonov v znení neskorších predpisov.“.</w:t>
              <w:br/>
            </w:r>
            <w:r>
              <w:rPr>
                <w:b w:val="off"/>
                <w:color w:val="000000"/>
                <w:rFonts w:ascii="Times New Roman" w:hAnsi="Times New Roman" w:cs="Times New Roman" w:eastAsia="Times New Roman"/>
                <w:sz w:val="24"/>
              </w:rPr>
              <w:t>Odôvodnenie: podľa § 12 ods. 1 atómového zákona „Pre jadrové materiály, pri ktorých nie je známy vlastník alebo ich vlastníkovi zaniklo povolenie podľa § 9 ods. 4 alebo jadrové materiály boli nadobudnuté v rozpore s týmto zákonom, úrad rozhodnutím určí iného držiteľa povolenia podľa § 5 ods. 3 písm. g) alebo n) na vykonanie nevyhnutných opatrení.“.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ASMOS</w:t>
            </w:r>
            <w:r>
              <w:rPr>
                <w:b w:val="off"/>
                <w:color w:val="000000"/>
                <w:rFonts w:ascii="Times New Roman" w:hAnsi="Times New Roman" w:cs="Times New Roman" w:eastAsia="Times New Roman"/>
                <w:sz w:val="24"/>
              </w:rPr>
              <w:t xml:space="preserve"> – Asociácia mobilných operátorov Slovenska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71 (52o, 19z)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4 (3o,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10 (7o,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192 (192o,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22 (22o,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325 (293o, 32z)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