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118" w:rsidRPr="000032C8" w:rsidRDefault="00927118" w:rsidP="00927118">
      <w:pPr>
        <w:adjustRightInd w:val="0"/>
        <w:spacing w:after="0" w:line="240" w:lineRule="auto"/>
        <w:jc w:val="center"/>
        <w:rPr>
          <w:rFonts w:ascii="Times New Roman" w:eastAsia="Times New Roman" w:hAnsi="Times New Roman" w:cs="Calibri"/>
          <w:b/>
          <w:caps/>
          <w:sz w:val="28"/>
          <w:szCs w:val="28"/>
        </w:rPr>
      </w:pPr>
      <w:bookmarkStart w:id="0" w:name="_GoBack"/>
      <w:bookmarkEnd w:id="0"/>
      <w:r w:rsidRPr="000032C8">
        <w:rPr>
          <w:rFonts w:ascii="Times New Roman" w:eastAsia="Times New Roman" w:hAnsi="Times New Roman" w:cs="Calibri"/>
          <w:b/>
          <w:caps/>
          <w:sz w:val="28"/>
          <w:szCs w:val="28"/>
        </w:rPr>
        <w:t>Vyhodnotenie medzirezortného pripomienkového konania</w:t>
      </w:r>
    </w:p>
    <w:p w:rsidR="00927118" w:rsidRPr="00024402" w:rsidRDefault="00927118" w:rsidP="00927118">
      <w:pPr>
        <w:jc w:val="center"/>
      </w:pPr>
    </w:p>
    <w:p w:rsidR="007B04E0" w:rsidRDefault="007B04E0">
      <w:pPr>
        <w:jc w:val="center"/>
        <w:divId w:val="2137793673"/>
        <w:rPr>
          <w:rFonts w:ascii="Times" w:hAnsi="Times" w:cs="Times"/>
          <w:sz w:val="25"/>
          <w:szCs w:val="25"/>
        </w:rPr>
      </w:pPr>
      <w:r>
        <w:rPr>
          <w:rFonts w:ascii="Times" w:hAnsi="Times" w:cs="Times"/>
          <w:sz w:val="25"/>
          <w:szCs w:val="25"/>
        </w:rPr>
        <w:t>Zákon, ktorým sa mení zákon č. 325/2022 Z. z., ktorým sa mení a dopĺňa zákon č. 305/2013 Z. z. o elektronickej podobe výkonu pôsobnosti orgánov verejnej moci a o zmene a doplnení niektorých zákonov (zákon o e-</w:t>
      </w:r>
      <w:proofErr w:type="spellStart"/>
      <w:r>
        <w:rPr>
          <w:rFonts w:ascii="Times" w:hAnsi="Times" w:cs="Times"/>
          <w:sz w:val="25"/>
          <w:szCs w:val="25"/>
        </w:rPr>
        <w:t>Governmente</w:t>
      </w:r>
      <w:proofErr w:type="spellEnd"/>
      <w:r>
        <w:rPr>
          <w:rFonts w:ascii="Times" w:hAnsi="Times" w:cs="Times"/>
          <w:sz w:val="25"/>
          <w:szCs w:val="25"/>
        </w:rPr>
        <w:t>) v znení neskorších predpisov a ktorým sa menia a dopĺňajú niektoré zákony v znení zákona č. 301/2023 Z. z.</w:t>
      </w:r>
    </w:p>
    <w:p w:rsidR="00927118" w:rsidRPr="00024402" w:rsidRDefault="00927118" w:rsidP="00CE47A6"/>
    <w:tbl>
      <w:tblPr>
        <w:tblW w:w="1559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97"/>
        <w:gridCol w:w="7801"/>
      </w:tblGrid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Spôsob pripomienkového konania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 w:rsidRPr="00024402">
              <w:rPr>
                <w:rFonts w:ascii="Times New Roman" w:hAnsi="Times New Roman" w:cs="Calibri"/>
                <w:sz w:val="20"/>
                <w:szCs w:val="20"/>
              </w:rPr>
              <w:t> </w:t>
            </w:r>
          </w:p>
        </w:tc>
      </w:tr>
      <w:tr w:rsidR="00A251BF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A251BF" w:rsidRPr="000032C8" w:rsidRDefault="00A251BF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vznesených pripomienok, z toho zásadných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A251BF" w:rsidRPr="00024402" w:rsidRDefault="007B04E0" w:rsidP="007B04E0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7 /0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vyhodnotených pripomienok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7B04E0" w:rsidP="007B04E0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7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akceptovaných pripomienok, z toho zásadných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7B04E0" w:rsidP="007B04E0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6 /0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čiastočne akceptovaných pripomienok, z toho zásadných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7B04E0" w:rsidP="007B04E0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0 /0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sz w:val="25"/>
                <w:szCs w:val="25"/>
              </w:rPr>
              <w:t>Počet neakceptovaných pripomienok, z toho zásadných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7B04E0" w:rsidP="007B04E0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ascii="Times" w:hAnsi="Times" w:cs="Times"/>
                <w:sz w:val="25"/>
                <w:szCs w:val="25"/>
              </w:rPr>
              <w:t>1 /0</w:t>
            </w: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bCs/>
                <w:sz w:val="25"/>
                <w:szCs w:val="25"/>
              </w:rPr>
            </w:pP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5"/>
                <w:szCs w:val="25"/>
              </w:rPr>
            </w:pPr>
            <w:proofErr w:type="spellStart"/>
            <w:r w:rsidRPr="000032C8">
              <w:rPr>
                <w:rFonts w:ascii="Times New Roman" w:hAnsi="Times New Roman" w:cs="Calibri"/>
                <w:bCs/>
                <w:sz w:val="25"/>
                <w:szCs w:val="25"/>
              </w:rPr>
              <w:t>Rozporové</w:t>
            </w:r>
            <w:proofErr w:type="spellEnd"/>
            <w:r w:rsidRPr="000032C8">
              <w:rPr>
                <w:rFonts w:ascii="Times New Roman" w:hAnsi="Times New Roman" w:cs="Calibri"/>
                <w:bCs/>
                <w:sz w:val="25"/>
                <w:szCs w:val="25"/>
              </w:rPr>
              <w:t xml:space="preserve"> konanie (s kým, kedy, s akým výsledkom)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bCs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bCs/>
                <w:sz w:val="25"/>
                <w:szCs w:val="25"/>
              </w:rPr>
              <w:t>Počet odstránených pripomienok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  <w:tr w:rsidR="00927118" w:rsidRPr="00024402" w:rsidTr="00B76589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032C8" w:rsidRDefault="00927118" w:rsidP="00E165A9">
            <w:pPr>
              <w:spacing w:after="0" w:line="240" w:lineRule="auto"/>
              <w:rPr>
                <w:rFonts w:ascii="Times New Roman" w:hAnsi="Times New Roman" w:cs="Calibri"/>
                <w:bCs/>
                <w:sz w:val="25"/>
                <w:szCs w:val="25"/>
              </w:rPr>
            </w:pPr>
            <w:r w:rsidRPr="000032C8">
              <w:rPr>
                <w:rFonts w:ascii="Times New Roman" w:hAnsi="Times New Roman" w:cs="Calibri"/>
                <w:bCs/>
                <w:sz w:val="25"/>
                <w:szCs w:val="25"/>
              </w:rPr>
              <w:t>Počet neodstránených pripomienok</w:t>
            </w:r>
          </w:p>
        </w:tc>
        <w:tc>
          <w:tcPr>
            <w:tcW w:w="7801" w:type="dxa"/>
            <w:tcBorders>
              <w:top w:val="nil"/>
              <w:left w:val="nil"/>
              <w:bottom w:val="nil"/>
              <w:right w:val="nil"/>
            </w:tcBorders>
          </w:tcPr>
          <w:p w:rsidR="00927118" w:rsidRPr="00024402" w:rsidRDefault="00927118" w:rsidP="00E165A9">
            <w:pPr>
              <w:spacing w:after="0" w:line="240" w:lineRule="auto"/>
              <w:rPr>
                <w:rFonts w:ascii="Times New Roman" w:hAnsi="Times New Roman" w:cs="Calibri"/>
                <w:sz w:val="20"/>
                <w:szCs w:val="20"/>
              </w:rPr>
            </w:pPr>
          </w:p>
        </w:tc>
      </w:tr>
    </w:tbl>
    <w:p w:rsidR="00927118" w:rsidRPr="00024402" w:rsidRDefault="00927118" w:rsidP="00927118">
      <w:pPr>
        <w:spacing w:after="0" w:line="240" w:lineRule="auto"/>
        <w:rPr>
          <w:rFonts w:ascii="Times New Roman" w:hAnsi="Times New Roman" w:cs="Calibri"/>
          <w:b/>
          <w:sz w:val="20"/>
          <w:szCs w:val="20"/>
        </w:rPr>
      </w:pPr>
    </w:p>
    <w:p w:rsidR="00927118" w:rsidRPr="000032C8" w:rsidRDefault="00927118" w:rsidP="00927118">
      <w:pPr>
        <w:spacing w:after="0" w:line="240" w:lineRule="auto"/>
        <w:rPr>
          <w:sz w:val="25"/>
          <w:szCs w:val="25"/>
        </w:rPr>
      </w:pPr>
      <w:r w:rsidRPr="000032C8">
        <w:rPr>
          <w:rFonts w:ascii="Times New Roman" w:hAnsi="Times New Roman" w:cs="Calibri"/>
          <w:sz w:val="25"/>
          <w:szCs w:val="25"/>
        </w:rPr>
        <w:t>Sumarizácia vznesených pripomienok podľa subjektov</w:t>
      </w:r>
    </w:p>
    <w:p w:rsidR="007B04E0" w:rsidRDefault="007B04E0" w:rsidP="00841FA6"/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7712"/>
        <w:gridCol w:w="1404"/>
        <w:gridCol w:w="1404"/>
        <w:gridCol w:w="1391"/>
        <w:gridCol w:w="1034"/>
      </w:tblGrid>
      <w:tr w:rsidR="007B04E0">
        <w:trPr>
          <w:divId w:val="442041853"/>
          <w:jc w:val="center"/>
        </w:trPr>
        <w:tc>
          <w:tcPr>
            <w:tcW w:w="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Č.</w:t>
            </w:r>
          </w:p>
        </w:tc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Subjekt</w:t>
            </w:r>
          </w:p>
        </w:tc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Pripomienky do termínu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Pripomienky po termíne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Nemali pripomienky</w:t>
            </w:r>
          </w:p>
        </w:tc>
        <w:tc>
          <w:tcPr>
            <w:tcW w:w="4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Vôbec nezaslali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dopravy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 (4o,0z)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sz w:val="20"/>
                <w:szCs w:val="20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financií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 (1o,0z)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sz w:val="20"/>
                <w:szCs w:val="20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hospodárstva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 (1o,0z)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sz w:val="20"/>
                <w:szCs w:val="20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vlády Slovenskej republiky - podpredseda vlády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 (1o,0z)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sz w:val="20"/>
                <w:szCs w:val="20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Štatistický úrad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obrany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práce, sociálnych vecí a rodiny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Odbor aproximácie práva sekcie vládnej legislatívy Úradu vlády SR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Ministerstvo </w:t>
            </w:r>
            <w:proofErr w:type="spellStart"/>
            <w:r>
              <w:rPr>
                <w:rFonts w:ascii="Times" w:hAnsi="Times" w:cs="Times"/>
                <w:sz w:val="25"/>
                <w:szCs w:val="25"/>
              </w:rPr>
              <w:t>školstva,výskumu,vývoja</w:t>
            </w:r>
            <w:proofErr w:type="spellEnd"/>
            <w:r>
              <w:rPr>
                <w:rFonts w:ascii="Times" w:hAnsi="Times" w:cs="Times"/>
                <w:sz w:val="25"/>
                <w:szCs w:val="25"/>
              </w:rPr>
              <w:t xml:space="preserve"> a mládeže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Národný bezpečnostný úrad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kultúry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vnútra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spravodlivosti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pre verejné obstarávanie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Generálna prokuratúra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pôdohospodárstva a rozvoja vidieka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životného prostredia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cestovného ruchu a športu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19.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Protimonopolný úrad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pre normalizáciu, metrológiu a skúšobníctvo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lastRenderedPageBreak/>
              <w:t>21.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jadrového dozoru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geodézie, kartografie a katastra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Národná banka Slovenska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zdravotníctva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priemyselného vlastníctva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zahraničných vecí a európskych záležitostí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vlády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Správa štátnych hmotných rezerv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29.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Najvyšší kontrolný úrad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Najvyšší súd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Kancelária Ústavného súdu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Slovenská poľnohospodárska a potravinárska komora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Združenie miest a obcí Slovenska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Splnomocnenec vlády Slovenskej republiky pre rómske komunity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Konfederácia odborových zväzov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Asociácia </w:t>
            </w:r>
            <w:proofErr w:type="spellStart"/>
            <w:r>
              <w:rPr>
                <w:rFonts w:ascii="Times" w:hAnsi="Times" w:cs="Times"/>
                <w:sz w:val="25"/>
                <w:szCs w:val="25"/>
              </w:rPr>
              <w:t>zamestnávatelských</w:t>
            </w:r>
            <w:proofErr w:type="spellEnd"/>
            <w:r>
              <w:rPr>
                <w:rFonts w:ascii="Times" w:hAnsi="Times" w:cs="Times"/>
                <w:sz w:val="25"/>
                <w:szCs w:val="25"/>
              </w:rPr>
              <w:t xml:space="preserve"> zväzov a združení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lastRenderedPageBreak/>
              <w:t>37.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Republiková únia zamestnávateľov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pre dohľad nad zdravotnou starostlivosťou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39.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Konferencia biskupov Slovenska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Ministerstvo investícií, regionálneho rozvoja a informatizácie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Asociácia priemyselných zväzov a dopravy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Klub 500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Žilinský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Košický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45.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Banskobystrický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46.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BRATISLAVSKÝ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47.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Trnavský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48.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Prešovský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49.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Nitriansky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50.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Trenčiansky samosprávny kraj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51.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Hlavné mesto Slovenskej republiky Bratislava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Únia miest Slovenska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lastRenderedPageBreak/>
              <w:t>53.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pre územné plánovanie a výstavbu Slovenskej republiky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54.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Úrad pre reguláciu sieťových odvetví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x</w:t>
            </w:r>
          </w:p>
        </w:tc>
      </w:tr>
      <w:tr w:rsidR="007B04E0">
        <w:trPr>
          <w:divId w:val="442041853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Spolu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7 (7o,0z)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0 (0o,0z)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B04E0" w:rsidRDefault="007B04E0">
            <w:pPr>
              <w:jc w:val="center"/>
              <w:rPr>
                <w:sz w:val="20"/>
                <w:szCs w:val="20"/>
              </w:rPr>
            </w:pPr>
          </w:p>
        </w:tc>
      </w:tr>
    </w:tbl>
    <w:p w:rsidR="00BF7CE0" w:rsidRPr="00BF7CE0" w:rsidRDefault="00BF7CE0" w:rsidP="00841FA6">
      <w:pPr>
        <w:rPr>
          <w:b/>
          <w:bCs/>
          <w:color w:val="000000"/>
          <w:sz w:val="20"/>
          <w:szCs w:val="20"/>
        </w:rPr>
      </w:pPr>
      <w:r w:rsidRPr="009F7218">
        <w:rPr>
          <w:rFonts w:ascii="Times New Roman" w:eastAsia="Times New Roman" w:hAnsi="Times New Roman" w:cs="Times New Roman"/>
          <w:bCs/>
          <w:color w:val="000000"/>
          <w:sz w:val="25"/>
          <w:szCs w:val="25"/>
          <w:lang w:eastAsia="sk-SK"/>
        </w:rPr>
        <w:t>Vyhodnotenie vecných pripomienok je uvedené v tabuľkovej časti.</w:t>
      </w:r>
    </w:p>
    <w:p w:rsidR="00BF7CE0" w:rsidRPr="00BF7CE0" w:rsidRDefault="00BF7CE0" w:rsidP="00BF7CE0">
      <w:pPr>
        <w:pStyle w:val="Zkladntext"/>
        <w:widowControl/>
        <w:jc w:val="both"/>
        <w:rPr>
          <w:b w:val="0"/>
          <w:bCs w:val="0"/>
          <w:color w:val="000000"/>
          <w:sz w:val="20"/>
          <w:szCs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809"/>
        <w:gridCol w:w="3119"/>
      </w:tblGrid>
      <w:tr w:rsidR="00BF7CE0" w:rsidRPr="00BF7CE0" w:rsidTr="00943EB2">
        <w:trPr>
          <w:cantSplit/>
        </w:trPr>
        <w:tc>
          <w:tcPr>
            <w:tcW w:w="49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Vysvetlivky  k použitým skratkám v tabuľke:</w:t>
            </w:r>
          </w:p>
        </w:tc>
      </w:tr>
      <w:tr w:rsidR="00BF7CE0" w:rsidRPr="00BF7CE0" w:rsidTr="00943EB2">
        <w:trPr>
          <w:cantSplit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O – obyčajná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A – akceptovaná</w:t>
            </w:r>
          </w:p>
        </w:tc>
      </w:tr>
      <w:tr w:rsidR="00BF7CE0" w:rsidRPr="00BF7CE0" w:rsidTr="00943EB2">
        <w:trPr>
          <w:cantSplit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Z – zásadná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N – neakceptovaná</w:t>
            </w:r>
          </w:p>
        </w:tc>
      </w:tr>
      <w:tr w:rsidR="00BF7CE0" w:rsidRPr="00856FFA" w:rsidTr="00943EB2">
        <w:trPr>
          <w:cantSplit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F7CE0" w:rsidRPr="009F7218" w:rsidRDefault="00BF7CE0" w:rsidP="00342C19">
            <w:pPr>
              <w:pStyle w:val="Zkladntext"/>
              <w:widowControl/>
              <w:jc w:val="both"/>
              <w:rPr>
                <w:b w:val="0"/>
                <w:color w:val="000000"/>
                <w:sz w:val="25"/>
                <w:szCs w:val="25"/>
              </w:rPr>
            </w:pPr>
            <w:r w:rsidRPr="009F7218">
              <w:rPr>
                <w:b w:val="0"/>
                <w:color w:val="000000"/>
                <w:sz w:val="25"/>
                <w:szCs w:val="25"/>
              </w:rPr>
              <w:t>ČA – čiastočne akceptovaná</w:t>
            </w:r>
          </w:p>
        </w:tc>
      </w:tr>
    </w:tbl>
    <w:p w:rsidR="00E85710" w:rsidRDefault="00E85710">
      <w:r>
        <w:br w:type="page"/>
      </w:r>
    </w:p>
    <w:p w:rsidR="007B04E0" w:rsidRDefault="007B04E0" w:rsidP="00CE47A6">
      <w:pPr>
        <w:rPr>
          <w:rFonts w:ascii="Consolas" w:hAnsi="Consolas" w:cs="Consolas"/>
          <w:sz w:val="20"/>
          <w:szCs w:val="20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6"/>
        <w:gridCol w:w="6637"/>
        <w:gridCol w:w="664"/>
        <w:gridCol w:w="664"/>
        <w:gridCol w:w="3982"/>
      </w:tblGrid>
      <w:tr w:rsidR="007B04E0">
        <w:trPr>
          <w:divId w:val="1274437904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Subjekt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Pripomienka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Typ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proofErr w:type="spellStart"/>
            <w:r>
              <w:rPr>
                <w:rFonts w:ascii="Times" w:hAnsi="Times" w:cs="Times"/>
                <w:b/>
                <w:bCs/>
                <w:sz w:val="25"/>
                <w:szCs w:val="25"/>
              </w:rPr>
              <w:t>Vyh</w:t>
            </w:r>
            <w:proofErr w:type="spellEnd"/>
            <w:r>
              <w:rPr>
                <w:rFonts w:ascii="Times" w:hAnsi="Times" w:cs="Times"/>
                <w:b/>
                <w:bCs/>
                <w:sz w:val="25"/>
                <w:szCs w:val="25"/>
              </w:rPr>
              <w:t>.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Spôsob vyhodnotenia</w:t>
            </w:r>
          </w:p>
        </w:tc>
      </w:tr>
      <w:tr w:rsidR="007B04E0">
        <w:trPr>
          <w:divId w:val="1274437904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MDSR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Celému materiálu</w:t>
            </w:r>
            <w:r>
              <w:rPr>
                <w:rFonts w:ascii="Times" w:hAnsi="Times" w:cs="Times"/>
                <w:sz w:val="25"/>
                <w:szCs w:val="25"/>
              </w:rPr>
              <w:br/>
              <w:t>1. V celom materiáli odporúčame použiť tento názov návrhu zákona: „návrh zákona, ktorým sa mení zákon č. 325/2022 Z. z., ktorým sa mení a dopĺňa zákon č. 305/2013 Z. z. o elektronickej podobe výkonu pôsobnosti orgánov verejnej moci a o zmene a doplnení niektorých zákonov (zákon o e-</w:t>
            </w:r>
            <w:proofErr w:type="spellStart"/>
            <w:r>
              <w:rPr>
                <w:rFonts w:ascii="Times" w:hAnsi="Times" w:cs="Times"/>
                <w:sz w:val="25"/>
                <w:szCs w:val="25"/>
              </w:rPr>
              <w:t>Governmente</w:t>
            </w:r>
            <w:proofErr w:type="spellEnd"/>
            <w:r>
              <w:rPr>
                <w:rFonts w:ascii="Times" w:hAnsi="Times" w:cs="Times"/>
                <w:sz w:val="25"/>
                <w:szCs w:val="25"/>
              </w:rPr>
              <w:t>) v znení neskorších predpisov a ktorým sa menia a dopĺňajú niektoré zákony v znení zákona č. 301/2023 Z. z.“, t. j. v niektorých dokumentoch vypustiť z názvu návrhu zákona duplicitné slová „ktorým sa mení zákon č. 325/2022 Z. z.“ a vložiť chýbajúcu čiarku za slová „325/2022 Z. z.“.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1274437904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MDSR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návrhu uznesenia vlády SR</w:t>
            </w:r>
            <w:r>
              <w:rPr>
                <w:rFonts w:ascii="Times" w:hAnsi="Times" w:cs="Times"/>
                <w:sz w:val="25"/>
                <w:szCs w:val="25"/>
              </w:rPr>
              <w:br/>
              <w:t>2. V návrhu uznesenia vlády SR odporúčame v bode A označiť príslušný text slovom „A.1.“, v bode B vložiť bodku za slová „B.1“ a „B.2“ a v celom návrhu uznesenia vlády SR pri označeniach ministra a predsedu vlády vypustiť slová „Slovenskej republiky“ a pri označeniach Národnej rady Slovenskej republiky slová „Slovenskej republiky“ nahradiť slovom „SR“.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1274437904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MDSR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predkladacej správe</w:t>
            </w:r>
            <w:r>
              <w:rPr>
                <w:rFonts w:ascii="Times" w:hAnsi="Times" w:cs="Times"/>
                <w:sz w:val="25"/>
                <w:szCs w:val="25"/>
              </w:rPr>
              <w:br/>
              <w:t>3. V predkladacej správe odporúčame nezavádzať skratku „zákon č. 325/2022 Z. z.“, keďže sa následne v dokumente nachádza len raz.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1274437904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lastRenderedPageBreak/>
              <w:t>MDSR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doložke vybraných vplyvov</w:t>
            </w:r>
            <w:r>
              <w:rPr>
                <w:rFonts w:ascii="Times" w:hAnsi="Times" w:cs="Times"/>
                <w:sz w:val="25"/>
                <w:szCs w:val="25"/>
              </w:rPr>
              <w:br/>
              <w:t>4. V doložke vplyvov bode 2 odporúčame slovo „konverzii“ nahradiť slovom „konverzie“.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1274437904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MFSR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Celému materiálu</w:t>
            </w:r>
            <w:r>
              <w:rPr>
                <w:rFonts w:ascii="Times" w:hAnsi="Times" w:cs="Times"/>
                <w:sz w:val="25"/>
                <w:szCs w:val="25"/>
              </w:rPr>
              <w:br/>
              <w:t>V čl. I úvodnej vete odporúčame za slová „(zákon o e-</w:t>
            </w:r>
            <w:proofErr w:type="spellStart"/>
            <w:r>
              <w:rPr>
                <w:rFonts w:ascii="Times" w:hAnsi="Times" w:cs="Times"/>
                <w:sz w:val="25"/>
                <w:szCs w:val="25"/>
              </w:rPr>
              <w:t>Governmente</w:t>
            </w:r>
            <w:proofErr w:type="spellEnd"/>
            <w:r>
              <w:rPr>
                <w:rFonts w:ascii="Times" w:hAnsi="Times" w:cs="Times"/>
                <w:sz w:val="25"/>
                <w:szCs w:val="25"/>
              </w:rPr>
              <w:t>)“ vložiť slová „v znení neskorších predpisov a ktorým sa menia a dopĺňajú niektoré zákony“.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1274437904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MHSR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Doložka vybraných vplyvov</w:t>
            </w:r>
            <w:r>
              <w:rPr>
                <w:rFonts w:ascii="Times" w:hAnsi="Times" w:cs="Times"/>
                <w:sz w:val="25"/>
                <w:szCs w:val="25"/>
              </w:rPr>
              <w:br/>
              <w:t>Odporúčame predkladateľovi uviesť informáciu v Doložke vybraných vplyvov v časti 10. "Poznámky", že posunutím termínu účinnosti o 2 roky sa podnikateľom (prevažne notárom a advokátom) oddiali využívanie nového komplexného technického riešenia týkajúceho sa zaručenej konverzie. Aktuálne využívaný systém však naďalej funguje a podnikatelia ho môžu používať. Odôvodnenie: Materiál nemá priamy vplyv na podnikateľské prostredie, avšak posunutie účinnosti sa ich nepriamo týka, preto sú uvedení v časti 4. "Dotknuté subjekty" v Doložke vybraných vplyvov. Z tohto dôvodu odporúčame vysvetliť tieto okolnosti v Doložke vybraných vplyvov v časti 10. "Poznámky".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7B04E0">
        <w:trPr>
          <w:divId w:val="1274437904"/>
          <w:jc w:val="center"/>
        </w:trPr>
        <w:tc>
          <w:tcPr>
            <w:tcW w:w="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UVSR - PVSR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Celému materiálu</w:t>
            </w:r>
            <w:r>
              <w:rPr>
                <w:rFonts w:ascii="Times" w:hAnsi="Times" w:cs="Times"/>
                <w:sz w:val="25"/>
                <w:szCs w:val="25"/>
              </w:rPr>
              <w:br/>
              <w:t xml:space="preserve">Pripomienka k posunu účinnosti: „V Čl. XI sa slová „čl. I bodov 73 až 82 a čl. I § 61b v bode 106, ktoré nadobúdajú účinnosť 1. októbra 2024“ nahrádzajú slovami „čl. I § 61b v bode 106, ktorý nadobúda účinnosť 1. októbra 2024 a čl. I bodov 73 až 82, ktoré nadobúdajú účinnosť 1. októbra 2026.“ Pri stanovení termínu nadobudnutia účinnosti navrhujeme zvážiť realizáciu opatrenia - </w:t>
            </w:r>
            <w:r>
              <w:rPr>
                <w:rFonts w:ascii="Times" w:hAnsi="Times" w:cs="Times"/>
                <w:sz w:val="25"/>
                <w:szCs w:val="25"/>
              </w:rPr>
              <w:lastRenderedPageBreak/>
              <w:t>Lepšie služby pre občanov a podnikateľov, Investícia 1, Komponent 17 Plánu obnovy a odolnosti SR. Oddialenie účinnosti môže mať vplyv na schopnosť vykonávateľa zrealizovať uvedené opatrenie v stanovenom termíne. Zdôvodnenie predloženej pripomienky: Predloženým návrhom Zákona, ktorým sa mení zákon č. 325/2022 Z. z., ktorým sa mení zákon č. 325/2022 Z. z. ktorým sa mení a dopĺňa zákon č. 305/2013 Z. z. o elektronickej podobe výkonu pôsobnosti orgánov verejnej moci a o zmene a doplnení niektorých zákonov (zákon o e-</w:t>
            </w:r>
            <w:proofErr w:type="spellStart"/>
            <w:r>
              <w:rPr>
                <w:rFonts w:ascii="Times" w:hAnsi="Times" w:cs="Times"/>
                <w:sz w:val="25"/>
                <w:szCs w:val="25"/>
              </w:rPr>
              <w:t>Governmente</w:t>
            </w:r>
            <w:proofErr w:type="spellEnd"/>
            <w:r>
              <w:rPr>
                <w:rFonts w:ascii="Times" w:hAnsi="Times" w:cs="Times"/>
                <w:sz w:val="25"/>
                <w:szCs w:val="25"/>
              </w:rPr>
              <w:t xml:space="preserve">) v znení neskorších predpisov a ktorým sa menia a dopĺňajú niektoré zákony v znení zákona č. 301/2023 Z. z., sa navrhuje posun účinnosti ustanovení o zmenách v zaručenej konverzii z pôvodnej účinnosti 1. októbra 2024 na 1. október 2026. Posunom účinnosti na 1. októbra 2026 vzniká obava z možného ohrozenia splnenie míľnika 174 - Počet vytvorených a zavedených riešení </w:t>
            </w:r>
            <w:proofErr w:type="spellStart"/>
            <w:r>
              <w:rPr>
                <w:rFonts w:ascii="Times" w:hAnsi="Times" w:cs="Times"/>
                <w:sz w:val="25"/>
                <w:szCs w:val="25"/>
              </w:rPr>
              <w:t>eGovernment</w:t>
            </w:r>
            <w:proofErr w:type="spellEnd"/>
            <w:r>
              <w:rPr>
                <w:rFonts w:ascii="Times" w:hAnsi="Times" w:cs="Times"/>
                <w:sz w:val="25"/>
                <w:szCs w:val="25"/>
              </w:rPr>
              <w:t xml:space="preserve"> (Q1 2025) a míľnika 175 - Počet vytvorených a zavedených riešení </w:t>
            </w:r>
            <w:proofErr w:type="spellStart"/>
            <w:r>
              <w:rPr>
                <w:rFonts w:ascii="Times" w:hAnsi="Times" w:cs="Times"/>
                <w:sz w:val="25"/>
                <w:szCs w:val="25"/>
              </w:rPr>
              <w:t>eGovernment</w:t>
            </w:r>
            <w:proofErr w:type="spellEnd"/>
            <w:r>
              <w:rPr>
                <w:rFonts w:ascii="Times" w:hAnsi="Times" w:cs="Times"/>
                <w:sz w:val="25"/>
                <w:szCs w:val="25"/>
              </w:rPr>
              <w:t xml:space="preserve"> (Q2 2026), Investície 1 v Komponente 17 (štát v mobile, kybernetická bezpečnosť, rýchly internet pre každého, digitálna ekonomika) Plánu obnovy a odolnosti SR v stanovených termínoch, a to v prípade, ak je zaručená konverzia zahrnutá v procesoch a krokoch implementácie prioritných životných situáciách (napr. životná situácia č. 2 - Kúpa a vlastnenie nehnuteľnosti na bývanie - krok P20/P21_Návrh na vklad do katastra nehnuteľností, zahŕňa využitie zaručenej konverzie.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lastRenderedPageBreak/>
              <w:t>O</w:t>
            </w:r>
          </w:p>
        </w:tc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jc w:val="center"/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N</w:t>
            </w:r>
          </w:p>
        </w:tc>
        <w:tc>
          <w:tcPr>
            <w:tcW w:w="1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B04E0" w:rsidRDefault="007B04E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Obavu z možného ohrozenia splnenia míľnika 174 - Počet vytvorených a zavedených riešení </w:t>
            </w:r>
            <w:proofErr w:type="spellStart"/>
            <w:r>
              <w:rPr>
                <w:rFonts w:ascii="Times" w:hAnsi="Times" w:cs="Times"/>
                <w:sz w:val="25"/>
                <w:szCs w:val="25"/>
              </w:rPr>
              <w:t>eGovernment</w:t>
            </w:r>
            <w:proofErr w:type="spellEnd"/>
            <w:r>
              <w:rPr>
                <w:rFonts w:ascii="Times" w:hAnsi="Times" w:cs="Times"/>
                <w:sz w:val="25"/>
                <w:szCs w:val="25"/>
              </w:rPr>
              <w:t xml:space="preserve"> (Q1 2025) a míľnika 175 - Počet vytvorených a zavedených riešení </w:t>
            </w:r>
            <w:proofErr w:type="spellStart"/>
            <w:r>
              <w:rPr>
                <w:rFonts w:ascii="Times" w:hAnsi="Times" w:cs="Times"/>
                <w:sz w:val="25"/>
                <w:szCs w:val="25"/>
              </w:rPr>
              <w:t>eGovernment</w:t>
            </w:r>
            <w:proofErr w:type="spellEnd"/>
            <w:r>
              <w:rPr>
                <w:rFonts w:ascii="Times" w:hAnsi="Times" w:cs="Times"/>
                <w:sz w:val="25"/>
                <w:szCs w:val="25"/>
              </w:rPr>
              <w:t xml:space="preserve"> (Q2 2026), Investície 1 v Komponente 17 (štát v mobile, </w:t>
            </w:r>
            <w:r>
              <w:rPr>
                <w:rFonts w:ascii="Times" w:hAnsi="Times" w:cs="Times"/>
                <w:sz w:val="25"/>
                <w:szCs w:val="25"/>
              </w:rPr>
              <w:lastRenderedPageBreak/>
              <w:t xml:space="preserve">kybernetická bezpečnosť, rýchly internet pre každého, digitálna ekonomika) Plánu obnovy a odolnosti SR v stanovených termínoch, ktorá vzniká posunom účinnosti ustanovení zákona o </w:t>
            </w:r>
            <w:proofErr w:type="spellStart"/>
            <w:r>
              <w:rPr>
                <w:rFonts w:ascii="Times" w:hAnsi="Times" w:cs="Times"/>
                <w:sz w:val="25"/>
                <w:szCs w:val="25"/>
              </w:rPr>
              <w:t>eGov</w:t>
            </w:r>
            <w:proofErr w:type="spellEnd"/>
            <w:r>
              <w:rPr>
                <w:rFonts w:ascii="Times" w:hAnsi="Times" w:cs="Times"/>
                <w:sz w:val="25"/>
                <w:szCs w:val="25"/>
              </w:rPr>
              <w:t xml:space="preserve"> pre oblasť zaručenej konverzie na 1. októbra 2026, považujeme za neopodstatnenú, nakoľko pre implementáciu prioritných životných situácií postačuje v súčasnosti účinná legislatívna úprava procesov a krokov v oblasti zaručenej konverzie, ktoré sú implementované v existujúcom informačnom systéme evidencie záznamov o zaručenej konverzii (EZZK). Trváme teda na termíne posunutia účinnosti navrhovaných ustanovení zákona o </w:t>
            </w:r>
            <w:proofErr w:type="spellStart"/>
            <w:r>
              <w:rPr>
                <w:rFonts w:ascii="Times" w:hAnsi="Times" w:cs="Times"/>
                <w:sz w:val="25"/>
                <w:szCs w:val="25"/>
              </w:rPr>
              <w:t>eGov</w:t>
            </w:r>
            <w:proofErr w:type="spellEnd"/>
            <w:r>
              <w:rPr>
                <w:rFonts w:ascii="Times" w:hAnsi="Times" w:cs="Times"/>
                <w:sz w:val="25"/>
                <w:szCs w:val="25"/>
              </w:rPr>
              <w:t xml:space="preserve"> pre oblasť zaručenej konverzie od 1.10.2026.</w:t>
            </w:r>
          </w:p>
        </w:tc>
      </w:tr>
    </w:tbl>
    <w:p w:rsidR="00154A91" w:rsidRPr="00154A91" w:rsidRDefault="00154A91" w:rsidP="00CE47A6"/>
    <w:p w:rsidR="00154A91" w:rsidRPr="00024402" w:rsidRDefault="00154A91" w:rsidP="00CE47A6"/>
    <w:sectPr w:rsidR="00154A91" w:rsidRPr="00024402" w:rsidSect="004075B2">
      <w:footerReference w:type="default" r:id="rId7"/>
      <w:pgSz w:w="15840" w:h="12240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67E" w:rsidRDefault="00B8767E" w:rsidP="000A67D5">
      <w:pPr>
        <w:spacing w:after="0" w:line="240" w:lineRule="auto"/>
      </w:pPr>
      <w:r>
        <w:separator/>
      </w:r>
    </w:p>
  </w:endnote>
  <w:endnote w:type="continuationSeparator" w:id="0">
    <w:p w:rsidR="00B8767E" w:rsidRDefault="00B8767E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331336471"/>
      <w:docPartObj>
        <w:docPartGallery w:val="Page Numbers (Bottom of Page)"/>
        <w:docPartUnique/>
      </w:docPartObj>
    </w:sdtPr>
    <w:sdtEndPr/>
    <w:sdtContent>
      <w:p w:rsidR="00F06BE4" w:rsidRPr="00F06BE4" w:rsidRDefault="00F06BE4">
        <w:pPr>
          <w:pStyle w:val="Pta"/>
          <w:jc w:val="center"/>
          <w:rPr>
            <w:rFonts w:ascii="Times New Roman" w:hAnsi="Times New Roman" w:cs="Times New Roman"/>
          </w:rPr>
        </w:pPr>
        <w:r w:rsidRPr="00F06BE4">
          <w:rPr>
            <w:rFonts w:ascii="Times New Roman" w:hAnsi="Times New Roman" w:cs="Times New Roman"/>
          </w:rPr>
          <w:fldChar w:fldCharType="begin"/>
        </w:r>
        <w:r w:rsidRPr="00F06BE4">
          <w:rPr>
            <w:rFonts w:ascii="Times New Roman" w:hAnsi="Times New Roman" w:cs="Times New Roman"/>
          </w:rPr>
          <w:instrText>PAGE   \* MERGEFORMAT</w:instrText>
        </w:r>
        <w:r w:rsidRPr="00F06BE4">
          <w:rPr>
            <w:rFonts w:ascii="Times New Roman" w:hAnsi="Times New Roman" w:cs="Times New Roman"/>
          </w:rPr>
          <w:fldChar w:fldCharType="separate"/>
        </w:r>
        <w:r w:rsidR="002F7FD2">
          <w:rPr>
            <w:rFonts w:ascii="Times New Roman" w:hAnsi="Times New Roman" w:cs="Times New Roman"/>
            <w:noProof/>
          </w:rPr>
          <w:t>2</w:t>
        </w:r>
        <w:r w:rsidRPr="00F06BE4">
          <w:rPr>
            <w:rFonts w:ascii="Times New Roman" w:hAnsi="Times New Roman" w:cs="Times New Roman"/>
          </w:rPr>
          <w:fldChar w:fldCharType="end"/>
        </w:r>
      </w:p>
    </w:sdtContent>
  </w:sdt>
  <w:p w:rsidR="00F06BE4" w:rsidRDefault="00F06BE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67E" w:rsidRDefault="00B8767E" w:rsidP="000A67D5">
      <w:pPr>
        <w:spacing w:after="0" w:line="240" w:lineRule="auto"/>
      </w:pPr>
      <w:r>
        <w:separator/>
      </w:r>
    </w:p>
  </w:footnote>
  <w:footnote w:type="continuationSeparator" w:id="0">
    <w:p w:rsidR="00B8767E" w:rsidRDefault="00B8767E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44"/>
    <w:rsid w:val="000032C8"/>
    <w:rsid w:val="00024402"/>
    <w:rsid w:val="000324A3"/>
    <w:rsid w:val="0006543E"/>
    <w:rsid w:val="000A67D5"/>
    <w:rsid w:val="000E25CA"/>
    <w:rsid w:val="000F7A42"/>
    <w:rsid w:val="00146547"/>
    <w:rsid w:val="00146B48"/>
    <w:rsid w:val="00150388"/>
    <w:rsid w:val="00154A91"/>
    <w:rsid w:val="002109B0"/>
    <w:rsid w:val="0021228E"/>
    <w:rsid w:val="00230F3C"/>
    <w:rsid w:val="002654AA"/>
    <w:rsid w:val="002827B4"/>
    <w:rsid w:val="002A5577"/>
    <w:rsid w:val="002D7471"/>
    <w:rsid w:val="002F7FD2"/>
    <w:rsid w:val="00310A55"/>
    <w:rsid w:val="00322014"/>
    <w:rsid w:val="0039526D"/>
    <w:rsid w:val="003B435B"/>
    <w:rsid w:val="003D101C"/>
    <w:rsid w:val="003D5E45"/>
    <w:rsid w:val="003E4226"/>
    <w:rsid w:val="004075B2"/>
    <w:rsid w:val="00436C44"/>
    <w:rsid w:val="00474A9D"/>
    <w:rsid w:val="00532574"/>
    <w:rsid w:val="0059081C"/>
    <w:rsid w:val="005E7C53"/>
    <w:rsid w:val="00642FB8"/>
    <w:rsid w:val="006A3681"/>
    <w:rsid w:val="007156F5"/>
    <w:rsid w:val="007A1010"/>
    <w:rsid w:val="007B04E0"/>
    <w:rsid w:val="007B7F1A"/>
    <w:rsid w:val="007D7AE6"/>
    <w:rsid w:val="007E4294"/>
    <w:rsid w:val="00841FA6"/>
    <w:rsid w:val="008A1964"/>
    <w:rsid w:val="008E2844"/>
    <w:rsid w:val="0090100E"/>
    <w:rsid w:val="009239D9"/>
    <w:rsid w:val="00927118"/>
    <w:rsid w:val="00943EB2"/>
    <w:rsid w:val="0099665B"/>
    <w:rsid w:val="009C6C5C"/>
    <w:rsid w:val="009F7218"/>
    <w:rsid w:val="00A251BF"/>
    <w:rsid w:val="00A54A16"/>
    <w:rsid w:val="00B721A5"/>
    <w:rsid w:val="00B76589"/>
    <w:rsid w:val="00B8767E"/>
    <w:rsid w:val="00BD1FAB"/>
    <w:rsid w:val="00BE7302"/>
    <w:rsid w:val="00BF7CE0"/>
    <w:rsid w:val="00CA44D2"/>
    <w:rsid w:val="00CE47A6"/>
    <w:rsid w:val="00CF3D59"/>
    <w:rsid w:val="00D261C9"/>
    <w:rsid w:val="00D85172"/>
    <w:rsid w:val="00D969AC"/>
    <w:rsid w:val="00DF7085"/>
    <w:rsid w:val="00E85710"/>
    <w:rsid w:val="00EB772A"/>
    <w:rsid w:val="00EF1425"/>
    <w:rsid w:val="00F06BE4"/>
    <w:rsid w:val="00F26A4A"/>
    <w:rsid w:val="00F727F0"/>
    <w:rsid w:val="00F8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32574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character" w:styleId="Odkaznakomentr">
    <w:name w:val="annotation reference"/>
    <w:basedOn w:val="Predvolenpsmoodseku"/>
    <w:uiPriority w:val="99"/>
    <w:semiHidden/>
    <w:unhideWhenUsed/>
    <w:rsid w:val="0092711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7118"/>
    <w:pPr>
      <w:widowControl w:val="0"/>
      <w:adjustRightInd w:val="0"/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7118"/>
    <w:rPr>
      <w:rFonts w:ascii="Calibri" w:eastAsia="Times New Roman" w:hAnsi="Calibri" w:cs="Times New Roman"/>
      <w:sz w:val="20"/>
      <w:szCs w:val="20"/>
    </w:rPr>
  </w:style>
  <w:style w:type="paragraph" w:styleId="Zkladntext">
    <w:name w:val="Body Text"/>
    <w:basedOn w:val="Normlny"/>
    <w:link w:val="ZkladntextChar"/>
    <w:uiPriority w:val="99"/>
    <w:semiHidden/>
    <w:rsid w:val="00BF7CE0"/>
    <w:pPr>
      <w:widowControl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BF7CE0"/>
    <w:rPr>
      <w:rFonts w:ascii="Times New Roman" w:eastAsia="Times New Roman" w:hAnsi="Times New Roman" w:cs="Times New Roman"/>
      <w:b/>
      <w:bCs/>
      <w:sz w:val="28"/>
      <w:szCs w:val="2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0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08_vyhodnotenie-MPK"/>
    <f:field ref="objsubject" par="" edit="true" text=""/>
    <f:field ref="objcreatedby" par="" text="Graňáková, Marcela, Mgr."/>
    <f:field ref="objcreatedat" par="" text="5.6.2024 10:11:06"/>
    <f:field ref="objchangedby" par="" text="Administrator, System"/>
    <f:field ref="objmodifiedat" par="" text="5.6.2024 10:11:0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1504</Words>
  <Characters>8576</Characters>
  <Application>Microsoft Office Word</Application>
  <DocSecurity>0</DocSecurity>
  <Lines>71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2024-04-30T08:28:00Z</dcterms:created>
  <dcterms:modified xsi:type="dcterms:W3CDTF">2024-05-09T07:31:00Z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cisloparlamenttlac" pid="4" fmtid="{D5CDD505-2E9C-101B-9397-08002B2CF9AE}">
    <vt:lpwstr/>
  </property>
  <property name="FSC#SKEDITIONSLOVLEX@103.510:stavpredpis" pid="5" fmtid="{D5CDD505-2E9C-101B-9397-08002B2CF9AE}">
    <vt:lpwstr>Po rokovaní Úradu vlády SR</vt:lpwstr>
  </property>
  <property name="FSC#SKEDITIONSLOVLEX@103.510:povodpredpis" pid="6" fmtid="{D5CDD505-2E9C-101B-9397-08002B2CF9AE}">
    <vt:lpwstr>Slovlex (eLeg)</vt:lpwstr>
  </property>
  <property name="FSC#SKEDITIONSLOVLEX@103.510:legoblast" pid="7" fmtid="{D5CDD505-2E9C-101B-9397-08002B2CF9AE}">
    <vt:lpwstr>Správne právo</vt:lpwstr>
  </property>
  <property name="FSC#SKEDITIONSLOVLEX@103.510:uzemplat" pid="8" fmtid="{D5CDD505-2E9C-101B-9397-08002B2CF9AE}">
    <vt:lpwstr/>
  </property>
  <property name="FSC#SKEDITIONSLOVLEX@103.510:vztahypredpis" pid="9" fmtid="{D5CDD505-2E9C-101B-9397-08002B2CF9AE}">
    <vt:lpwstr/>
  </property>
  <property name="FSC#SKEDITIONSLOVLEX@103.510:predkladatel" pid="10" fmtid="{D5CDD505-2E9C-101B-9397-08002B2CF9AE}">
    <vt:lpwstr>Mgr. Marcela Graňáková</vt:lpwstr>
  </property>
  <property name="FSC#SKEDITIONSLOVLEX@103.510:zodppredkladatel" pid="11" fmtid="{D5CDD505-2E9C-101B-9397-08002B2CF9AE}">
    <vt:lpwstr>MUDr. Richard Raši</vt:lpwstr>
  </property>
  <property name="FSC#SKEDITIONSLOVLEX@103.510:dalsipredkladatel" pid="12" fmtid="{D5CDD505-2E9C-101B-9397-08002B2CF9AE}">
    <vt:lpwstr/>
  </property>
  <property name="FSC#SKEDITIONSLOVLEX@103.510:nazovpredpis" pid="13" fmtid="{D5CDD505-2E9C-101B-9397-08002B2CF9AE}">
    <vt:lpwstr>, ktorým sa mení zákon č. 325/2022 Z. z., ktorým sa mení a dopĺňa zákon č. 305/2013 Z. z. o elektronickej podobe výkonu pôsobnosti orgánov verejnej moci a o zmene a doplnení niektorých zákonov (zákon o e-Governmente) v znení neskorších predpisov a ktorým</vt:lpwstr>
  </property>
  <property name="FSC#SKEDITIONSLOVLEX@103.510:nazovpredpis1" pid="14" fmtid="{D5CDD505-2E9C-101B-9397-08002B2CF9AE}">
    <vt:lpwstr> sa menia a dopĺňajú niektoré zákony v znení zákona č. 301/2023 Z. z.</vt:lpwstr>
  </property>
  <property name="FSC#SKEDITIONSLOVLEX@103.510:nazovpredpis2" pid="15" fmtid="{D5CDD505-2E9C-101B-9397-08002B2CF9AE}">
    <vt:lpwstr/>
  </property>
  <property name="FSC#SKEDITIONSLOVLEX@103.510:nazovpredpis3" pid="16" fmtid="{D5CDD505-2E9C-101B-9397-08002B2CF9AE}">
    <vt:lpwstr/>
  </property>
  <property name="FSC#SKEDITIONSLOVLEX@103.510:cislopredpis" pid="17" fmtid="{D5CDD505-2E9C-101B-9397-08002B2CF9AE}">
    <vt:lpwstr/>
  </property>
  <property name="FSC#SKEDITIONSLOVLEX@103.510:zodpinstitucia" pid="18" fmtid="{D5CDD505-2E9C-101B-9397-08002B2CF9AE}">
    <vt:lpwstr>Ministerstvo investícií, regionálneho rozvoja a informatizácie Slovenskej republiky</vt:lpwstr>
  </property>
  <property name="FSC#SKEDITIONSLOVLEX@103.510:pripomienkovatelia" pid="19" fmtid="{D5CDD505-2E9C-101B-9397-08002B2CF9AE}">
    <vt:lpwstr/>
  </property>
  <property name="FSC#SKEDITIONSLOVLEX@103.510:autorpredpis" pid="20" fmtid="{D5CDD505-2E9C-101B-9397-08002B2CF9AE}">
    <vt:lpwstr/>
  </property>
  <property name="FSC#SKEDITIONSLOVLEX@103.510:podnetpredpis" pid="21" fmtid="{D5CDD505-2E9C-101B-9397-08002B2CF9AE}">
    <vt:lpwstr>Iniciatívny materiál</vt:lpwstr>
  </property>
  <property name="FSC#SKEDITIONSLOVLEX@103.510:plnynazovpredpis" pid="22" fmtid="{D5CDD505-2E9C-101B-9397-08002B2CF9AE}">
    <vt:lpwstr> Zákon, ktorým sa mení zákon č. 325/2022 Z. z., ktorým sa mení a dopĺňa zákon č. 305/2013 Z. z. o elektronickej podobe výkonu pôsobnosti orgánov verejnej moci a o zmene a doplnení niektorých zákonov (zákon o e-Governmente) v znení neskorších predpisov a k</vt:lpwstr>
  </property>
  <property name="FSC#SKEDITIONSLOVLEX@103.510:plnynazovpredpis1" pid="23" fmtid="{D5CDD505-2E9C-101B-9397-08002B2CF9AE}">
    <vt:lpwstr>torým sa menia a dopĺňajú niektoré zákony v znení zákona č. 301/2023 Z. z.</vt:lpwstr>
  </property>
  <property name="FSC#SKEDITIONSLOVLEX@103.510:plnynazovpredpis2" pid="24" fmtid="{D5CDD505-2E9C-101B-9397-08002B2CF9AE}">
    <vt:lpwstr/>
  </property>
  <property name="FSC#SKEDITIONSLOVLEX@103.510:plnynazovpredpis3" pid="25" fmtid="{D5CDD505-2E9C-101B-9397-08002B2CF9AE}">
    <vt:lpwstr/>
  </property>
  <property name="FSC#SKEDITIONSLOVLEX@103.510:rezortcislopredpis" pid="26" fmtid="{D5CDD505-2E9C-101B-9397-08002B2CF9AE}">
    <vt:lpwstr>020316/2024/oLG-2</vt:lpwstr>
  </property>
  <property name="FSC#SKEDITIONSLOVLEX@103.510:citaciapredpis" pid="27" fmtid="{D5CDD505-2E9C-101B-9397-08002B2CF9AE}">
    <vt:lpwstr/>
  </property>
  <property name="FSC#SKEDITIONSLOVLEX@103.510:spiscislouv" pid="28" fmtid="{D5CDD505-2E9C-101B-9397-08002B2CF9AE}">
    <vt:lpwstr/>
  </property>
  <property name="FSC#SKEDITIONSLOVLEX@103.510:datumschvalpredpis" pid="29" fmtid="{D5CDD505-2E9C-101B-9397-08002B2CF9AE}">
    <vt:lpwstr/>
  </property>
  <property name="FSC#SKEDITIONSLOVLEX@103.510:platneod" pid="30" fmtid="{D5CDD505-2E9C-101B-9397-08002B2CF9AE}">
    <vt:lpwstr/>
  </property>
  <property name="FSC#SKEDITIONSLOVLEX@103.510:platnedo" pid="31" fmtid="{D5CDD505-2E9C-101B-9397-08002B2CF9AE}">
    <vt:lpwstr/>
  </property>
  <property name="FSC#SKEDITIONSLOVLEX@103.510:ucinnostod" pid="32" fmtid="{D5CDD505-2E9C-101B-9397-08002B2CF9AE}">
    <vt:lpwstr/>
  </property>
  <property name="FSC#SKEDITIONSLOVLEX@103.510:ucinnostdo" pid="33" fmtid="{D5CDD505-2E9C-101B-9397-08002B2CF9AE}">
    <vt:lpwstr/>
  </property>
  <property name="FSC#SKEDITIONSLOVLEX@103.510:datumplatnosti" pid="34" fmtid="{D5CDD505-2E9C-101B-9397-08002B2CF9AE}">
    <vt:lpwstr/>
  </property>
  <property name="FSC#SKEDITIONSLOVLEX@103.510:cislolp" pid="35" fmtid="{D5CDD505-2E9C-101B-9397-08002B2CF9AE}">
    <vt:lpwstr>LP/2024/151</vt:lpwstr>
  </property>
  <property name="FSC#SKEDITIONSLOVLEX@103.510:typsprievdok" pid="36" fmtid="{D5CDD505-2E9C-101B-9397-08002B2CF9AE}">
    <vt:lpwstr>Vyhodnotenie medzirezortného pripomienkového konania</vt:lpwstr>
  </property>
  <property name="FSC#SKEDITIONSLOVLEX@103.510:cislopartlac" pid="37" fmtid="{D5CDD505-2E9C-101B-9397-08002B2CF9AE}">
    <vt:lpwstr/>
  </property>
  <property name="FSC#SKEDITIONSLOVLEX@103.510:AttrStrListDocPropUcelPredmetZmluvy" pid="38" fmtid="{D5CDD505-2E9C-101B-9397-08002B2CF9AE}">
    <vt:lpwstr/>
  </property>
  <property name="FSC#SKEDITIONSLOVLEX@103.510:AttrStrListDocPropUpravaPravFOPRO" pid="39" fmtid="{D5CDD505-2E9C-101B-9397-08002B2CF9AE}">
    <vt:lpwstr/>
  </property>
  <property name="FSC#SKEDITIONSLOVLEX@103.510:AttrStrListDocPropUpravaPredmetuZmluvy" pid="40" fmtid="{D5CDD505-2E9C-101B-9397-08002B2CF9AE}">
    <vt:lpwstr/>
  </property>
  <property name="FSC#SKEDITIONSLOVLEX@103.510:AttrStrListDocPropKategoriaZmluvy74" pid="41" fmtid="{D5CDD505-2E9C-101B-9397-08002B2CF9AE}">
    <vt:lpwstr/>
  </property>
  <property name="FSC#SKEDITIONSLOVLEX@103.510:AttrStrListDocPropKategoriaZmluvy75" pid="42" fmtid="{D5CDD505-2E9C-101B-9397-08002B2CF9AE}">
    <vt:lpwstr/>
  </property>
  <property name="FSC#SKEDITIONSLOVLEX@103.510:AttrStrListDocPropDopadyPrijatiaZmluvy" pid="43" fmtid="{D5CDD505-2E9C-101B-9397-08002B2CF9AE}">
    <vt:lpwstr/>
  </property>
  <property name="FSC#SKEDITIONSLOVLEX@103.510:AttrStrListDocPropProblematikaPPa" pid="44" fmtid="{D5CDD505-2E9C-101B-9397-08002B2CF9AE}">
    <vt:lpwstr/>
  </property>
  <property name="FSC#SKEDITIONSLOVLEX@103.510:AttrStrListDocPropPrimarnePravoEU" pid="45" fmtid="{D5CDD505-2E9C-101B-9397-08002B2CF9AE}">
    <vt:lpwstr/>
  </property>
  <property name="FSC#SKEDITIONSLOVLEX@103.510:AttrStrListDocPropSekundarneLegPravoPO" pid="46" fmtid="{D5CDD505-2E9C-101B-9397-08002B2CF9AE}">
    <vt:lpwstr/>
  </property>
  <property name="FSC#SKEDITIONSLOVLEX@103.510:AttrStrListDocPropSekundarneNelegPravoPO" pid="47" fmtid="{D5CDD505-2E9C-101B-9397-08002B2CF9AE}">
    <vt:lpwstr/>
  </property>
  <property name="FSC#SKEDITIONSLOVLEX@103.510:AttrStrListDocPropSekundarneLegPravoDO" pid="48" fmtid="{D5CDD505-2E9C-101B-9397-08002B2CF9AE}">
    <vt:lpwstr/>
  </property>
  <property name="FSC#SKEDITIONSLOVLEX@103.510:AttrStrListDocPropProblematikaPPb" pid="49" fmtid="{D5CDD505-2E9C-101B-9397-08002B2CF9AE}">
    <vt:lpwstr/>
  </property>
  <property name="FSC#SKEDITIONSLOVLEX@103.510:AttrStrListDocPropNazovPredpisuEU" pid="50" fmtid="{D5CDD505-2E9C-101B-9397-08002B2CF9AE}">
    <vt:lpwstr/>
  </property>
  <property name="FSC#SKEDITIONSLOVLEX@103.510:AttrStrListDocPropLehotaPrebratieSmernice" pid="51" fmtid="{D5CDD505-2E9C-101B-9397-08002B2CF9AE}">
    <vt:lpwstr/>
  </property>
  <property name="FSC#SKEDITIONSLOVLEX@103.510:AttrStrListDocPropLehotaNaPredlozenie" pid="52" fmtid="{D5CDD505-2E9C-101B-9397-08002B2CF9AE}">
    <vt:lpwstr/>
  </property>
  <property name="FSC#SKEDITIONSLOVLEX@103.510:AttrStrListDocPropInfoZaciatokKonania" pid="53" fmtid="{D5CDD505-2E9C-101B-9397-08002B2CF9AE}">
    <vt:lpwstr/>
  </property>
  <property name="FSC#SKEDITIONSLOVLEX@103.510:AttrStrListDocPropInfoUzPreberanePP" pid="54" fmtid="{D5CDD505-2E9C-101B-9397-08002B2CF9AE}">
    <vt:lpwstr/>
  </property>
  <property name="FSC#SKEDITIONSLOVLEX@103.510:AttrStrListDocPropStupenZlucitelnostiPP" pid="55" fmtid="{D5CDD505-2E9C-101B-9397-08002B2CF9AE}">
    <vt:lpwstr/>
  </property>
  <property name="FSC#SKEDITIONSLOVLEX@103.510:AttrStrListDocPropGestorSpolupRezorty" pid="56" fmtid="{D5CDD505-2E9C-101B-9397-08002B2CF9AE}">
    <vt:lpwstr/>
  </property>
  <property name="FSC#SKEDITIONSLOVLEX@103.510:AttrDateDocPropZaciatokPKK" pid="57" fmtid="{D5CDD505-2E9C-101B-9397-08002B2CF9AE}">
    <vt:lpwstr/>
  </property>
  <property name="FSC#SKEDITIONSLOVLEX@103.510:AttrDateDocPropUkonceniePKK" pid="58" fmtid="{D5CDD505-2E9C-101B-9397-08002B2CF9AE}">
    <vt:lpwstr/>
  </property>
  <property name="FSC#SKEDITIONSLOVLEX@103.510:AttrStrDocPropVplyvRozpocetVS" pid="59" fmtid="{D5CDD505-2E9C-101B-9397-08002B2CF9AE}">
    <vt:lpwstr/>
  </property>
  <property name="FSC#SKEDITIONSLOVLEX@103.510:AttrStrDocPropVplyvPodnikatelskeProstr" pid="60" fmtid="{D5CDD505-2E9C-101B-9397-08002B2CF9AE}">
    <vt:lpwstr/>
  </property>
  <property name="FSC#SKEDITIONSLOVLEX@103.510:AttrStrDocPropVplyvSocialny" pid="61" fmtid="{D5CDD505-2E9C-101B-9397-08002B2CF9AE}">
    <vt:lpwstr/>
  </property>
  <property name="FSC#SKEDITIONSLOVLEX@103.510:AttrStrDocPropVplyvNaZivotProstr" pid="62" fmtid="{D5CDD505-2E9C-101B-9397-08002B2CF9AE}">
    <vt:lpwstr/>
  </property>
  <property name="FSC#SKEDITIONSLOVLEX@103.510:AttrStrDocPropVplyvNaInformatizaciu" pid="63" fmtid="{D5CDD505-2E9C-101B-9397-08002B2CF9AE}">
    <vt:lpwstr/>
  </property>
  <property name="FSC#SKEDITIONSLOVLEX@103.510:AttrStrListDocPropPoznamkaVplyv" pid="64" fmtid="{D5CDD505-2E9C-101B-9397-08002B2CF9AE}">
    <vt:lpwstr/>
  </property>
  <property name="FSC#SKEDITIONSLOVLEX@103.510:AttrStrListDocPropAltRiesenia" pid="65" fmtid="{D5CDD505-2E9C-101B-9397-08002B2CF9AE}">
    <vt:lpwstr/>
  </property>
  <property name="FSC#SKEDITIONSLOVLEX@103.510:AttrStrListDocPropStanoviskoGest" pid="66" fmtid="{D5CDD505-2E9C-101B-9397-08002B2CF9AE}">
    <vt:lpwstr/>
  </property>
  <property name="FSC#SKEDITIONSLOVLEX@103.510:AttrStrListDocPropTextKomunike" pid="67" fmtid="{D5CDD505-2E9C-101B-9397-08002B2CF9AE}">
    <vt:lpwstr/>
  </property>
  <property name="FSC#SKEDITIONSLOVLEX@103.510:AttrStrListDocPropUznesenieCastA" pid="68" fmtid="{D5CDD505-2E9C-101B-9397-08002B2CF9AE}">
    <vt:lpwstr/>
  </property>
  <property name="FSC#SKEDITIONSLOVLEX@103.510:AttrStrListDocPropUznesenieZodpovednyA1" pid="69" fmtid="{D5CDD505-2E9C-101B-9397-08002B2CF9AE}">
    <vt:lpwstr/>
  </property>
  <property name="FSC#SKEDITIONSLOVLEX@103.510:AttrStrListDocPropUznesenieTextA1" pid="70" fmtid="{D5CDD505-2E9C-101B-9397-08002B2CF9AE}">
    <vt:lpwstr/>
  </property>
  <property name="FSC#SKEDITIONSLOVLEX@103.510:AttrStrListDocPropUznesenieTerminA1" pid="71" fmtid="{D5CDD505-2E9C-101B-9397-08002B2CF9AE}">
    <vt:lpwstr/>
  </property>
  <property name="FSC#SKEDITIONSLOVLEX@103.510:AttrStrListDocPropUznesenieBODA1" pid="72" fmtid="{D5CDD505-2E9C-101B-9397-08002B2CF9AE}">
    <vt:lpwstr/>
  </property>
  <property name="FSC#SKEDITIONSLOVLEX@103.510:AttrStrListDocPropUznesenieZodpovednyA2" pid="73" fmtid="{D5CDD505-2E9C-101B-9397-08002B2CF9AE}">
    <vt:lpwstr/>
  </property>
  <property name="FSC#SKEDITIONSLOVLEX@103.510:AttrStrListDocPropUznesenieTextA2" pid="74" fmtid="{D5CDD505-2E9C-101B-9397-08002B2CF9AE}">
    <vt:lpwstr/>
  </property>
  <property name="FSC#SKEDITIONSLOVLEX@103.510:AttrStrListDocPropUznesenieTerminA2" pid="75" fmtid="{D5CDD505-2E9C-101B-9397-08002B2CF9AE}">
    <vt:lpwstr/>
  </property>
  <property name="FSC#SKEDITIONSLOVLEX@103.510:AttrStrListDocPropUznesenieBODA3" pid="76" fmtid="{D5CDD505-2E9C-101B-9397-08002B2CF9AE}">
    <vt:lpwstr/>
  </property>
  <property name="FSC#SKEDITIONSLOVLEX@103.510:AttrStrListDocPropUznesenieZodpovednyA3" pid="77" fmtid="{D5CDD505-2E9C-101B-9397-08002B2CF9AE}">
    <vt:lpwstr/>
  </property>
  <property name="FSC#SKEDITIONSLOVLEX@103.510:AttrStrListDocPropUznesenieTextA3" pid="78" fmtid="{D5CDD505-2E9C-101B-9397-08002B2CF9AE}">
    <vt:lpwstr/>
  </property>
  <property name="FSC#SKEDITIONSLOVLEX@103.510:AttrStrListDocPropUznesenieTerminA3" pid="79" fmtid="{D5CDD505-2E9C-101B-9397-08002B2CF9AE}">
    <vt:lpwstr/>
  </property>
  <property name="FSC#SKEDITIONSLOVLEX@103.510:AttrStrListDocPropUznesenieBODA4" pid="80" fmtid="{D5CDD505-2E9C-101B-9397-08002B2CF9AE}">
    <vt:lpwstr/>
  </property>
  <property name="FSC#SKEDITIONSLOVLEX@103.510:AttrStrListDocPropUznesenieZodpovednyA4" pid="81" fmtid="{D5CDD505-2E9C-101B-9397-08002B2CF9AE}">
    <vt:lpwstr/>
  </property>
  <property name="FSC#SKEDITIONSLOVLEX@103.510:AttrStrListDocPropUznesenieTextA4" pid="82" fmtid="{D5CDD505-2E9C-101B-9397-08002B2CF9AE}">
    <vt:lpwstr/>
  </property>
  <property name="FSC#SKEDITIONSLOVLEX@103.510:AttrStrListDocPropUznesenieTerminA4" pid="83" fmtid="{D5CDD505-2E9C-101B-9397-08002B2CF9AE}">
    <vt:lpwstr/>
  </property>
  <property name="FSC#SKEDITIONSLOVLEX@103.510:AttrStrListDocPropUznesenieCastB" pid="84" fmtid="{D5CDD505-2E9C-101B-9397-08002B2CF9AE}">
    <vt:lpwstr/>
  </property>
  <property name="FSC#SKEDITIONSLOVLEX@103.510:AttrStrListDocPropUznesenieBODB1" pid="85" fmtid="{D5CDD505-2E9C-101B-9397-08002B2CF9AE}">
    <vt:lpwstr/>
  </property>
  <property name="FSC#SKEDITIONSLOVLEX@103.510:AttrStrListDocPropUznesenieZodpovednyB1" pid="86" fmtid="{D5CDD505-2E9C-101B-9397-08002B2CF9AE}">
    <vt:lpwstr/>
  </property>
  <property name="FSC#SKEDITIONSLOVLEX@103.510:AttrStrListDocPropUznesenieTextB1" pid="87" fmtid="{D5CDD505-2E9C-101B-9397-08002B2CF9AE}">
    <vt:lpwstr/>
  </property>
  <property name="FSC#SKEDITIONSLOVLEX@103.510:AttrStrListDocPropUznesenieTerminB1" pid="88" fmtid="{D5CDD505-2E9C-101B-9397-08002B2CF9AE}">
    <vt:lpwstr/>
  </property>
  <property name="FSC#SKEDITIONSLOVLEX@103.510:AttrStrListDocPropUznesenieBODB2" pid="89" fmtid="{D5CDD505-2E9C-101B-9397-08002B2CF9AE}">
    <vt:lpwstr/>
  </property>
  <property name="FSC#SKEDITIONSLOVLEX@103.510:AttrStrListDocPropUznesenieZodpovednyB2" pid="90" fmtid="{D5CDD505-2E9C-101B-9397-08002B2CF9AE}">
    <vt:lpwstr/>
  </property>
  <property name="FSC#SKEDITIONSLOVLEX@103.510:AttrStrListDocPropUznesenieTextB2" pid="91" fmtid="{D5CDD505-2E9C-101B-9397-08002B2CF9AE}">
    <vt:lpwstr/>
  </property>
  <property name="FSC#SKEDITIONSLOVLEX@103.510:AttrStrListDocPropUznesenieTerminB2" pid="92" fmtid="{D5CDD505-2E9C-101B-9397-08002B2CF9AE}">
    <vt:lpwstr/>
  </property>
  <property name="FSC#SKEDITIONSLOVLEX@103.510:AttrStrListDocPropUznesenieBODB3" pid="93" fmtid="{D5CDD505-2E9C-101B-9397-08002B2CF9AE}">
    <vt:lpwstr/>
  </property>
  <property name="FSC#SKEDITIONSLOVLEX@103.510:AttrStrListDocPropUznesenieZodpovednyB3" pid="94" fmtid="{D5CDD505-2E9C-101B-9397-08002B2CF9AE}">
    <vt:lpwstr/>
  </property>
  <property name="FSC#SKEDITIONSLOVLEX@103.510:AttrStrListDocPropUznesenieTextB3" pid="95" fmtid="{D5CDD505-2E9C-101B-9397-08002B2CF9AE}">
    <vt:lpwstr/>
  </property>
  <property name="FSC#SKEDITIONSLOVLEX@103.510:AttrStrListDocPropUznesenieTerminB3" pid="96" fmtid="{D5CDD505-2E9C-101B-9397-08002B2CF9AE}">
    <vt:lpwstr/>
  </property>
  <property name="FSC#SKEDITIONSLOVLEX@103.510:AttrStrListDocPropUznesenieBODB4" pid="97" fmtid="{D5CDD505-2E9C-101B-9397-08002B2CF9AE}">
    <vt:lpwstr/>
  </property>
  <property name="FSC#SKEDITIONSLOVLEX@103.510:AttrStrListDocPropUznesenieZodpovednyB4" pid="98" fmtid="{D5CDD505-2E9C-101B-9397-08002B2CF9AE}">
    <vt:lpwstr/>
  </property>
  <property name="FSC#SKEDITIONSLOVLEX@103.510:AttrStrListDocPropUznesenieTextB4" pid="99" fmtid="{D5CDD505-2E9C-101B-9397-08002B2CF9AE}">
    <vt:lpwstr/>
  </property>
  <property name="FSC#SKEDITIONSLOVLEX@103.510:AttrStrListDocPropUznesenieTerminB4" pid="100" fmtid="{D5CDD505-2E9C-101B-9397-08002B2CF9AE}">
    <vt:lpwstr/>
  </property>
  <property name="FSC#SKEDITIONSLOVLEX@103.510:AttrStrListDocPropUznesenieCastC" pid="101" fmtid="{D5CDD505-2E9C-101B-9397-08002B2CF9AE}">
    <vt:lpwstr/>
  </property>
  <property name="FSC#SKEDITIONSLOVLEX@103.510:AttrStrListDocPropUznesenieBODC1" pid="102" fmtid="{D5CDD505-2E9C-101B-9397-08002B2CF9AE}">
    <vt:lpwstr/>
  </property>
  <property name="FSC#SKEDITIONSLOVLEX@103.510:AttrStrListDocPropUznesenieZodpovednyC1" pid="103" fmtid="{D5CDD505-2E9C-101B-9397-08002B2CF9AE}">
    <vt:lpwstr/>
  </property>
  <property name="FSC#SKEDITIONSLOVLEX@103.510:AttrStrListDocPropUznesenieTextC1" pid="104" fmtid="{D5CDD505-2E9C-101B-9397-08002B2CF9AE}">
    <vt:lpwstr/>
  </property>
  <property name="FSC#SKEDITIONSLOVLEX@103.510:AttrStrListDocPropUznesenieTerminC1" pid="105" fmtid="{D5CDD505-2E9C-101B-9397-08002B2CF9AE}">
    <vt:lpwstr/>
  </property>
  <property name="FSC#SKEDITIONSLOVLEX@103.510:AttrStrListDocPropUznesenieBODC2" pid="106" fmtid="{D5CDD505-2E9C-101B-9397-08002B2CF9AE}">
    <vt:lpwstr/>
  </property>
  <property name="FSC#SKEDITIONSLOVLEX@103.510:AttrStrListDocPropUznesenieZodpovednyC2" pid="107" fmtid="{D5CDD505-2E9C-101B-9397-08002B2CF9AE}">
    <vt:lpwstr/>
  </property>
  <property name="FSC#SKEDITIONSLOVLEX@103.510:AttrStrListDocPropUznesenieTextC2" pid="108" fmtid="{D5CDD505-2E9C-101B-9397-08002B2CF9AE}">
    <vt:lpwstr/>
  </property>
  <property name="FSC#SKEDITIONSLOVLEX@103.510:AttrStrListDocPropUznesenieTerminC2" pid="109" fmtid="{D5CDD505-2E9C-101B-9397-08002B2CF9AE}">
    <vt:lpwstr/>
  </property>
  <property name="FSC#SKEDITIONSLOVLEX@103.510:AttrStrListDocPropUznesenieBODC3" pid="110" fmtid="{D5CDD505-2E9C-101B-9397-08002B2CF9AE}">
    <vt:lpwstr/>
  </property>
  <property name="FSC#SKEDITIONSLOVLEX@103.510:AttrStrListDocPropUznesenieZodpovednyC3" pid="111" fmtid="{D5CDD505-2E9C-101B-9397-08002B2CF9AE}">
    <vt:lpwstr/>
  </property>
  <property name="FSC#SKEDITIONSLOVLEX@103.510:AttrStrListDocPropUznesenieTextC3" pid="112" fmtid="{D5CDD505-2E9C-101B-9397-08002B2CF9AE}">
    <vt:lpwstr/>
  </property>
  <property name="FSC#SKEDITIONSLOVLEX@103.510:AttrStrListDocPropUznesenieTerminC3" pid="113" fmtid="{D5CDD505-2E9C-101B-9397-08002B2CF9AE}">
    <vt:lpwstr/>
  </property>
  <property name="FSC#SKEDITIONSLOVLEX@103.510:AttrStrListDocPropUznesenieBODC4" pid="114" fmtid="{D5CDD505-2E9C-101B-9397-08002B2CF9AE}">
    <vt:lpwstr/>
  </property>
  <property name="FSC#SKEDITIONSLOVLEX@103.510:AttrStrListDocPropUznesenieZodpovednyC4" pid="115" fmtid="{D5CDD505-2E9C-101B-9397-08002B2CF9AE}">
    <vt:lpwstr/>
  </property>
  <property name="FSC#SKEDITIONSLOVLEX@103.510:AttrStrListDocPropUznesenieTextC4" pid="116" fmtid="{D5CDD505-2E9C-101B-9397-08002B2CF9AE}">
    <vt:lpwstr/>
  </property>
  <property name="FSC#SKEDITIONSLOVLEX@103.510:AttrStrListDocPropUznesenieTerminC4" pid="117" fmtid="{D5CDD505-2E9C-101B-9397-08002B2CF9AE}">
    <vt:lpwstr/>
  </property>
  <property name="FSC#SKEDITIONSLOVLEX@103.510:AttrStrListDocPropUznesenieCastD" pid="118" fmtid="{D5CDD505-2E9C-101B-9397-08002B2CF9AE}">
    <vt:lpwstr/>
  </property>
  <property name="FSC#SKEDITIONSLOVLEX@103.510:AttrStrListDocPropUznesenieBODD1" pid="119" fmtid="{D5CDD505-2E9C-101B-9397-08002B2CF9AE}">
    <vt:lpwstr/>
  </property>
  <property name="FSC#SKEDITIONSLOVLEX@103.510:AttrStrListDocPropUznesenieZodpovednyD1" pid="120" fmtid="{D5CDD505-2E9C-101B-9397-08002B2CF9AE}">
    <vt:lpwstr/>
  </property>
  <property name="FSC#SKEDITIONSLOVLEX@103.510:AttrStrListDocPropUznesenieTextD1" pid="121" fmtid="{D5CDD505-2E9C-101B-9397-08002B2CF9AE}">
    <vt:lpwstr/>
  </property>
  <property name="FSC#SKEDITIONSLOVLEX@103.510:AttrStrListDocPropUznesenieTerminD1" pid="122" fmtid="{D5CDD505-2E9C-101B-9397-08002B2CF9AE}">
    <vt:lpwstr/>
  </property>
  <property name="FSC#SKEDITIONSLOVLEX@103.510:AttrStrListDocPropUznesenieBODD2" pid="123" fmtid="{D5CDD505-2E9C-101B-9397-08002B2CF9AE}">
    <vt:lpwstr/>
  </property>
  <property name="FSC#SKEDITIONSLOVLEX@103.510:AttrStrListDocPropUznesenieZodpovednyD2" pid="124" fmtid="{D5CDD505-2E9C-101B-9397-08002B2CF9AE}">
    <vt:lpwstr/>
  </property>
  <property name="FSC#SKEDITIONSLOVLEX@103.510:AttrStrListDocPropUznesenieTextD2" pid="125" fmtid="{D5CDD505-2E9C-101B-9397-08002B2CF9AE}">
    <vt:lpwstr/>
  </property>
  <property name="FSC#SKEDITIONSLOVLEX@103.510:AttrStrListDocPropUznesenieTerminD2" pid="126" fmtid="{D5CDD505-2E9C-101B-9397-08002B2CF9AE}">
    <vt:lpwstr/>
  </property>
  <property name="FSC#SKEDITIONSLOVLEX@103.510:AttrStrListDocPropUznesenieBODD3" pid="127" fmtid="{D5CDD505-2E9C-101B-9397-08002B2CF9AE}">
    <vt:lpwstr/>
  </property>
  <property name="FSC#SKEDITIONSLOVLEX@103.510:AttrStrListDocPropUznesenieZodpovednyD3" pid="128" fmtid="{D5CDD505-2E9C-101B-9397-08002B2CF9AE}">
    <vt:lpwstr/>
  </property>
  <property name="FSC#SKEDITIONSLOVLEX@103.510:AttrStrListDocPropUznesenieTextD3" pid="129" fmtid="{D5CDD505-2E9C-101B-9397-08002B2CF9AE}">
    <vt:lpwstr/>
  </property>
  <property name="FSC#SKEDITIONSLOVLEX@103.510:AttrStrListDocPropUznesenieTerminD3" pid="130" fmtid="{D5CDD505-2E9C-101B-9397-08002B2CF9AE}">
    <vt:lpwstr/>
  </property>
  <property name="FSC#SKEDITIONSLOVLEX@103.510:AttrStrListDocPropUznesenieBODD4" pid="131" fmtid="{D5CDD505-2E9C-101B-9397-08002B2CF9AE}">
    <vt:lpwstr/>
  </property>
  <property name="FSC#SKEDITIONSLOVLEX@103.510:AttrStrListDocPropUznesenieZodpovednyD4" pid="132" fmtid="{D5CDD505-2E9C-101B-9397-08002B2CF9AE}">
    <vt:lpwstr/>
  </property>
  <property name="FSC#SKEDITIONSLOVLEX@103.510:AttrStrListDocPropUznesenieTextD4" pid="133" fmtid="{D5CDD505-2E9C-101B-9397-08002B2CF9AE}">
    <vt:lpwstr/>
  </property>
  <property name="FSC#SKEDITIONSLOVLEX@103.510:AttrStrListDocPropUznesenieTerminD4" pid="134" fmtid="{D5CDD505-2E9C-101B-9397-08002B2CF9AE}">
    <vt:lpwstr/>
  </property>
  <property name="FSC#SKEDITIONSLOVLEX@103.510:AttrStrListDocPropUznesenieVykonaju" pid="135" fmtid="{D5CDD505-2E9C-101B-9397-08002B2CF9AE}">
    <vt:lpwstr/>
  </property>
  <property name="FSC#SKEDITIONSLOVLEX@103.510:AttrStrListDocPropUznesenieNaVedomie" pid="136" fmtid="{D5CDD505-2E9C-101B-9397-08002B2CF9AE}">
    <vt:lpwstr/>
  </property>
  <property name="FSC#SKEDITIONSLOVLEX@103.510:funkciaPred" pid="137" fmtid="{D5CDD505-2E9C-101B-9397-08002B2CF9AE}">
    <vt:lpwstr/>
  </property>
  <property name="FSC#SKEDITIONSLOVLEX@103.510:funkciaPredAkuzativ" pid="138" fmtid="{D5CDD505-2E9C-101B-9397-08002B2CF9AE}">
    <vt:lpwstr/>
  </property>
  <property name="FSC#SKEDITIONSLOVLEX@103.510:funkciaPredDativ" pid="139" fmtid="{D5CDD505-2E9C-101B-9397-08002B2CF9AE}">
    <vt:lpwstr/>
  </property>
  <property name="FSC#SKEDITIONSLOVLEX@103.510:funkciaZodpPred" pid="140" fmtid="{D5CDD505-2E9C-101B-9397-08002B2CF9AE}">
    <vt:lpwstr>Minister investícií, regionálneho rozvoja a informatizácie Slovenskej republiky</vt:lpwstr>
  </property>
  <property name="FSC#SKEDITIONSLOVLEX@103.510:funkciaZodpPredAkuzativ" pid="141" fmtid="{D5CDD505-2E9C-101B-9397-08002B2CF9AE}">
    <vt:lpwstr>Ministra investícií, regionálneho rozvoja a informatizácie Slovenskej republiky</vt:lpwstr>
  </property>
  <property name="FSC#SKEDITIONSLOVLEX@103.510:funkciaZodpPredDativ" pid="142" fmtid="{D5CDD505-2E9C-101B-9397-08002B2CF9AE}">
    <vt:lpwstr>Ministrovi investícií, regionálneho rozvoja a informatizácie Slovenskej republiky</vt:lpwstr>
  </property>
  <property name="FSC#SKEDITIONSLOVLEX@103.510:funkciaDalsiPred" pid="143" fmtid="{D5CDD505-2E9C-101B-9397-08002B2CF9AE}">
    <vt:lpwstr/>
  </property>
  <property name="FSC#SKEDITIONSLOVLEX@103.510:funkciaDalsiPredAkuzativ" pid="144" fmtid="{D5CDD505-2E9C-101B-9397-08002B2CF9AE}">
    <vt:lpwstr/>
  </property>
  <property name="FSC#SKEDITIONSLOVLEX@103.510:funkciaDalsiPredDativ" pid="145" fmtid="{D5CDD505-2E9C-101B-9397-08002B2CF9AE}">
    <vt:lpwstr/>
  </property>
  <property name="FSC#SKEDITIONSLOVLEX@103.510:predkladateliaObalSD" pid="146" fmtid="{D5CDD505-2E9C-101B-9397-08002B2CF9AE}">
    <vt:lpwstr>MUDr. Richard Raši_x000d__x000a_Minister investícií, regionálneho rozvoja a informatizácie Slovenskej republiky</vt:lpwstr>
  </property>
  <property name="FSC#SKEDITIONSLOVLEX@103.510:AttrStrListDocPropTextVseobPrilohy" pid="147" fmtid="{D5CDD505-2E9C-101B-9397-08002B2CF9AE}">
    <vt:lpwstr/>
  </property>
  <property name="FSC#SKEDITIONSLOVLEX@103.510:AttrStrListDocPropTextPredklSpravy" pid="148" fmtid="{D5CDD505-2E9C-101B-9397-08002B2CF9AE}">
    <vt:lpwstr/>
  </property>
  <property name="FSC#COOSYSTEM@1.1:Container" pid="149" fmtid="{D5CDD505-2E9C-101B-9397-08002B2CF9AE}">
    <vt:lpwstr>COO.2145.1000.3.6197264</vt:lpwstr>
  </property>
  <property name="FSC#FSCFOLIO@1.1001:docpropproject" pid="150" fmtid="{D5CDD505-2E9C-101B-9397-08002B2CF9AE}">
    <vt:lpwstr/>
  </property>
  <property name="FSC#SKEDITIONSLOVLEX@103.510:aktualnyrok" pid="151" fmtid="{D5CDD505-2E9C-101B-9397-08002B2CF9AE}">
    <vt:lpwstr>2024</vt:lpwstr>
  </property>
  <property name="FSC#SKEDITIONSLOVLEX@103.510:vytvorenedna" pid="152" fmtid="{D5CDD505-2E9C-101B-9397-08002B2CF9AE}">
    <vt:lpwstr>5. 6. 2024</vt:lpwstr>
  </property>
</Properties>
</file>