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566/2001 Z. z. o cenných papieroch a investičných službách a o zmene a doplnení niektorých zákonov (zákon o cenných papieroch) v znení neskorších predpisov a ktorým sa mení a dopĺňa zákon č. 429/2002 Z. z. o burze cenných papierov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LP/2025/113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170/0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138</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28</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BCPB</w:t>
              <w:br/>
            </w:r>
            <w:r>
              <w:rPr>
                <w:b w:val="off"/>
                <w:color w:val="000000"/>
                <w:rFonts w:ascii="Times New Roman" w:hAnsi="Times New Roman" w:cs="Times New Roman" w:eastAsia="Times New Roman"/>
                <w:sz w:val="24"/>
              </w:rPr>
              <w:t>Burza cenných papierov v Bratislave,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K článku II bod 2: Navrhujeme ponechanie definície kótovaného cenného papiera a presunutie legálnej definície trhu kótovaných cenných papierov do § 25 zákona č. 429/2002 Z. z. o burze cenných papierov v znení neskorších predpisov (ďalej len „ZoB“).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2 bod 18: Osobitné podmienky prijatia akcií na regulovaný trh navrhujeme upraviť v § 29a a § 30 navrhujeme ponechať pre účely osobitných podmienok pre prijatie akcií na trh kótovaných cenných papierov. Podmienky podľa § 30 navrhujeme ponechať v pôvodnej podobe s výnimkou požiadavky na distribúciu akcií verejnosti podľa § 30 ods. 1 písm. c), kde navrhujeme znížiť požadovanú distribúciu z 25 % na 20 % celkovej menovitej hodnoty akcií. Čl. II bod 7 návrhu zákona navrhujeme primerane upraviť aby zohľadňoval skutočnosť, že podmienky prijatia na trh kótovaných CP určujú § 29 - § 32 a podmienky prijatia na regulovaný voľný trh určuje § 29 a 29a.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II (nad rámec návrhu zákona)	</w:t>
              <w:br/>
            </w:r>
            <w:r>
              <w:rPr>
                <w:b w:val="off"/>
                <w:color w:val="000000"/>
                <w:rFonts w:ascii="Times New Roman" w:hAnsi="Times New Roman" w:cs="Times New Roman" w:eastAsia="Times New Roman"/>
                <w:sz w:val="24"/>
              </w:rPr>
              <w:t xml:space="preserve">Nad rámec navrhovaných zmien v § 26 ods. 5 navrhujeme vypustiť slová „a žiadosť o prijatie cenného papiera na regulovaný voľný trh“.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Nad rámec navrhovaných zmien navrhujeme vypustiť ustanovenia § 65 ods. 1 a 2 ZoB vzhľadom na to, že sú transpozíciou článku 18 a 19 smernice 2001/34/ES, ktorá sa zrušuje. Tieto ustanovenia sa stávajú v dôsledku straty platnosti smernice 2001/34/ES nadbytočnými a ich existencia už dnes spôsobuje potenciálny nesúlad so znením čl. 4 ods. 1 a 2 Vykonávacieho nariadenia 2017/1005.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navrhujeme primeranú úpravu/vypustenie odkazu na vyššie uvedené ustanovenia § 65 ods. 1 a 2 v § 65a a § 38b ods. 2 ZoB.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38b ods. 3 navrhujeme nahradiť slová „a zverejní ho v tlači s celoštátnou pôsobnosťou“ slovami „a zverejní ho na svojom webovom sídle“. Súčasné znenie § 38b ods. 3 presahuje požiadavky na zverejňovanie rozhodnutí o pozastavení obchodovania s finančným nástrojom v zmysle Vykonávacieho nariadenia 2017/1005 a je potenciálne v rozpore s čl. 3 ods. 1  Vykonávacieho nariadenia 2017/1005.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2 sa navrhuje doplniť novú legálnu explikáciu pre „centrálnu kvalifikovanú protistranu“, pričom tento pojem sa v iných častiach čl. I nepoužíva, používa sa pojem „centrálna protistrana“. Zároveň sa uvádza, že kvalifikovanou centrálnou protistranou sa rozumie centrálna kvalifikovaná protistrana podľa čl. 4 ods. 1 bodu 88 nariadenia (EÚ) č. 575/2013 v platnom znení. Z uvedeného vyplýva, že ide o pojem zo sekundárneho práva EÚ, ktorým je nariadenie, ktoré má priamy účinok, teda ide o pojem, ktorý by sa mal používať priamo vo vnútroštátnom práve a tam, kde sa použije prvý krát sa má použiť len odkaz na príslušné ustanovenie sekundárneho aktu EÚ, na základe uvedeného máme zato, že nejde o legálnu explikáciu, ale o pojem, ktorý sa stáva súčasťou právneho poriadku Slovenskej republiky z povahy nariadenia EÚ a preto navrhujeme bod 2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je uvedená v smernici (EÚ), preto je potrebné ju transponovať.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4 sa navrhuje ustanoviť čo môže obchodník s cennými papiermi robiť, obdobne je tomu aj v prípade čl. I bodu 5  prvej vety.  Vzhľadom na čl. 2 ods. 3 Ústavy Slovenskej republiky navrhujeme upraviť čl. I bod 4 a časť bodu 5 tak, aby neobsahovali  „dovoľujúce“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Navrhnuté ustanovenie bolo preformulované a boli doplnené podmienky výkonu ďalších činností.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4 odporúčame v poznámke pod čiarou k odkazu 50aa slová „zákon č. 202/1995 Z. z. v platnom znení“ nahradiť slovami „zákon č. 202/1995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4 odporúčame v poznámke pod čiarou k odkazu 50aa za slovami „(Ú. V. EÚ L 347, 20.10.2020)“ vypustiť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5 v § 54 ods. 16 písm. b) navrhujeme slovo „dopady“ nahradiť slovom „vplyvy“.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V čl. I bode 6 navrhujeme obe vety spojiť do jednej, ktorá sa bude členiť na dva pododseky napríklad takto: </w:t>
              <w:br/>
            </w:r>
            <w:r>
              <w:rPr>
                <w:b w:val="off"/>
                <w:color w:val="000000"/>
                <w:rFonts w:ascii="Times New Roman" w:hAnsi="Times New Roman" w:cs="Times New Roman" w:eastAsia="Times New Roman"/>
                <w:sz w:val="24"/>
              </w:rPr>
              <w:t xml:space="preserve">„(15) Národná banka Slovenska žiadosť o udelenie predchádzajúceho súhlasu podľa odseku 1 zamietne, ak </w:t>
              <w:br/>
            </w:r>
            <w:r>
              <w:rPr>
                <w:b w:val="off"/>
                <w:color w:val="000000"/>
                <w:rFonts w:ascii="Times New Roman" w:hAnsi="Times New Roman" w:cs="Times New Roman" w:eastAsia="Times New Roman"/>
                <w:sz w:val="24"/>
              </w:rPr>
              <w:t>a)	žiadateľ nesplní alebo nepreukáže splnenie niektorej z podmienok podľa odseku 2 alebo</w:t>
              <w:br/>
            </w:r>
            <w:r>
              <w:rPr>
                <w:b w:val="off"/>
                <w:color w:val="000000"/>
                <w:rFonts w:ascii="Times New Roman" w:hAnsi="Times New Roman" w:cs="Times New Roman" w:eastAsia="Times New Roman"/>
                <w:sz w:val="24"/>
              </w:rPr>
              <w:t>b)	údaje a predložené doklady nie sú úplné, správne, pravdivé, pravé a aktuálne.“.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to dostatočne zrozumiteľné.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8 odporúčame slovo „obchodník“ nahradiť slovom „obchodníka“ a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8 odporúčame, aby poznámka pod čiarou k odkazu 56acaba znela takto: „56acaba) Čl. 7a nariadenia Európskeho parlamentu a Rady (EÚ) č. 648/2012 zo 4. júla 2012 o mimoburzových derivátoch, centrálnych protistranách a archívoch obchodných údajov (Ú. v. L 201,27.7.2012) v platnom znení.“.</w:t>
              <w:br/>
            </w:r>
            <w:r>
              <w:rPr>
                <w:b w:val="off"/>
                <w:color w:val="000000"/>
                <w:rFonts w:ascii="Times New Roman" w:hAnsi="Times New Roman" w:cs="Times New Roman" w:eastAsia="Times New Roman"/>
                <w:sz w:val="24"/>
              </w:rPr>
              <w:t>V nadväznosti na túto pripomienku odporúčame v poznámke pod čiarou k odkazu 89r uviesť skrátenú citáciu tohto právneho predpisu, podľa bodu 23.4.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9 po nahradení doterajšieho textu novým nasledujúci text gramaticky nenadväzuje na nahrádzajúci nový text.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11 odporúčame v § 73b ods. 23 druhej vete slová „ako taký, a to za predpokladu, že sú splnené“ nahradiť slovami „a spĺňať“.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11 v § 73b ods. 24 navrhujeme slová „bol vypracovaný“ nahradiť slovami „sa vypracoval“, pripomienka platí primerane aj pre odsek 27 („sa vypracoval“, „sa nevypracovali“) a pre čl. II bod 39 („je povinný“).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14 odporúčame v § 73p ods. 5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14 odporúčame v § 73p ods. 5 prvú vetu rozdeliť na dve vety z dôvodu zrozumiteľnosti.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upraviť znenie bodu 15 takto: „15. V § 74a ods. 1 úvodnej vete a § 74g ods. 1 úvodnej vete sa slová „až 17“ nahrádzajú slovami „až 18“.“ a čl. I bod 16 upraviť takto: „16. V § 74e  písm. d) sa slová „12 až 16“ nahrádzajú slovami „13 až 17“.“. V § 74e ods. 1 úvodnej vete a v § 74q ods. 1 úvodnej vete sa navrhuje tá istá úprava, zároveň nie je vhodné spájať do jedného bodu zmenu v úvodnej vete a inú zmenu v pododseku.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19 navrhujeme vypustiť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20 odporúčame v § 135 ods. 9 slová „pri prispôsobovaní“ nahradiť slovom „prispôsobovaním“.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27 navrhujeme čísla v záverečnej vete vyjadriť slovne, pripomienka platí aj pre čl. II bod 46.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použitá iná 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5 navrhujeme slová „nad § 25“ nahradiť slovami „Hlavy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8  v prvej vete vypustiť slovo „ustanovenia“ pre nadbytočnosť a druhú vetu upraviť takto: „Na dlhopisy vydané medzinárodnou organizáciou sa nevzťahujú § 28 a 31.“.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vetu v platnom znení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odporúčame v bod 14  pred slová „§ 28“ vložiť slová „§ 26 ods. 5 a““. </w:t>
              <w:br/>
            </w:r>
            <w:r>
              <w:rPr>
                <w:b w:val="off"/>
                <w:color w:val="000000"/>
                <w:rFonts w:ascii="Times New Roman" w:hAnsi="Times New Roman" w:cs="Times New Roman" w:eastAsia="Times New Roman"/>
                <w:sz w:val="24"/>
              </w:rPr>
              <w:t>Uvedené odporúčame vzhľadom na znenie bodu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odporúčame, aby bod 17 znel takto: „V § 29. ods. 2 sa slová „podľa § 33“ nahrádzajú slovami „koordinácie viacerých búrz“.“.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18 odporúčame v § 30 ods. 3 na konci pripojiť čiarku a tieto slová: „ak odsek 5 neustanovuje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30 odsek 5 upravuje iné podmienky než § 30 odsek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18 odporúčame v § 30 ods. 5 vypustiť slová „Odchylne od odseku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odchýlku, ktorú je potrebné zdôrazniť. Zároveň treba dodržať úplnú transpozíciu príslušnej smernice (EÚ).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18 odporúčame v nadväznosti na zmenu § 30 zrušiť poznámku pod čiarou k odkazu 52.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30 nebol zmenený.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odporúčame za bod 18 vložiť nový bod 19, ktorý znie: „V § 32 ods. 2 sa vypúšťajú slová „cenných papierov“.“. </w:t>
              <w:br/>
            </w:r>
            <w:r>
              <w:rPr>
                <w:b w:val="off"/>
                <w:color w:val="000000"/>
                <w:rFonts w:ascii="Times New Roman" w:hAnsi="Times New Roman" w:cs="Times New Roman" w:eastAsia="Times New Roman"/>
                <w:sz w:val="24"/>
              </w:rPr>
              <w:t>Doterajšie body odporúčame prečíslovať. Vloženie nového bodu odporúčame vzhľadom na znenie bodu 45.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Použila sa iná legislatívna technika, upravilo sa to v celom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20 odporúčame slovo „odsek“ nahradiť slovom „ods.“ a slovo „kótovanie“ nahradiť slovami „kótovanie týchto akcií“.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24 odporúčame v § 38a ods. 5 za slovom „zastaveniu“ vložiť slovo „obchodovania“.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24 odporúčame v § 38 ods. 6 slová „využitia právomocí dohľadu uvedených v § 63“ nahradiť slovami „postupu podľa § 63“.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zdôraznenie právomocí dohľadu a zároveň o zabezpečenie úplnej transpozície danej smernice (EÚ).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odporúčame, aby bod 27 znel takto: „V § 51 ods. 6 sa slová „§ 26 ods. 6 a 7 prvej vety a § 29 ods. 1 písm. j)“ nahrádzajú slovami „ § 26 a 29“.“.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31 odporúčame v § 56 ods. 4 slová „ustanovených v odseku 3 a všetky tieto požiadavky“ nahradiť slovami „podľa odseku 3 a týchto požiadaviek“ a na konci písmena b) čiarku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32 odporúčame v § 56 ods. 7 písm. a) na konci  čiarku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32 odporúčame v § 56 ods. 9 prvú vetu rozdeliť na dve vety z dôvodu zrozumiteľnosti.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je dostatočne zrozumiteľný.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33 odporúčame v poznámke pod čiarou k odkazu 66 slová „Čl. 18 odsek 1 písm. a) Nariadenie“ nahradiť slovami „Čl. 2 bod 7 písm. a) nariadenia“ a na konci citácie odporúčame vypustiť slová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Navrhnuté ustanovenie bolo vypustené aj s poznámkou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40 odporúčame v § 57b ods. 3 pred slovom „centrálnemu“ nahradiť odkaz „68a“ odkazom „68ab“.</w:t>
              <w:br/>
            </w:r>
            <w:r>
              <w:rPr>
                <w:b w:val="off"/>
                <w:color w:val="000000"/>
                <w:rFonts w:ascii="Times New Roman" w:hAnsi="Times New Roman" w:cs="Times New Roman" w:eastAsia="Times New Roman"/>
                <w:sz w:val="24"/>
              </w:rPr>
              <w:t xml:space="preserve">Súčasne odporúčame pripojiť vetu: „Poznámka pod čiarou k odkazu 68ab znie: </w:t>
              <w:br/>
            </w:r>
            <w:r>
              <w:rPr>
                <w:b w:val="off"/>
                <w:color w:val="000000"/>
                <w:rFonts w:ascii="Times New Roman" w:hAnsi="Times New Roman" w:cs="Times New Roman" w:eastAsia="Times New Roman"/>
                <w:sz w:val="24"/>
              </w:rPr>
              <w:t>„68ab) Čl. 8 nariadenia Európskeho parlamentu a Rady (EÚ) č. 1227/2011 z 25. októbra 2011 o integrite a transparentnosti veľkoobchodného trhu s energiou (Ú. v. EÚ L 326, 8.12. 2011)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odporúčame pred číslom „18“ slovo „a“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v rámci delenej účinnosti je potrebné odstrániť rozpor keďže sa navrhuje, aby  čl. I bod 18 nadobudol účinnosť 5.6.2026 („...17 až 19...“) a aj 25.6.2026 („... 9 a 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V predkladacej správe odporúčame doplniť súlad návrhu zákona s Európskou chartou miestnej samosprávy, podľa čl. 19 ods. 1 písm. d)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 dôvodovej správe odporúčame uviesť informáciu o tom, či návrh zákona má byť predmetom vnútrokomunitárneho pripomienkového konania, podľa čl. 20 ods. 2 Legislatívnych pravidiel vlády Slovenskej republiky a zároveň odporúčame túto informáciu vypustiť z predkladacej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 dôvodovej správe-všeobecnej časti odporúčame slová „a vplyvy ani“ nahradiť slovami „ani vplyvy“.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V doložke zlučiteľnosti bode 3 písm. b) odporúčame v názve nariadenia Európskeho parlamentu a Rady (EÚ) 2020/1503 vypustiť slová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Nariadenie (EÚ) 2020/1503 bolo zmenené nariadením (EÚ) 2022/1988.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 osobitnej časti dôvodovej správy v</w:t>
              <w:br/>
            </w:r>
            <w:r>
              <w:rPr>
                <w:b w:val="off"/>
                <w:color w:val="000000"/>
                <w:rFonts w:ascii="Times New Roman" w:hAnsi="Times New Roman" w:cs="Times New Roman" w:eastAsia="Times New Roman"/>
                <w:sz w:val="24"/>
              </w:rPr>
              <w:t>-	Čl. I bode 17 dôvodovej správy-osobitnej časti odporúčame za slovom „limitom“ vložiť slovo „menším“,</w:t>
              <w:br/>
            </w:r>
            <w:r>
              <w:rPr>
                <w:b w:val="off"/>
                <w:color w:val="000000"/>
                <w:rFonts w:ascii="Times New Roman" w:hAnsi="Times New Roman" w:cs="Times New Roman" w:eastAsia="Times New Roman"/>
                <w:sz w:val="24"/>
              </w:rPr>
              <w:t>-	Čl. I bode 18 odporúčame slovo „smernici“ nahradiť slovom „smerniciam“,</w:t>
              <w:br/>
            </w:r>
            <w:r>
              <w:rPr>
                <w:b w:val="off"/>
                <w:color w:val="000000"/>
                <w:rFonts w:ascii="Times New Roman" w:hAnsi="Times New Roman" w:cs="Times New Roman" w:eastAsia="Times New Roman"/>
                <w:sz w:val="24"/>
              </w:rPr>
              <w:t>-	Čl. II odporúčame upraviť znenie bodov 7, 8, 17 a 21 vzhľadom k tomu, že neobsahujú vecné odôvodnenia navrhovaných zmien,</w:t>
              <w:br/>
            </w:r>
            <w:r>
              <w:rPr>
                <w:b w:val="off"/>
                <w:color w:val="000000"/>
                <w:rFonts w:ascii="Times New Roman" w:hAnsi="Times New Roman" w:cs="Times New Roman" w:eastAsia="Times New Roman"/>
                <w:sz w:val="24"/>
              </w:rPr>
              <w:t>-	Čl. II  bode 44 upozorňujeme, že podľa tabuľky zhody k smernici Európskeho parlamentu a Rady (EÚ) 2024/2811 z 23. októbra 2024, ustanovenie § 58 ods. 1 návrhu zákona nie je transpozíciou čl. 1 bodu 5 tejto smernice. Vo vecnom odôvodnení novelizačného bodu odporúčame správne uviesť príslušný článok a bod smernice, ktorá sa transponuje.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Kalkulačke a Analýze vplyvov:</w:t>
              <w:br/>
            </w:r>
            <w:r>
              <w:rPr>
                <w:b w:val="off"/>
                <w:color w:val="000000"/>
                <w:rFonts w:ascii="Times New Roman" w:hAnsi="Times New Roman" w:cs="Times New Roman" w:eastAsia="Times New Roman"/>
                <w:sz w:val="24"/>
              </w:rPr>
              <w:t>ku Kalkulačke a Analýze vplyvov:</w:t>
              <w:br/>
            </w:r>
            <w:r>
              <w:rPr>
                <w:b w:val="off"/>
                <w:color w:val="000000"/>
                <w:rFonts w:ascii="Times New Roman" w:hAnsi="Times New Roman" w:cs="Times New Roman" w:eastAsia="Times New Roman"/>
                <w:sz w:val="24"/>
              </w:rPr>
              <w:t>Žiadame predkladateľa o priloženie a úpravu Kalkulačky nákladov a Analýzy vplyvov na podnikateľské prostredie.</w:t>
              <w:br/>
            </w:r>
            <w:r>
              <w:rPr>
                <w:b w:val="off"/>
                <w:color w:val="000000"/>
                <w:rFonts w:ascii="Times New Roman" w:hAnsi="Times New Roman" w:cs="Times New Roman" w:eastAsia="Times New Roman"/>
                <w:sz w:val="24"/>
              </w:rPr>
              <w:t>Odôvodnenie: Z kalkulačky nákladov je potrebné odstrániť regulácie č. 5 a 6 vzhľadom na to, že sa nepredpokladá vznik samostatného segmentu rastového trhu a vplyvy sú opísané v časti 3.4 iné vplyvy na podnikateľské prostredie. Následne je potrebné zosúladiť tabuľky č. 1 a 2. v kalkulačke nákladov s tabuľkami č. 1 a 2 v analýze vplyvov a upraviť číslovanie v časti 3.1.3 podľa poradia v tabuľke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časť 13. Stanovisko Komisie na posudzovanie vybraných vplyvov z PPK o samotné číslo stanoviska.</w:t>
              <w:br/>
            </w:r>
            <w:r>
              <w:rPr>
                <w:b w:val="off"/>
                <w:color w:val="000000"/>
                <w:rFonts w:ascii="Times New Roman" w:hAnsi="Times New Roman" w:cs="Times New Roman" w:eastAsia="Times New Roman"/>
                <w:sz w:val="24"/>
              </w:rPr>
              <w:t>Odôvodnenie: Tieto informácie sú povinné podľa Jednotnej metodiky na posudzovanie vybraných vplyvov a zároveň zvyšujú transparentnosť doložky.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V bode 4 v poznámke pod čiarou k odkazu 50aa slová „zákon č. 202/1995 Z. z. v platnom znení“ odporúčame nahradiť slovami „zákon č. 202/1995 Z. z. v znení neskorších predpisov.“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20</w:t>
              <w:br/>
            </w:r>
            <w:r>
              <w:rPr>
                <w:b w:val="off"/>
                <w:color w:val="000000"/>
                <w:rFonts w:ascii="Times New Roman" w:hAnsi="Times New Roman" w:cs="Times New Roman" w:eastAsia="Times New Roman"/>
                <w:sz w:val="24"/>
              </w:rPr>
              <w:t>V bode 20 slovo „odsek“ odporúčame nahradiť skratkou „ods.“.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33</w:t>
              <w:br/>
            </w:r>
            <w:r>
              <w:rPr>
                <w:b w:val="off"/>
                <w:color w:val="000000"/>
                <w:rFonts w:ascii="Times New Roman" w:hAnsi="Times New Roman" w:cs="Times New Roman" w:eastAsia="Times New Roman"/>
                <w:sz w:val="24"/>
              </w:rPr>
              <w:t>V bode 33 odporúčame na konci bodu doplniť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Navrhnuté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5 (§ 54 ods. 17): Zo znenia druhej vety nevyplýva, či Národná banka Slovenska v lehote podľa prvej vety nielen posúdi oznámenie, ale pošle obchodníkovi s cennými papiermi aj odpoveď, že nemá námietky a môže začať vykonávať ďalšiu podnikateľskú činnosť. Zákonná podmienka pre oprávnenie vykonávať ďalšiu podnikateľskú činnosť „len ak Národná banka Slovenska výkon ďalšej podnikateľskej činnosti nezamietne“ nie je jednoznačná, vzhľadom na lehotu pre vydanie rozhodnutia o zamietnutí výkonu ďalšej podnikateľskej činnosti v konaní podľa zákona č. 747/2004 Z. z. o dohľade nad finančným trhom a o zmene a doplnení niektorých zákonov v znení neskorších predpisov, ktorá nie je 30 dní.</w:t>
              <w:br/>
            </w:r>
            <w:r>
              <w:rPr>
                <w:b w:val="off"/>
                <w:color w:val="000000"/>
                <w:rFonts w:ascii="Times New Roman" w:hAnsi="Times New Roman" w:cs="Times New Roman" w:eastAsia="Times New Roman"/>
                <w:sz w:val="24"/>
              </w:rPr>
              <w:t>K bodu 11 (§ 73b ods. 29): Slovo „paragrafu“ odporúčame nahradiť vhodnejším slovom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bode 4 poznámke pod čiarou k odkazu 50aa odporúčame slová „č. 202/1995 Z. z. v platnom znení“ nahradiť slovami „č. 202/1995 Z. z. v znení neskorších predpisov“ v súlade s bodom 50 prílohy č. 1 k Legislatívnym pravidlám vlády Slovenskej republiky a pri citácii nariadenia Európskeho parlamentu a Rady (EÚ) 2020/1503 odporúčame uviesť len skrátenú citáciu v súlade s bodmi 47 a 62.9 prílohy č. 1 k Legislatívnym pravidlám vlády Slovenskej republiky, keďže sa toto nariadenie v platnom znení novelizovaného zákona č. 566/2001 Z. z. už uvádza v poznámke pod čiarou k odkazu 49c.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V čl. I bode 8 poznámke pod čiarou k odkazu 56acaba odporúčame uviesť úplnú citáciu nariadenia (EÚ) č. 648/2012, keďže sa v platnom znení novelizovaného zákona uvádza po prvýkrát až v poznámke pod čiarou k odkazu 89r (§ 99). Zároveň odporúčame do návrhu doplniť nový novelizačný bod a v poznámke pod čiarou k odkazu 89r nahradiť úplnú citáciu tohto nariadenia skrátenou citáciou v súlade s bodmi 47 a 62.9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 súvislosti s úpravou navrhovanou v čl. II prvom bode odporúčame doplniť do čl. II nový novelizačný bod a v poznámke pod čiarou k odkazu 16ab nahradiť úplnú citáciu tohto nariadenia skrátenou citáciou v súlade s bodmi 47 a 62.9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Navrhnuté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4 a 28</w:t>
              <w:br/>
            </w:r>
            <w:r>
              <w:rPr>
                <w:b w:val="off"/>
                <w:color w:val="000000"/>
                <w:rFonts w:ascii="Times New Roman" w:hAnsi="Times New Roman" w:cs="Times New Roman" w:eastAsia="Times New Roman"/>
                <w:sz w:val="24"/>
              </w:rPr>
              <w:t>V čl. II bode 4 § 14 ods. 5 písm. h) odporúčame odkaz 22aad označiť ako odkaz 22ab, keďže nasleduje po odkaze 22aa, ktorý je umiestnený nad slovami „veľkosť tiku,” v § 14 ods. 5 písm. d), príp. ako odkaz 23, ktorý v platnom znení novelizovaného zákona absentuje. Rovnakým spôsobom odporúčame zmeniť označenie odkazu aj v čl. II bode 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 vložený odkaz 28ab.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33 a 35</w:t>
              <w:br/>
            </w:r>
            <w:r>
              <w:rPr>
                <w:b w:val="off"/>
                <w:color w:val="000000"/>
                <w:rFonts w:ascii="Times New Roman" w:hAnsi="Times New Roman" w:cs="Times New Roman" w:eastAsia="Times New Roman"/>
                <w:sz w:val="24"/>
              </w:rPr>
              <w:t>V čl. II bode 33 poznámke pod čiarou k odkazu 66e odporúčame vypustiť slová „v platnom znení“ z dôvodu, že citovaný právne záväzný akt Európskej únie nebol predmetom novelizácie a podľa bodu 62.11 prílohy č. 1 k Legislatívnym pravidlám vlády Slovenskej republiky sa dodatok „v platnom znení“ uvádza len v prípade, ak má citovaný právne záväzný akt Európskej únie jednu alebo viacero novelizácií. Zároveň odporúčame v čl. II bode 35 vypustiť označenie odseku, keďže sa uvádza iba nové znenie úvodnej vety, nie celého odseku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Navrhnuté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K čl. I bodu 4: Poznámku pod čiarou k odkazu 50aa treba dať do súladu s bodom č.23.7 v spojení s bodom 23.6 prílohy č. 1 k Legislatívnym pravidlám vlády Slovenskej republiky. Citáciu „zákon č. 202/1995 Z. z. v platnom znení“ treba nahradiť citáciou „zákon Národnej rady Slovenskej republiky č. 202/1995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20</w:t>
              <w:br/>
            </w:r>
            <w:r>
              <w:rPr>
                <w:b w:val="off"/>
                <w:color w:val="000000"/>
                <w:rFonts w:ascii="Times New Roman" w:hAnsi="Times New Roman" w:cs="Times New Roman" w:eastAsia="Times New Roman"/>
                <w:sz w:val="24"/>
              </w:rPr>
              <w:t>K čl. II bodu 20: Úvodnú vetu novelizačného bodu treba dať do súladu s bodom 30. 2 v spojení s bodom 56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2024/2811</w:t>
              <w:br/>
            </w:r>
            <w:r>
              <w:rPr>
                <w:b w:val="off"/>
                <w:color w:val="000000"/>
                <w:rFonts w:ascii="Times New Roman" w:hAnsi="Times New Roman" w:cs="Times New Roman" w:eastAsia="Times New Roman"/>
                <w:sz w:val="24"/>
              </w:rPr>
              <w:t>V tabuľke zhody so smernicou (EÚ) 2024/2811 je ako vypúšťaný bod v transpozičnej prílohe (zrušovaná smernica 2001/34/ES) nesprávny uvedený odsek 1. Má ísť o odsek 3, čo navrhujeme opraviť.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to odsek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2024/2811 a k transpozícii tejto smernice</w:t>
              <w:br/>
            </w:r>
            <w:r>
              <w:rPr>
                <w:b w:val="off"/>
                <w:color w:val="000000"/>
                <w:rFonts w:ascii="Times New Roman" w:hAnsi="Times New Roman" w:cs="Times New Roman" w:eastAsia="Times New Roman"/>
                <w:sz w:val="24"/>
              </w:rPr>
              <w:t>V rámci transpozície čl. 1 ods. ods. 4 smernice (EÚ) 2024/2811 sa v navrhovanom čl. II bode 18 (nový § 30 ods. 5 a 6 zákona o burze CP) nesprávne odkazuje na odsek 3. Má ísť o odsek 4, čo navrhujeme upraviť v tabuľke zhody aj v legislatívnom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2024/2811</w:t>
              <w:br/>
            </w:r>
            <w:r>
              <w:rPr>
                <w:b w:val="off"/>
                <w:color w:val="000000"/>
                <w:rFonts w:ascii="Times New Roman" w:hAnsi="Times New Roman" w:cs="Times New Roman" w:eastAsia="Times New Roman"/>
                <w:sz w:val="24"/>
              </w:rPr>
              <w:t>V tabuľke zhody so smernicou (EÚ) 2024/2811 je ako vnútroštátne transpozičné opatrenie k čl. 1 ods. až 6 (nový článok 51a ods. 4 MiFID) nesprávne uvedené navrhované nové znenie § 30 ods. 3 až 5 zákona o burze CP. Má ísť o odseky 4 až 6, čo navrhujeme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2024/2811</w:t>
              <w:br/>
            </w:r>
            <w:r>
              <w:rPr>
                <w:b w:val="off"/>
                <w:color w:val="000000"/>
                <w:rFonts w:ascii="Times New Roman" w:hAnsi="Times New Roman" w:cs="Times New Roman" w:eastAsia="Times New Roman"/>
                <w:sz w:val="24"/>
              </w:rPr>
              <w:t>V tabuľke zhody so smernicou (EÚ) 2024/2811 je ako vnútroštátne transpozičné opatrenie nesprávne uvedený čl. II bod 16. Má ísť o bod 18,  čo navrhujeme opraviť.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2024/2811</w:t>
              <w:br/>
            </w:r>
            <w:r>
              <w:rPr>
                <w:b w:val="off"/>
                <w:color w:val="000000"/>
                <w:rFonts w:ascii="Times New Roman" w:hAnsi="Times New Roman" w:cs="Times New Roman" w:eastAsia="Times New Roman"/>
                <w:sz w:val="24"/>
              </w:rPr>
              <w:t>V tabuľke zhody so smernicou (EÚ) 2024/2811 sú ako vnútroštátne transpozičné opatrenia nesprávne uvedené odseky 28 až 30 (v rámci § 73b zákona o CP). Má ísť o odseky 29 až 31, čo navrhujeme opraviť.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2024/2811</w:t>
              <w:br/>
            </w:r>
            <w:r>
              <w:rPr>
                <w:b w:val="off"/>
                <w:color w:val="000000"/>
                <w:rFonts w:ascii="Times New Roman" w:hAnsi="Times New Roman" w:cs="Times New Roman" w:eastAsia="Times New Roman"/>
                <w:sz w:val="24"/>
              </w:rPr>
              <w:t>V tabuľke zhody so smernicou (EÚ) 2024/2811 je ako vnútroštátne transpozičné opatrenie nesprávne uvedený odsek 31 (v rámci § 73b zákona o CP). Má ísť o odsek 28, čo navrhujeme opraviť.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2024/2811</w:t>
              <w:br/>
            </w:r>
            <w:r>
              <w:rPr>
                <w:b w:val="off"/>
                <w:color w:val="000000"/>
                <w:rFonts w:ascii="Times New Roman" w:hAnsi="Times New Roman" w:cs="Times New Roman" w:eastAsia="Times New Roman"/>
                <w:sz w:val="24"/>
              </w:rPr>
              <w:t xml:space="preserve">V tabuľke zhody so smernicou (EÚ) 2024/2811 je ako vnútroštátne transpozičné opatrenie nesprávne uvedený odsek 24 (v rámci § 73b). Má ísť o odsek 25, čo navrhujeme opraviť.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2024/790</w:t>
              <w:br/>
            </w:r>
            <w:r>
              <w:rPr>
                <w:b w:val="off"/>
                <w:color w:val="000000"/>
                <w:rFonts w:ascii="Times New Roman" w:hAnsi="Times New Roman" w:cs="Times New Roman" w:eastAsia="Times New Roman"/>
                <w:sz w:val="24"/>
              </w:rPr>
              <w:t xml:space="preserve">V rámci transpozície čl. 1 ods. 12 smernice (EÚ) 2024/790 sa domnievame, že vnútroštátnym transpozičným ustanovením nie je navrhovaný § 58 ods. 1 v čl. II, ale účinný § 60 zákona o burze CP, čo navrhujeme upraviť.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2024/790 a k transpozícii tejto smernice</w:t>
              <w:br/>
            </w:r>
            <w:r>
              <w:rPr>
                <w:b w:val="off"/>
                <w:color w:val="000000"/>
                <w:rFonts w:ascii="Times New Roman" w:hAnsi="Times New Roman" w:cs="Times New Roman" w:eastAsia="Times New Roman"/>
                <w:sz w:val="24"/>
              </w:rPr>
              <w:t xml:space="preserve">Transpozícia čl. 1 ods. 11 písm. d) smernice (EÚ) 2024/790 sa vyhodnotila ako nepotrebná, čo navrhujeme prehodnotiť a do čl. II návrhu zákona zakotviť (napr. v novom odseku 8 vloženom do § 57b), že podávaním správ podľa § 57b ods. 1 písm. a) zákona o burze CP nie sú dotknuté povinnosti podľa osobitného zákona č. 414/2012 Z. z. o obchodovaní s emisnými kvótami.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2024/790</w:t>
              <w:br/>
            </w:r>
            <w:r>
              <w:rPr>
                <w:b w:val="off"/>
                <w:color w:val="000000"/>
                <w:rFonts w:ascii="Times New Roman" w:hAnsi="Times New Roman" w:cs="Times New Roman" w:eastAsia="Times New Roman"/>
                <w:sz w:val="24"/>
              </w:rPr>
              <w:t xml:space="preserve">V rámci transpozície čl. 1 ods. 11 písm. c) bod ii) smernice (EÚ) 2024/790 sa v stĺpci tabuľky zhody pri vnútroštátnom právnom predpise uvádza čl. II bod 23 návrhu zákona, hoci má ísť o čl. II bod 42 návrhu zákona, čo navrhujeme upraviť.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2024/790 a k transpozícii tejto smernice</w:t>
              <w:br/>
            </w:r>
            <w:r>
              <w:rPr>
                <w:b w:val="off"/>
                <w:color w:val="000000"/>
                <w:rFonts w:ascii="Times New Roman" w:hAnsi="Times New Roman" w:cs="Times New Roman" w:eastAsia="Times New Roman"/>
                <w:sz w:val="24"/>
              </w:rPr>
              <w:t xml:space="preserve">Pri transpozícii čl. 1 ods. 11 písm. b) smernice (EÚ) 2024/790 sa v rámci čl. II v navrhovanom § 57b ods. 3 zachováva pôvodný odkaz 68a a poznámka pod čiarou k tomuto odkazu, ktorá obsahuje obe nariadenia EÚ, hoci z textu smernice vyplýva, že by malo ísť skôr o dva samostatné odkazy, na dve rôzne nariadeniami EÚ. Navrhujeme text návrhu zákona precizovať v zmysle smernice.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so smernicou (EÚ) 2024/790 a k transpozícii tejto smernice</w:t>
              <w:br/>
            </w:r>
            <w:r>
              <w:rPr>
                <w:b w:val="off"/>
                <w:color w:val="000000"/>
                <w:rFonts w:ascii="Times New Roman" w:hAnsi="Times New Roman" w:cs="Times New Roman" w:eastAsia="Times New Roman"/>
                <w:sz w:val="24"/>
              </w:rPr>
              <w:t xml:space="preserve">V rámci transpozície čl. 1 ods. 6  smernice (EÚ) 2024/790 nie je v rámci čl. II v navrhovanom § 14 ods. 5 písm. i) prevzatý prvok toho, či je člen „skutočne (reálne)“ aktívny. Navrhujeme doplniť do textu návrhu zákona.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 xml:space="preserve">Informáciu o prebiehajúcom infringemente INFR (2024)2219 navrhujeme z bodu 4 písm. b) doložky zlučiteľnosti vypustiť, keďže na základe verejne dostupnej informácie Komisia toto konanie voči SR dňa 12.3.2025 zastavila.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(všeobecne)</w:t>
              <w:br/>
            </w:r>
            <w:r>
              <w:rPr>
                <w:b w:val="off"/>
                <w:color w:val="000000"/>
                <w:rFonts w:ascii="Times New Roman" w:hAnsi="Times New Roman" w:cs="Times New Roman" w:eastAsia="Times New Roman"/>
                <w:sz w:val="24"/>
              </w:rPr>
              <w:t>Navrhujeme zosúladiť dôvodovú správu so znením návrhov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(čl. I body 18, 21, 22 a 24)</w:t>
              <w:br/>
            </w:r>
            <w:r>
              <w:rPr>
                <w:b w:val="off"/>
                <w:color w:val="000000"/>
                <w:rFonts w:ascii="Times New Roman" w:hAnsi="Times New Roman" w:cs="Times New Roman" w:eastAsia="Times New Roman"/>
                <w:sz w:val="24"/>
              </w:rPr>
              <w:t xml:space="preserve">Navrhujeme zvážiť úpravu opakujúcich sa odôvodnení k bodom 18, 21, 22 a 24 o zosúladení s čl. 1 bodom 9 nariadenia (EÚ) 2024/2809, keďže v prípade bodov 21, 22 a 24 ide zrejme skôr o úpravu v nadväznosti na prečíslovanie odsekov, ku ktorému došlo v bode 20.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(čl. I bod 5 - § 54 ods. 16 a 17)</w:t>
              <w:br/>
            </w:r>
            <w:r>
              <w:rPr>
                <w:b w:val="off"/>
                <w:color w:val="000000"/>
                <w:rFonts w:ascii="Times New Roman" w:hAnsi="Times New Roman" w:cs="Times New Roman" w:eastAsia="Times New Roman"/>
                <w:sz w:val="24"/>
              </w:rPr>
              <w:t xml:space="preserve">Dôvodovú správu k ustanoveniam § 54 ods. 16 a 17 navrhujeme upraviť nasledovne: </w:t>
              <w:br/>
            </w:r>
            <w:r>
              <w:rPr>
                <w:b w:val="off"/>
                <w:color w:val="000000"/>
                <w:rFonts w:ascii="Times New Roman" w:hAnsi="Times New Roman" w:cs="Times New Roman" w:eastAsia="Times New Roman"/>
                <w:sz w:val="24"/>
              </w:rPr>
              <w:t xml:space="preserve">„Ide o úpravu, ktorá povoľuje obchodníkom s cennými papiermi vykonávanie ďalších podnikateľských činností, ktoré súvisia so službami na finančnom trhu alebo správou vlastného majetku. Činnosťami súvisiacimi so službami na finančnom trhu sa rozumejú najmä činnosti vo vzťahu k stavebnému sporeniu, hypotekárnym alebo iným úverom, poisteniu alebo zaisteniu, doplnkovému dôchodkovému sporeniu, starobnému dôchodkovému sporeniua alebo vývoj a poskytovanie IT riešení súvisiacich s investičnými službami. Medzi činnosti súvisiace so správou vlastného majetku je možné zaradiť nepodnikateľské aj podnikateľské činnosti, najmä vydavateľskú činnosť, prevádzkovanie verejnej knihovne, predaj prebytkov elektrickej energie zo solárnych kolektorov, prenájom priestorov, prevádzkovanie skladu, činnosť podnikateľských, organizačných a ekonomických poradcov a pod. </w:t>
              <w:br/>
            </w:r>
            <w:r>
              <w:rPr>
                <w:b w:val="off"/>
                <w:color w:val="000000"/>
                <w:rFonts w:ascii="Times New Roman" w:hAnsi="Times New Roman" w:cs="Times New Roman" w:eastAsia="Times New Roman"/>
                <w:sz w:val="24"/>
              </w:rPr>
              <w:t xml:space="preserve">Vykonávanie ďalších podnikateľských činností  upravených v tomto ustanovení je možné iba za predpokladu, že zámer vykonávania týchto činností obchodník s cennými papiermi písomne oznámi Národnej banke Slovenska a že takáto činností neohrozí riadne poskytovanie investičných služieb. </w:t>
              <w:br/>
            </w:r>
            <w:r>
              <w:rPr>
                <w:b w:val="off"/>
                <w:color w:val="000000"/>
                <w:rFonts w:ascii="Times New Roman" w:hAnsi="Times New Roman" w:cs="Times New Roman" w:eastAsia="Times New Roman"/>
                <w:sz w:val="24"/>
              </w:rPr>
              <w:t xml:space="preserve">Ustanovenie ďalej obsahuje detaily oznámenia, ktoré má zabezpečiť dostatočné informácie o činnosti obchodníka s cennými papiermi, ktoré plánuje vykonávať nad rámec povolenia na poskytovanie investičných služieb.  </w:t>
              <w:br/>
            </w:r>
            <w:r>
              <w:rPr>
                <w:b w:val="off"/>
                <w:color w:val="000000"/>
                <w:rFonts w:ascii="Times New Roman" w:hAnsi="Times New Roman" w:cs="Times New Roman" w:eastAsia="Times New Roman"/>
                <w:sz w:val="24"/>
              </w:rPr>
              <w:t>Ustanovenie odseku 17 upravuje postup Národnej banky Slovenska pri posudzovaní vhodnosti konkrétnej činnosti vo vzťahu k poskytovaniu investičných služieb obchodníkom s cennými papiermi.“.</w:t>
              <w:br/>
            </w:r>
            <w:r>
              <w:rPr>
                <w:b w:val="off"/>
                <w:color w:val="000000"/>
                <w:rFonts w:ascii="Times New Roman" w:hAnsi="Times New Roman" w:cs="Times New Roman" w:eastAsia="Times New Roman"/>
                <w:sz w:val="24"/>
              </w:rPr>
              <w:t>Odôvodnenie: Spresnenie odôvodnenia k vybraným ustanoveniam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(čl. I bod 4 - § 54 ods. 7)</w:t>
              <w:br/>
            </w:r>
            <w:r>
              <w:rPr>
                <w:b w:val="off"/>
                <w:color w:val="000000"/>
                <w:rFonts w:ascii="Times New Roman" w:hAnsi="Times New Roman" w:cs="Times New Roman" w:eastAsia="Times New Roman"/>
                <w:sz w:val="24"/>
              </w:rPr>
              <w:t>Odporúčame spresniť dôvodovú správu k § 54 ods. 7 v tom zmysle, aby akékoľvek služby a činnosti, ktoré obchodník s cennými papiermi môže vykonávať, neboli podmienené výlučne informačnou povinnosťou vo vzťahu k Národnej banke Slovenka, nasledovne: „Ide o úpravu vyplývajúcu z praxe, pričom zmenou ustanovenia sa upravuje možnosť poskytovať aj iné služby a činnosti obchodníkom s cennými papiermi, ktoré priamo nemá uvedené v povolení na poskytovanie investičných služieb, aby sa zákonné ustanovenia zosúladili so smernicou MiFID II č. 2004/39/ES, ktorá pripúšťa, aby obchodník s cennými papiermi popri poskytovaní investičných služieb vykonával aj ďalšie činnosti súvisiace s podnikaním na finančnom trhu. Ďalšie činnosti podľa tohto ustanovenia môže obchodník s cennými papiermi poskytovať a vykonávať nad rámec povolenia na poskytovanie investičných služieb bez ďalšieho, ak je to výslovne upravené v tomto zákone alebo v osobitných predpisoch, alebo ak je na výkon týchto činností potrebné osobitné povolenie podľa osobitných predpisov, ktoré získal.“.</w:t>
              <w:br/>
            </w:r>
            <w:r>
              <w:rPr>
                <w:b w:val="off"/>
                <w:color w:val="000000"/>
                <w:rFonts w:ascii="Times New Roman" w:hAnsi="Times New Roman" w:cs="Times New Roman" w:eastAsia="Times New Roman"/>
                <w:sz w:val="24"/>
              </w:rPr>
              <w:t>Odôvodnenie: Obchodník s cennými papiermi môže mať zámer vykonávať aj také činnosti, na ktoré je potrebné povolenie od Národnej banky Slovenska alebo od iného príslušného orgánu, a zároveň môže vykonávať služby, na ktoré je oprávnený podľa tohto zákona alebo osobitných predpisov aj bez ďalšieho.“.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Účinnosť čl. II bodu 45 navrhujeme naviazať na zrušenie smernice 2001/34/ES v čl. 2 smernice (EÚ) 2024/2811, čo má členský štát zabezpečiť od 6. júna 2026. Účinnosť čl. II bodu 45 sa však navrhuje už od 29. septembra 2025.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Účinnosť čl. II bodu 29 navrhujeme zosúladiť s čl. 1 ods. 1 smernice (EÚ) 2024/2811, ktorého účinnosť má členský štát zabezpečiť od 6. júna 2026. V čl. III sa účinnosť bodu 29 navrhuje už od 29. septembra 2025.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Účinnosť čl. II bodoch 24 a 28 navrhujeme zosúladiť s čl. 1 ods.  7 písm. a) bod ii), resp. čl. 1 ods. 5 smernice (EÚ) 2024/790, ktorých účinnosť má členský štát zabezpečiť od 29. septembra 2025. V čl. III sa účinnosť týchto ustanovení navrhuje až od 6. júna 2026. </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Účinnosť čl. II bodu 11 navrhujeme naviazať na zrušenie smernice 2001/34/ES v čl. 2 smernice (EÚ) 2024/2811, čo má členský štát zabezpečiť od 6. júna 2026. Účinnosť čl. II bodu 11 sa však navrhuje už od 29. septembra 2025 (účinnosť čl. II bodov 12 až 17, 19, 25 až 27, v ktorých sa tiež reaguje na zrušenie smernice 2001/34/ES, sa však už navrhuje správne od 6. júna 2026).</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Navrhujeme upraviť účinnosť čl. I bodu 23, ktorá sa navrhuje už od 29. septembra 2025, a to zosúladením s čl. 1 ods. 5 smernice (EÚ) 2024/2811, ktorého účinnosť má členský štát zabezpečiť od 6. júna 2026. </w:t>
              <w:br/>
            </w:r>
            <w:r>
              <w:rPr>
                <w:b w:val="off"/>
                <w:color w:val="000000"/>
                <w:rFonts w:ascii="Times New Roman" w:hAnsi="Times New Roman" w:cs="Times New Roman" w:eastAsia="Times New Roman"/>
                <w:sz w:val="24"/>
              </w:rPr>
              <w:t>V tejto súvislosti navrhujeme upraviť aj osobitnú časť dôvodovej správy, kde sa k bodu 23 uvádza, že ide o transpozíciu článku 1(12) smernice (EÚ) 2024/790.</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Navrhujeme upraviť účinnosť čl. I bodov 15, 16, 21, 22 a 24, ktoré obsahujú úpravu vnútorných odkazov v nadväznosti na zmeny v číslovaní odsekov v čl. I bode 20 (§ 135 zákona o cenných papieroch). Účinnosť čl. I bodu 20 sa navrhuje (v súlade so smernicou (EÚ) 2024/2994) od 25. júna 2026, zatiaľ čo účinnosť čl. I bodov 15, 16, 21, 22 a 24 má v zmysle čl. III nastať už 29. septembra 2025. Účinnosť týchto bodov by však mala nastať tiež až od 25. júna 2026.</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Navrhujeme upraviť účinnosť čl. I bodu 18, keďže v zmysle návrhu zákona by toto ustanovenie malo nadobudnúť účinnosť aj 5. júna 2026, aj 25. júna 2026.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44 (§ 58 ods. 1)</w:t>
              <w:br/>
            </w:r>
            <w:r>
              <w:rPr>
                <w:b w:val="off"/>
                <w:color w:val="000000"/>
                <w:rFonts w:ascii="Times New Roman" w:hAnsi="Times New Roman" w:cs="Times New Roman" w:eastAsia="Times New Roman"/>
                <w:sz w:val="24"/>
              </w:rPr>
              <w:t xml:space="preserve">Bod 44 navrhujeme vypustiť. 	</w:t>
              <w:br/>
            </w:r>
            <w:r>
              <w:rPr>
                <w:b w:val="off"/>
                <w:color w:val="000000"/>
                <w:rFonts w:ascii="Times New Roman" w:hAnsi="Times New Roman" w:cs="Times New Roman" w:eastAsia="Times New Roman"/>
                <w:sz w:val="24"/>
              </w:rPr>
              <w:t>Odôvodnenie: Ide o duplicitu vo vzťahu k subjektom, ktoré sú dohliadané. Štandardne sa ustanovenia o dohľade týkajú subjektov, ktorým vyplývajú povinnosti (aj tie, čo sú uvedené v navrhovanom znení), či už priamo zo zákona alebo osobitných predpisov. Ide o nesprávny legislatívny koncept uchopenia dohľadu. Národná banka Slovenska vždy dohliada plnenie povinností podľa relevantných predpisov, ktoré sa vzťahujú na dohliadané subjekty vymenované v ustanovení § 58, prípadne v zákone č. 747/2004 Z. z., a teda ide o nesystematickú duplicitu.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33 (§ 56 ods. 10)</w:t>
              <w:br/>
            </w:r>
            <w:r>
              <w:rPr>
                <w:b w:val="off"/>
                <w:color w:val="000000"/>
                <w:rFonts w:ascii="Times New Roman" w:hAnsi="Times New Roman" w:cs="Times New Roman" w:eastAsia="Times New Roman"/>
                <w:sz w:val="24"/>
              </w:rPr>
              <w:t xml:space="preserve">V bode 33 navrhujeme zvážiť prehodnotiť uplatnenie tejto národnej voľby.	</w:t>
              <w:br/>
            </w:r>
            <w:r>
              <w:rPr>
                <w:b w:val="off"/>
                <w:color w:val="000000"/>
                <w:rFonts w:ascii="Times New Roman" w:hAnsi="Times New Roman" w:cs="Times New Roman" w:eastAsia="Times New Roman"/>
                <w:sz w:val="24"/>
              </w:rPr>
              <w:t>Odôvodnenie: Pred zavedením takejto požiadavky je potrebné sa rozhodnúť, či je vhodné uplatniť si túto národnú voľbu (hoci nemáme rastový trh a ani analýzu podporujúcu odôvodnené osobitné vnútroštátne obavy týkajúce sa integrity trhu). V prípade uplatnenia voľby je na zváženie vhodné zakomponovanie tohto ustanovenia v rámci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31 (§ 56 ods. 4 písm. a))</w:t>
              <w:br/>
            </w:r>
            <w:r>
              <w:rPr>
                <w:b w:val="off"/>
                <w:color w:val="000000"/>
                <w:rFonts w:ascii="Times New Roman" w:hAnsi="Times New Roman" w:cs="Times New Roman" w:eastAsia="Times New Roman"/>
                <w:sz w:val="24"/>
              </w:rPr>
              <w:t xml:space="preserve">V § 56 ods. 4 písm. a) navrhujeme slová „alebo obchodníkom s cennými papiermi prevádzkujúcimi“ navrhujeme nahradiť slovom  „prevádzkujúcou“.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27 (§ 51 ods. 6)</w:t>
              <w:br/>
            </w:r>
            <w:r>
              <w:rPr>
                <w:b w:val="off"/>
                <w:color w:val="000000"/>
                <w:rFonts w:ascii="Times New Roman" w:hAnsi="Times New Roman" w:cs="Times New Roman" w:eastAsia="Times New Roman"/>
                <w:sz w:val="24"/>
              </w:rPr>
              <w:t>Znenie bodu 27 navrhujeme upraviť takto: „27. V § 51 ods. 6 sa slová „§ 26 ods. 6 a 7 prvej vety a § 29 ods. 1 písm. j)“ nahrádzajú slovami „§ 26 a 29“.“.</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Navrhnuté ustanovenie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26 (§ 51 ods. 4)</w:t>
              <w:br/>
            </w:r>
            <w:r>
              <w:rPr>
                <w:b w:val="off"/>
                <w:color w:val="000000"/>
                <w:rFonts w:ascii="Times New Roman" w:hAnsi="Times New Roman" w:cs="Times New Roman" w:eastAsia="Times New Roman"/>
                <w:sz w:val="24"/>
              </w:rPr>
              <w:t>Bod 26 navrhujeme vypustiť, prípadne upraviť v nadväznosti na finálne znenie § 26.</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25 (§ 40 ods. 2)</w:t>
              <w:br/>
            </w:r>
            <w:r>
              <w:rPr>
                <w:b w:val="off"/>
                <w:color w:val="000000"/>
                <w:rFonts w:ascii="Times New Roman" w:hAnsi="Times New Roman" w:cs="Times New Roman" w:eastAsia="Times New Roman"/>
                <w:sz w:val="24"/>
              </w:rPr>
              <w:t xml:space="preserve">Znenie § 40 ods. 2 navrhujeme upraviť v nadväznosti na finálne znenie § 26.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22 (§ 38a ods. 1)</w:t>
              <w:br/>
            </w:r>
            <w:r>
              <w:rPr>
                <w:b w:val="off"/>
                <w:color w:val="000000"/>
                <w:rFonts w:ascii="Times New Roman" w:hAnsi="Times New Roman" w:cs="Times New Roman" w:eastAsia="Times New Roman"/>
                <w:sz w:val="24"/>
              </w:rPr>
              <w:t xml:space="preserve">Z navrhovaného znenia § 38a ods. 1 navrhujeme vypustiť slová „a vo výnimočných situáciách, aby bolo možné zrušiť, zmeniť alebo opraviť akúkoľvek transakciu“.	</w:t>
              <w:br/>
            </w:r>
            <w:r>
              <w:rPr>
                <w:b w:val="off"/>
                <w:color w:val="000000"/>
                <w:rFonts w:ascii="Times New Roman" w:hAnsi="Times New Roman" w:cs="Times New Roman" w:eastAsia="Times New Roman"/>
                <w:sz w:val="24"/>
              </w:rPr>
              <w:t>Odôvodnenie: Legislatívno-technická pripomienka (ide o duplicitu – uvedené sa už nachádza v ustanovení § 38a ods. 2 prvá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návrhu zákona)</w:t>
              <w:br/>
            </w:r>
            <w:r>
              <w:rPr>
                <w:b w:val="off"/>
                <w:color w:val="000000"/>
                <w:rFonts w:ascii="Times New Roman" w:hAnsi="Times New Roman" w:cs="Times New Roman" w:eastAsia="Times New Roman"/>
                <w:sz w:val="24"/>
              </w:rPr>
              <w:t xml:space="preserve">Platný § 30 navrhujeme upraviť.	</w:t>
              <w:br/>
            </w:r>
            <w:r>
              <w:rPr>
                <w:b w:val="off"/>
                <w:color w:val="000000"/>
                <w:rFonts w:ascii="Times New Roman" w:hAnsi="Times New Roman" w:cs="Times New Roman" w:eastAsia="Times New Roman"/>
                <w:sz w:val="24"/>
              </w:rPr>
              <w:t>Odôvodnenie: Aktuálne platný § 30 je potrebné upraviť tak, aby nebol v rozpore s § 29a a zároveň stanovoval prísnejšie alebo dodatočné požiadavky k požiadavkám uvedeným v § 29 a 29a.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18 (§ 30)</w:t>
              <w:br/>
            </w:r>
            <w:r>
              <w:rPr>
                <w:b w:val="off"/>
                <w:color w:val="000000"/>
                <w:rFonts w:ascii="Times New Roman" w:hAnsi="Times New Roman" w:cs="Times New Roman" w:eastAsia="Times New Roman"/>
                <w:sz w:val="24"/>
              </w:rPr>
              <w:t>V bode 18 navrhujeme upraviť úvodnú vetu takto:</w:t>
              <w:br/>
            </w:r>
            <w:r>
              <w:rPr>
                <w:b w:val="off"/>
                <w:color w:val="000000"/>
                <w:rFonts w:ascii="Times New Roman" w:hAnsi="Times New Roman" w:cs="Times New Roman" w:eastAsia="Times New Roman"/>
                <w:sz w:val="24"/>
              </w:rPr>
              <w:t>„18. Za § 29 sa vkladá § 29a, ktorý vrátane nadpisu znie:“.</w:t>
              <w:br/>
            </w:r>
            <w:r>
              <w:rPr>
                <w:b w:val="off"/>
                <w:color w:val="000000"/>
                <w:rFonts w:ascii="Times New Roman" w:hAnsi="Times New Roman" w:cs="Times New Roman" w:eastAsia="Times New Roman"/>
                <w:sz w:val="24"/>
              </w:rPr>
              <w:t>V nadväznosti na to je potrebné označenie „§ 30“ nahradiť označením „§ 29a“.</w:t>
              <w:br/>
            </w:r>
            <w:r>
              <w:rPr>
                <w:b w:val="off"/>
                <w:color w:val="000000"/>
                <w:rFonts w:ascii="Times New Roman" w:hAnsi="Times New Roman" w:cs="Times New Roman" w:eastAsia="Times New Roman"/>
                <w:sz w:val="24"/>
              </w:rPr>
              <w:t xml:space="preserve">Zároveň navrhujeme v  § 30 (29a) ods. 5 a 6 slová „odseku 3“ nahradiť slovami „odseku 4“.  </w:t>
              <w:br/>
            </w:r>
            <w:r>
              <w:rPr>
                <w:b w:val="off"/>
                <w:color w:val="000000"/>
                <w:rFonts w:ascii="Times New Roman" w:hAnsi="Times New Roman" w:cs="Times New Roman" w:eastAsia="Times New Roman"/>
                <w:sz w:val="24"/>
              </w:rPr>
              <w:t>Odôvodnenie: Legislatívno-technická pripomienka vzhľadom na nevypustenie platného § 30 a opravenie nesprávneho vnútorného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17 (§ 29 ods. 4)</w:t>
              <w:br/>
            </w:r>
            <w:r>
              <w:rPr>
                <w:b w:val="off"/>
                <w:color w:val="000000"/>
                <w:rFonts w:ascii="Times New Roman" w:hAnsi="Times New Roman" w:cs="Times New Roman" w:eastAsia="Times New Roman"/>
                <w:sz w:val="24"/>
              </w:rPr>
              <w:t>V bode 17 navrhujeme v nadväznosti na prečíslovanie odsekov v bode 16 slová „§ 29 ods. 4“ nahradiť slovami „§ 29 ods. 2“ a vypustiť slová „v prípade“ z dôvodu duplicity.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 29(4), keďže odseky neboli prečíslované.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16 (§ 29 ods. 2 a 3)</w:t>
              <w:br/>
            </w:r>
            <w:r>
              <w:rPr>
                <w:b w:val="off"/>
                <w:color w:val="000000"/>
                <w:rFonts w:ascii="Times New Roman" w:hAnsi="Times New Roman" w:cs="Times New Roman" w:eastAsia="Times New Roman"/>
                <w:sz w:val="24"/>
              </w:rPr>
              <w:t>Navrhujeme prehodnotiť vypustenie tohto bodu, resp. jeho úpravu v závislosti od úpravy bodu 15 (§ 29 ods.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ustanovenia boli ponechané, keďže bol ponechaný aj odsek 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15 (nad rámec návrhu zákona)</w:t>
              <w:br/>
            </w:r>
            <w:r>
              <w:rPr>
                <w:b w:val="off"/>
                <w:color w:val="000000"/>
                <w:rFonts w:ascii="Times New Roman" w:hAnsi="Times New Roman" w:cs="Times New Roman" w:eastAsia="Times New Roman"/>
                <w:sz w:val="24"/>
              </w:rPr>
              <w:t>V § 29 ods. 1 písm. i) navrhujeme na konci doplniť tieto slová: „ani pre fondy s premenlivým základným imaním,“.“.</w:t>
              <w:br/>
            </w:r>
            <w:r>
              <w:rPr>
                <w:b w:val="off"/>
                <w:color w:val="000000"/>
                <w:rFonts w:ascii="Times New Roman" w:hAnsi="Times New Roman" w:cs="Times New Roman" w:eastAsia="Times New Roman"/>
                <w:sz w:val="24"/>
              </w:rPr>
              <w:t>Odôvodnenie: Zapracovanie požiadavky, ktorá vyplynula z aplikačnej praxe. Zároveň navrhujeme zanalyzovať potrebu ďalšej úpravy § 29 s cieľom zosúladiť znenie s aktuálnym stavom na trhu, ako aj európskou legislatívou.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15</w:t>
              <w:br/>
            </w:r>
            <w:r>
              <w:rPr>
                <w:b w:val="off"/>
                <w:color w:val="000000"/>
                <w:rFonts w:ascii="Times New Roman" w:hAnsi="Times New Roman" w:cs="Times New Roman" w:eastAsia="Times New Roman"/>
                <w:sz w:val="24"/>
              </w:rPr>
              <w:t>V texte bodu 15 navrhujeme vypustiť navrhovanú úpravu § 29 ods. 1 a nahradiť ju takto:</w:t>
              <w:br/>
            </w:r>
            <w:r>
              <w:rPr>
                <w:b w:val="off"/>
                <w:color w:val="000000"/>
                <w:rFonts w:ascii="Times New Roman" w:hAnsi="Times New Roman" w:cs="Times New Roman" w:eastAsia="Times New Roman"/>
                <w:sz w:val="24"/>
              </w:rPr>
              <w:t>„15. V § 29 ods. 1 písm. g) sa za slovo „zákon“ vkladajú slová „alebo osobitný predpis47a)“.</w:t>
              <w:br/>
            </w:r>
            <w:r>
              <w:rPr>
                <w:b w:val="off"/>
                <w:color w:val="000000"/>
                <w:rFonts w:ascii="Times New Roman" w:hAnsi="Times New Roman" w:cs="Times New Roman" w:eastAsia="Times New Roman"/>
                <w:sz w:val="24"/>
              </w:rPr>
              <w:t xml:space="preserve">Poznámka pod čiarou k odkazu 47a znie: </w:t>
              <w:br/>
            </w:r>
            <w:r>
              <w:rPr>
                <w:b w:val="off"/>
                <w:color w:val="000000"/>
                <w:rFonts w:ascii="Times New Roman" w:hAnsi="Times New Roman" w:cs="Times New Roman" w:eastAsia="Times New Roman"/>
                <w:sz w:val="24"/>
              </w:rPr>
              <w:t xml:space="preserve">„Čl. 1 nariadenia (EÚ) 2017/1129 v platnom znení.“.“.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14 (§ 28 ods. 1)</w:t>
              <w:br/>
            </w:r>
            <w:r>
              <w:rPr>
                <w:b w:val="off"/>
                <w:color w:val="000000"/>
                <w:rFonts w:ascii="Times New Roman" w:hAnsi="Times New Roman" w:cs="Times New Roman" w:eastAsia="Times New Roman"/>
                <w:sz w:val="24"/>
              </w:rPr>
              <w:t>Bod 14 navrhujeme vypustiť vzhľadom na návrh nevypustiť bod 11 - § 26 ods. 1 a 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návrhu zákona)</w:t>
              <w:br/>
            </w:r>
            <w:r>
              <w:rPr>
                <w:b w:val="off"/>
                <w:color w:val="000000"/>
                <w:rFonts w:ascii="Times New Roman" w:hAnsi="Times New Roman" w:cs="Times New Roman" w:eastAsia="Times New Roman"/>
                <w:sz w:val="24"/>
              </w:rPr>
              <w:t xml:space="preserve">V § 26 ods. 10 navrhujeme slová „v celoštátnej tlači uverejňujúcej burzové správy“ nahradiť slovami „na svojom webovom sídle“.	</w:t>
              <w:br/>
            </w:r>
            <w:r>
              <w:rPr>
                <w:b w:val="off"/>
                <w:color w:val="000000"/>
                <w:rFonts w:ascii="Times New Roman" w:hAnsi="Times New Roman" w:cs="Times New Roman" w:eastAsia="Times New Roman"/>
                <w:sz w:val="24"/>
              </w:rPr>
              <w:t>Odôvodnenie: Úprava navrhnutá v rámci Simplification and burden reduction. V súčasnosti už nepovažujeme za nevyhnutné zverejňovanie takýchto informácii v celoštátnej tlači a považujeme za postačujúce ich uverejnenie na webovom sídle burzy.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návrhu zákona)</w:t>
              <w:br/>
            </w:r>
            <w:r>
              <w:rPr>
                <w:b w:val="off"/>
                <w:color w:val="000000"/>
                <w:rFonts w:ascii="Times New Roman" w:hAnsi="Times New Roman" w:cs="Times New Roman" w:eastAsia="Times New Roman"/>
                <w:sz w:val="24"/>
              </w:rPr>
              <w:t xml:space="preserve">V § 26 ods. 5 navrhujeme vypustiť slová „a žiadosť o prijatie cenného papiera na regulovaný voľný trh“.	</w:t>
              <w:br/>
            </w:r>
            <w:r>
              <w:rPr>
                <w:b w:val="off"/>
                <w:color w:val="000000"/>
                <w:rFonts w:ascii="Times New Roman" w:hAnsi="Times New Roman" w:cs="Times New Roman" w:eastAsia="Times New Roman"/>
                <w:sz w:val="24"/>
              </w:rPr>
              <w:t>Odôvodnenie: Legislatívno-technická pripomienka (odstránenie nesúladu s EÚ predpismi).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12 (§ 26 ods. 3)</w:t>
              <w:br/>
            </w:r>
            <w:r>
              <w:rPr>
                <w:b w:val="off"/>
                <w:color w:val="000000"/>
                <w:rFonts w:ascii="Times New Roman" w:hAnsi="Times New Roman" w:cs="Times New Roman" w:eastAsia="Times New Roman"/>
                <w:sz w:val="24"/>
              </w:rPr>
              <w:t xml:space="preserve">Bod 12 navrhujeme vypustiť, prípadne urobiť dodatočné úpravy v nadväznosti na požiadavky z aplikačnej praxe.  	</w:t>
              <w:br/>
            </w:r>
            <w:r>
              <w:rPr>
                <w:b w:val="off"/>
                <w:color w:val="000000"/>
                <w:rFonts w:ascii="Times New Roman" w:hAnsi="Times New Roman" w:cs="Times New Roman" w:eastAsia="Times New Roman"/>
                <w:sz w:val="24"/>
              </w:rPr>
              <w:t>Odôvodnenie: V nadväznosti na pripomienku k bodu 11, a teda nevypustenia § 26 ods. 1 a 2, ide o irelevantné úpravy. Naopak, navrhujeme v prípade potreby urobiť úpravy vecného charakteru s cieľom prispôsobiť znenie tohto ustanovenia dnešným potrebám a aktuálnym požiadavkám stanoveným v európskej legislatíve.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11 (§ 26 ods. 1 a 2)</w:t>
              <w:br/>
            </w:r>
            <w:r>
              <w:rPr>
                <w:b w:val="off"/>
                <w:color w:val="000000"/>
                <w:rFonts w:ascii="Times New Roman" w:hAnsi="Times New Roman" w:cs="Times New Roman" w:eastAsia="Times New Roman"/>
                <w:sz w:val="24"/>
              </w:rPr>
              <w:t>§ 26 ods. 1 a 2 navrhujeme nevypúšťať, odsek 2 navrhujeme upraviť tak, aby zohľadňoval aktuálnu situáciu a znenia európskych právnych predpisov a poznámku pod čiarou k odkazu 39a opraviť z dôvodu nesprávne uvedeného ustanovenia takto:</w:t>
              <w:br/>
            </w:r>
            <w:r>
              <w:rPr>
                <w:b w:val="off"/>
                <w:color w:val="000000"/>
                <w:rFonts w:ascii="Times New Roman" w:hAnsi="Times New Roman" w:cs="Times New Roman" w:eastAsia="Times New Roman"/>
                <w:sz w:val="24"/>
              </w:rPr>
              <w:t xml:space="preserve">„Poznámka pod čiarou k odkazu 39a znie: </w:t>
              <w:br/>
            </w:r>
            <w:r>
              <w:rPr>
                <w:b w:val="off"/>
                <w:color w:val="000000"/>
                <w:rFonts w:ascii="Times New Roman" w:hAnsi="Times New Roman" w:cs="Times New Roman" w:eastAsia="Times New Roman"/>
                <w:sz w:val="24"/>
              </w:rPr>
              <w:t>„39a) § 7 ods. 26 zákona č. 566/2001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9 (poznámka pod čiarou k odkazu 39)</w:t>
              <w:br/>
            </w:r>
            <w:r>
              <w:rPr>
                <w:b w:val="off"/>
                <w:color w:val="000000"/>
                <w:rFonts w:ascii="Times New Roman" w:hAnsi="Times New Roman" w:cs="Times New Roman" w:eastAsia="Times New Roman"/>
                <w:sz w:val="24"/>
              </w:rPr>
              <w:t>Bod 9 navrhujeme označiť ako bod 8 a doterajší bod 8 ako bod 9, keďže poznámka pod čiarou k odkazu 39 sa prvýkrát uvádza v § 25 ods. 3.</w:t>
              <w:br/>
            </w:r>
            <w:r>
              <w:rPr>
                <w:b w:val="off"/>
                <w:color w:val="000000"/>
                <w:rFonts w:ascii="Times New Roman" w:hAnsi="Times New Roman" w:cs="Times New Roman" w:eastAsia="Times New Roman"/>
                <w:sz w:val="24"/>
              </w:rPr>
              <w:t>Zároveň, v súvislosti s poznámkou pod čiarou k odkazu 39, navrhujeme zvážiť zvoliť inú legislatívnu techniku. V zmysle bodu 62.3 prílohy č. 1 k Legislatívnym pravidlám vlády SR nie je vhodné, aby sa v poznámke pod čiarou k odkazu 39 pri odkaze na osobitný zákon pokračovalo v kumulovaní odkazov aj na nariadenie EÚ, keďže odkaz 39 sa viaže len na slová „osobitný zákon“.</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7 (§ 25 ods. 2)</w:t>
              <w:br/>
            </w:r>
            <w:r>
              <w:rPr>
                <w:b w:val="off"/>
                <w:color w:val="000000"/>
                <w:rFonts w:ascii="Times New Roman" w:hAnsi="Times New Roman" w:cs="Times New Roman" w:eastAsia="Times New Roman"/>
                <w:sz w:val="24"/>
              </w:rPr>
              <w:t xml:space="preserve">Znenie § 25 ods. 2 navrhujeme upraviť takto: </w:t>
              <w:br/>
            </w:r>
            <w:r>
              <w:rPr>
                <w:b w:val="off"/>
                <w:color w:val="000000"/>
                <w:rFonts w:ascii="Times New Roman" w:hAnsi="Times New Roman" w:cs="Times New Roman" w:eastAsia="Times New Roman"/>
                <w:sz w:val="24"/>
              </w:rPr>
              <w:t xml:space="preserve">„(2) Regulovaný voľný trh burzy je regulovaným trhom burzy, na ktorom prijaté cenné papiere a ich emitenti spĺňajú podmienky na prijatie podľa § 29 a 29a. Trh kótovaných cenných papierov je regulovaným trhom burzy, na ktorom prijaté cenné papiere a ich emitenti spĺňajú podmienky na prijatie podľa § 29 až 32.“.	</w:t>
              <w:br/>
            </w:r>
            <w:r>
              <w:rPr>
                <w:b w:val="off"/>
                <w:color w:val="000000"/>
                <w:rFonts w:ascii="Times New Roman" w:hAnsi="Times New Roman" w:cs="Times New Roman" w:eastAsia="Times New Roman"/>
                <w:sz w:val="24"/>
              </w:rPr>
              <w:t>Odôvodnenie: Cieľom tohto ustanovenia by malo byť jasne zadefinovať požiadavky na regulovaný voľný trh, ako aj trh kótovaných cenných papierov a tým ich od seba odlíšiť a jednoznačne zdôrazniť, že v prípade trhu kótovaných cenných papierov ide o prémiový trh, na ktorý sú kladené okrem základných požiadaviek určených v § 29 a § 29a aj ďalšie dodatočné požiadavky určené v § 30 až 32.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6 (§ 25 ods. 1)</w:t>
              <w:br/>
            </w:r>
            <w:r>
              <w:rPr>
                <w:b w:val="off"/>
                <w:color w:val="000000"/>
                <w:rFonts w:ascii="Times New Roman" w:hAnsi="Times New Roman" w:cs="Times New Roman" w:eastAsia="Times New Roman"/>
                <w:sz w:val="24"/>
              </w:rPr>
              <w:t>Znenie § 25 ods. 1 navrhujeme upraviť takto:</w:t>
              <w:br/>
            </w:r>
            <w:r>
              <w:rPr>
                <w:b w:val="off"/>
                <w:color w:val="000000"/>
                <w:rFonts w:ascii="Times New Roman" w:hAnsi="Times New Roman" w:cs="Times New Roman" w:eastAsia="Times New Roman"/>
                <w:sz w:val="24"/>
              </w:rPr>
              <w:t>„(1) Burza organizuje obchodovanie na regulovanom trhu. Regulovaný trh tvorí regulovaný voľný trh a prípadne aj trh kótovaných cenných papierov. Regulovaný voľný trh a trh kótovaných cenných papierov môžu mať viac špecifických segmentov uvedených v burzových pravidlách.“.</w:t>
              <w:br/>
            </w:r>
            <w:r>
              <w:rPr>
                <w:b w:val="off"/>
                <w:color w:val="000000"/>
                <w:rFonts w:ascii="Times New Roman" w:hAnsi="Times New Roman" w:cs="Times New Roman" w:eastAsia="Times New Roman"/>
                <w:sz w:val="24"/>
              </w:rPr>
              <w:t>Odôvodnenie: Cieľom tohto ustanovenia je jasne stanoviť, že regulovaný voľný trh, ako aj trh kótovaných cenných papierov sú regulovaným trhom, pričom každý z nich môže mať podľa potreby špecifické segmenty a zároveň, že burza nie je povinná organizovať obchodovanie na trhu kótovaných cenných papierov.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to upravené inak. Samotný regulovaný trh sa má členiť na segmenty.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4 (§ 14 ods. 5 písm. i))</w:t>
              <w:br/>
            </w:r>
            <w:r>
              <w:rPr>
                <w:b w:val="off"/>
                <w:color w:val="000000"/>
                <w:rFonts w:ascii="Times New Roman" w:hAnsi="Times New Roman" w:cs="Times New Roman" w:eastAsia="Times New Roman"/>
                <w:sz w:val="24"/>
              </w:rPr>
              <w:t>Znenie § 14 ods. 5 písm. i) navrhujeme upraviť takto:</w:t>
              <w:br/>
            </w:r>
            <w:r>
              <w:rPr>
                <w:b w:val="off"/>
                <w:color w:val="000000"/>
                <w:rFonts w:ascii="Times New Roman" w:hAnsi="Times New Roman" w:cs="Times New Roman" w:eastAsia="Times New Roman"/>
                <w:sz w:val="24"/>
              </w:rPr>
              <w:t>„i) vhodné opatrenia s cieľom zabezpečiť, aby na regulovanom trhu  mala aspoň troch aktívnych členov alebo používateľov, z ktorých každý má možnosť vstupovať do interakcie s ostatnými členmi alebo používateľmi, ak ide o tvorbu cien.“.</w:t>
              <w:br/>
            </w:r>
            <w:r>
              <w:rPr>
                <w:b w:val="off"/>
                <w:color w:val="000000"/>
                <w:rFonts w:ascii="Times New Roman" w:hAnsi="Times New Roman" w:cs="Times New Roman" w:eastAsia="Times New Roman"/>
                <w:sz w:val="24"/>
              </w:rPr>
              <w:t>Odôvodnenie: Cieľom tohto ustanovenia je stanoviť pre burzu povinnosť mať aspoň troch reálne aktívnych členov alebo používateľov (teda nielen vytvoriť prostredie/podmienky, aby tam mohli aspoň traja členovia alebo používatelia obchodovať), ale zabezpečiť, aby takí traja členovia existovali a boli tam aktívni.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4 (§ 14 ods. 5 písm. h))</w:t>
              <w:br/>
            </w:r>
            <w:r>
              <w:rPr>
                <w:b w:val="off"/>
                <w:color w:val="000000"/>
                <w:rFonts w:ascii="Times New Roman" w:hAnsi="Times New Roman" w:cs="Times New Roman" w:eastAsia="Times New Roman"/>
                <w:sz w:val="24"/>
              </w:rPr>
              <w:t xml:space="preserve">Znenie § 14 ods. 5 písm. h) navrhujeme spresniť z dôvodu duplicity.	</w:t>
              <w:br/>
            </w:r>
            <w:r>
              <w:rPr>
                <w:b w:val="off"/>
                <w:color w:val="000000"/>
                <w:rFonts w:ascii="Times New Roman" w:hAnsi="Times New Roman" w:cs="Times New Roman" w:eastAsia="Times New Roman"/>
                <w:sz w:val="24"/>
              </w:rPr>
              <w:t>Odôvodnenie: V smernici je transponované znenie uvedené v dvoch samostatných ustanoveniach, pričom jedno sa týka regulovaného trhu (v tomto bode - § 14 ods. 5 písm. h)) a druhé sa týka MTF a OTF (v bode 29 - § 52 ods. 9). V návrhu § 14 ods. 5 písm. h) nie je explicitne ustanovené, že požiadavka sa týka len regulovaného trhu. Zároveň však považujeme za vhodné ponechanie tejto požiadavky aj v § 52 ods. 9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(nad rámec návrhu zákona)</w:t>
              <w:br/>
            </w:r>
            <w:r>
              <w:rPr>
                <w:b w:val="off"/>
                <w:color w:val="000000"/>
                <w:rFonts w:ascii="Times New Roman" w:hAnsi="Times New Roman" w:cs="Times New Roman" w:eastAsia="Times New Roman"/>
                <w:sz w:val="24"/>
              </w:rPr>
              <w:t xml:space="preserve">Do čl. II navrhujeme doplniť nový bod takto: </w:t>
              <w:br/>
            </w:r>
            <w:r>
              <w:rPr>
                <w:b w:val="off"/>
                <w:color w:val="000000"/>
                <w:rFonts w:ascii="Times New Roman" w:hAnsi="Times New Roman" w:cs="Times New Roman" w:eastAsia="Times New Roman"/>
                <w:sz w:val="24"/>
              </w:rPr>
              <w:t xml:space="preserve">„3. V § 3 ods. 3 písmeno x) znie: </w:t>
              <w:br/>
            </w:r>
            <w:r>
              <w:rPr>
                <w:b w:val="off"/>
                <w:color w:val="000000"/>
                <w:rFonts w:ascii="Times New Roman" w:hAnsi="Times New Roman" w:cs="Times New Roman" w:eastAsia="Times New Roman"/>
                <w:sz w:val="24"/>
              </w:rPr>
              <w:t>„x) mnohostranným systémom mnohostranný systém podľa osobitného predpisu,11ca)“.</w:t>
              <w:br/>
            </w:r>
            <w:r>
              <w:rPr>
                <w:b w:val="off"/>
                <w:color w:val="000000"/>
                <w:rFonts w:ascii="Times New Roman" w:hAnsi="Times New Roman" w:cs="Times New Roman" w:eastAsia="Times New Roman"/>
                <w:sz w:val="24"/>
              </w:rPr>
              <w:t xml:space="preserve">Poznámka pod čiarou k odkazu 11ca znie: </w:t>
              <w:br/>
            </w:r>
            <w:r>
              <w:rPr>
                <w:b w:val="off"/>
                <w:color w:val="000000"/>
                <w:rFonts w:ascii="Times New Roman" w:hAnsi="Times New Roman" w:cs="Times New Roman" w:eastAsia="Times New Roman"/>
                <w:sz w:val="24"/>
              </w:rPr>
              <w:t xml:space="preserve">„Čl. 2 ods. 1 bod 11 nariadenia Európskeho parlamentu a Rady (EÚ) č. 600/2014 z 15. mája 2014 o trhoch s finančnými nástrojmi, ktorým sa mení nariadenie (EÚ) č. 648/2012 (Ú. v. EÚ L 173, 12. 6. 2014) v platnom znení.“.“. 	</w:t>
              <w:br/>
            </w:r>
            <w:r>
              <w:rPr>
                <w:b w:val="off"/>
                <w:color w:val="000000"/>
                <w:rFonts w:ascii="Times New Roman" w:hAnsi="Times New Roman" w:cs="Times New Roman" w:eastAsia="Times New Roman"/>
                <w:sz w:val="24"/>
              </w:rPr>
              <w:t>Odôvodnenie: Transpozícia čl. 1 bod 3 písm. a) smernice 2024/790.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 (§ 3 ods. 2)</w:t>
              <w:br/>
            </w:r>
            <w:r>
              <w:rPr>
                <w:b w:val="off"/>
                <w:color w:val="000000"/>
                <w:rFonts w:ascii="Times New Roman" w:hAnsi="Times New Roman" w:cs="Times New Roman" w:eastAsia="Times New Roman"/>
                <w:sz w:val="24"/>
              </w:rPr>
              <w:t xml:space="preserve">Bod 2 navrhujeme vypustiť.	</w:t>
              <w:br/>
            </w:r>
            <w:r>
              <w:rPr>
                <w:b w:val="off"/>
                <w:color w:val="000000"/>
                <w:rFonts w:ascii="Times New Roman" w:hAnsi="Times New Roman" w:cs="Times New Roman" w:eastAsia="Times New Roman"/>
                <w:sz w:val="24"/>
              </w:rPr>
              <w:t>Odôvodnenie: V § 3 ods. 2 navrhujeme ponechať definíciu „kótovaného cenného papiera“. Trh kótovaných cenných papierov navrhujeme upraviť v § 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 (§ 1 )</w:t>
              <w:br/>
            </w:r>
            <w:r>
              <w:rPr>
                <w:b w:val="off"/>
                <w:color w:val="000000"/>
                <w:rFonts w:ascii="Times New Roman" w:hAnsi="Times New Roman" w:cs="Times New Roman" w:eastAsia="Times New Roman"/>
                <w:sz w:val="24"/>
              </w:rPr>
              <w:t xml:space="preserve">Bod 1 navrhujeme vypustiť.	</w:t>
              <w:br/>
            </w:r>
            <w:r>
              <w:rPr>
                <w:b w:val="off"/>
                <w:color w:val="000000"/>
                <w:rFonts w:ascii="Times New Roman" w:hAnsi="Times New Roman" w:cs="Times New Roman" w:eastAsia="Times New Roman"/>
                <w:sz w:val="24"/>
              </w:rPr>
              <w:t>Odôvodnenie: Novelizačný bod 1 navrhujeme vypustiť z dôvodu jeho nekonzistentného zavedenia a z dôvodu nesprávnosti odkazu, keďže neodkazuje na definíciu mnohostranného obchodného systému, ale na definíciu mnohostranného systému (ktorý je zadefinovaný v § 3  ods. 3 písm. x) návrhu zákona a práve táto definícia je súčasťou transponovanej smernice 2024/790 – viď pripomienka k § 3 ods. 3 písm. x), ktorú uplatňujeme nad rámec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27 a 28, k čl. II bodom 46 a 47 (transpozičná príloha)</w:t>
              <w:br/>
            </w:r>
            <w:r>
              <w:rPr>
                <w:b w:val="off"/>
                <w:color w:val="000000"/>
                <w:rFonts w:ascii="Times New Roman" w:hAnsi="Times New Roman" w:cs="Times New Roman" w:eastAsia="Times New Roman"/>
                <w:sz w:val="24"/>
              </w:rPr>
              <w:t>Body 27 a 28 navrhujeme upraviť tak, že transpozičná príloha sa doplní o smernice uvedené v bode 28 v troch samostatných novelizačných bodoch, aby bolo možné osobitne upraviť nadobudnutie ich účinnosti, a teda:</w:t>
              <w:br/>
            </w:r>
            <w:r>
              <w:rPr>
                <w:b w:val="off"/>
                <w:color w:val="000000"/>
                <w:rFonts w:ascii="Times New Roman" w:hAnsi="Times New Roman" w:cs="Times New Roman" w:eastAsia="Times New Roman"/>
                <w:sz w:val="24"/>
              </w:rPr>
              <w:t xml:space="preserve">-	 k 29. septembru 2025 by sa transpozičná príloha mala doplniť o smernicu (EÚ) 2024/790; </w:t>
              <w:br/>
            </w:r>
            <w:r>
              <w:rPr>
                <w:b w:val="off"/>
                <w:color w:val="000000"/>
                <w:rFonts w:ascii="Times New Roman" w:hAnsi="Times New Roman" w:cs="Times New Roman" w:eastAsia="Times New Roman"/>
                <w:sz w:val="24"/>
              </w:rPr>
              <w:t>-	k 6. júnu 2026 by sa transpozičná príloha mala doplniť o smernicu (EÚ) 2024/2811;</w:t>
              <w:br/>
            </w:r>
            <w:r>
              <w:rPr>
                <w:b w:val="off"/>
                <w:color w:val="000000"/>
                <w:rFonts w:ascii="Times New Roman" w:hAnsi="Times New Roman" w:cs="Times New Roman" w:eastAsia="Times New Roman"/>
                <w:sz w:val="24"/>
              </w:rPr>
              <w:t>-	 k 25. júnu 2026 by sa transpozičná príloha mala doplniť o smernicu (EÚ) 2024/2994.</w:t>
              <w:br/>
            </w:r>
            <w:r>
              <w:rPr>
                <w:b w:val="off"/>
                <w:color w:val="000000"/>
                <w:rFonts w:ascii="Times New Roman" w:hAnsi="Times New Roman" w:cs="Times New Roman" w:eastAsia="Times New Roman"/>
                <w:sz w:val="24"/>
              </w:rPr>
              <w:t>Vo vzťahu k bodu 27 zároveň navrhujeme zohľadniť, že smernica 2001/34/ES sa zrušuje až s účinnosťou od 5. decembra 2026.</w:t>
              <w:br/>
            </w:r>
            <w:r>
              <w:rPr>
                <w:b w:val="off"/>
                <w:color w:val="000000"/>
                <w:rFonts w:ascii="Times New Roman" w:hAnsi="Times New Roman" w:cs="Times New Roman" w:eastAsia="Times New Roman"/>
                <w:sz w:val="24"/>
              </w:rPr>
              <w:t>Táto pripomienka platí primerane aj pre čl. II, body 46 a 47, pričom najmä pri § 25 až 33 je potrebné zohľadniť a zosúladiť termín transpozície smernice (EÚ) 2024/2811 s termínom účinnosti zrušenia smernice 2001/34/ES.</w:t>
              <w:br/>
            </w:r>
            <w:r>
              <w:rPr>
                <w:b w:val="off"/>
                <w:color w:val="000000"/>
                <w:rFonts w:ascii="Times New Roman" w:hAnsi="Times New Roman" w:cs="Times New Roman" w:eastAsia="Times New Roman"/>
                <w:sz w:val="24"/>
              </w:rPr>
              <w:t>Odôvodnenie: 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 (§ 135 ods. 9)</w:t>
              <w:br/>
            </w:r>
            <w:r>
              <w:rPr>
                <w:b w:val="off"/>
                <w:color w:val="000000"/>
                <w:rFonts w:ascii="Times New Roman" w:hAnsi="Times New Roman" w:cs="Times New Roman" w:eastAsia="Times New Roman"/>
                <w:sz w:val="24"/>
              </w:rPr>
              <w:t>V § 135 ods. 9 navrhujeme zvážiť slovo „plánov“ nahradiť iným vhodným výrazom.</w:t>
              <w:br/>
            </w:r>
            <w:r>
              <w:rPr>
                <w:b w:val="off"/>
                <w:color w:val="000000"/>
                <w:rFonts w:ascii="Times New Roman" w:hAnsi="Times New Roman" w:cs="Times New Roman" w:eastAsia="Times New Roman"/>
                <w:sz w:val="24"/>
              </w:rPr>
              <w:t>Odôvodnenie: Ustanovenie odkazuje na plány vypracované v súlade s § 71c ods. 2 písm. e), avšak § 71c ods. 2 písm. e) neobsahuje žiadnu úpravu k plánom. Predvetie § 71c ods. 2 ustanovuje, že obchodník s cennými papiermi je povinný mať zavedené spoľahlivé „stratégie, politiky, postupy a systémy“, nie plány.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úplnú transpozíciu.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 xml:space="preserve">V § 120 navrhujeme za odsek 2 vložiť nový odsek 3, ktorý znie: </w:t>
              <w:br/>
            </w:r>
            <w:r>
              <w:rPr>
                <w:b w:val="off"/>
                <w:color w:val="000000"/>
                <w:rFonts w:ascii="Times New Roman" w:hAnsi="Times New Roman" w:cs="Times New Roman" w:eastAsia="Times New Roman"/>
                <w:sz w:val="24"/>
              </w:rPr>
              <w:t>„(3) Ak sa na verejnú ponuku nevzťahuje povinnosť zverejniť prospekt podľa odseku 2, emitent alebo vyhlasovateľ verejnej ponuky je povinný predložiť Národnej banke Slovenska a sprístupniť verejnosti podľa osobitného predpisu102abb) dokument vypracovaný podľa osobitného predpisu.102abc)“.</w:t>
              <w:br/>
            </w:r>
            <w:r>
              <w:rPr>
                <w:b w:val="off"/>
                <w:color w:val="000000"/>
                <w:rFonts w:ascii="Times New Roman" w:hAnsi="Times New Roman" w:cs="Times New Roman" w:eastAsia="Times New Roman"/>
                <w:sz w:val="24"/>
              </w:rPr>
              <w:t>Poznámky pod čiarou k odkazom 102abb a 102abc znejú:</w:t>
              <w:br/>
            </w:r>
            <w:r>
              <w:rPr>
                <w:b w:val="off"/>
                <w:color w:val="000000"/>
                <w:rFonts w:ascii="Times New Roman" w:hAnsi="Times New Roman" w:cs="Times New Roman" w:eastAsia="Times New Roman"/>
                <w:sz w:val="24"/>
              </w:rPr>
              <w:t>102abb) Čl. 21 ods. 2 nariadenia (EÚ) 2017/1129.</w:t>
              <w:br/>
            </w:r>
            <w:r>
              <w:rPr>
                <w:b w:val="off"/>
                <w:color w:val="000000"/>
                <w:rFonts w:ascii="Times New Roman" w:hAnsi="Times New Roman" w:cs="Times New Roman" w:eastAsia="Times New Roman"/>
                <w:sz w:val="24"/>
              </w:rPr>
              <w:t>102abc) Čl. 7 ods. 3 až 10 a 12 nariadenia (EÚ) 2017/1129.“.</w:t>
              <w:br/>
            </w:r>
            <w:r>
              <w:rPr>
                <w:b w:val="off"/>
                <w:color w:val="000000"/>
                <w:rFonts w:ascii="Times New Roman" w:hAnsi="Times New Roman" w:cs="Times New Roman" w:eastAsia="Times New Roman"/>
                <w:sz w:val="24"/>
              </w:rPr>
              <w:t>Doterajšie odseky 3 až 7 sa označujú ako odseky 4 až 8.</w:t>
              <w:br/>
            </w:r>
            <w:r>
              <w:rPr>
                <w:b w:val="off"/>
                <w:color w:val="000000"/>
                <w:rFonts w:ascii="Times New Roman" w:hAnsi="Times New Roman" w:cs="Times New Roman" w:eastAsia="Times New Roman"/>
                <w:sz w:val="24"/>
              </w:rPr>
              <w:t>Odôvodnenie: Vzhľadom k zvýšeniu prahovej hodnoty na 5 miliónov eur a v súvislosti s veľkosťou slovenského trhu, životnou úrovňou, finančnou gramotnosťou v SR a potrebou zabezpečenia poskytnutia aspoň základných informácií retailovým investorom navrhujeme využiť túto možnosť, ktorú prináša nariadenie.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 (§ 73p ods. 5)</w:t>
              <w:br/>
            </w:r>
            <w:r>
              <w:rPr>
                <w:b w:val="off"/>
                <w:color w:val="000000"/>
                <w:rFonts w:ascii="Times New Roman" w:hAnsi="Times New Roman" w:cs="Times New Roman" w:eastAsia="Times New Roman"/>
                <w:sz w:val="24"/>
              </w:rPr>
              <w:t xml:space="preserve">V § 73p ods. 5 navrhujeme slová „pre klienta a“ nahradiť slovami „pre klienta alebo“. </w:t>
              <w:br/>
            </w:r>
            <w:r>
              <w:rPr>
                <w:b w:val="off"/>
                <w:color w:val="000000"/>
                <w:rFonts w:ascii="Times New Roman" w:hAnsi="Times New Roman" w:cs="Times New Roman" w:eastAsia="Times New Roman"/>
                <w:sz w:val="24"/>
              </w:rPr>
              <w:t>Odôvodnenie: Legislatívno-technická pripomienka, zosúladenie transpozície so smernicou.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 (§ 73b ods. 30)</w:t>
              <w:br/>
            </w:r>
            <w:r>
              <w:rPr>
                <w:b w:val="off"/>
                <w:color w:val="000000"/>
                <w:rFonts w:ascii="Times New Roman" w:hAnsi="Times New Roman" w:cs="Times New Roman" w:eastAsia="Times New Roman"/>
                <w:sz w:val="24"/>
              </w:rPr>
              <w:t xml:space="preserve">V § 73b ods. 30 navrhujeme slová „podľa 6 ods. 1 písm. b) alebo sprostredkovateľské služby“ nahradiť slovami „podľa § 6 ods. 1 písm. a) alebo písm. b)“ a slová „odseku 10 písm. c)“ nahradiť slovami „odseku 18 písm. c).“.	</w:t>
              <w:br/>
            </w:r>
            <w:r>
              <w:rPr>
                <w:b w:val="off"/>
                <w:color w:val="000000"/>
                <w:rFonts w:ascii="Times New Roman" w:hAnsi="Times New Roman" w:cs="Times New Roman" w:eastAsia="Times New Roman"/>
                <w:sz w:val="24"/>
              </w:rPr>
              <w:t>Odôvodnenie: Legislatívno-technická pripomienka, zosúladenie transpozície so smernicou.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 (§ 73b ods. 28)</w:t>
              <w:br/>
            </w:r>
            <w:r>
              <w:rPr>
                <w:b w:val="off"/>
                <w:color w:val="000000"/>
                <w:rFonts w:ascii="Times New Roman" w:hAnsi="Times New Roman" w:cs="Times New Roman" w:eastAsia="Times New Roman"/>
                <w:sz w:val="24"/>
              </w:rPr>
              <w:t xml:space="preserve">V § 73b navrhujeme odsek 28 presunúť za odsek 24 ako odsek 25  a navrhované odseky 25 až 31 prečíslovať.  </w:t>
              <w:br/>
            </w:r>
            <w:r>
              <w:rPr>
                <w:b w:val="off"/>
                <w:color w:val="000000"/>
                <w:rFonts w:ascii="Times New Roman" w:hAnsi="Times New Roman" w:cs="Times New Roman" w:eastAsia="Times New Roman"/>
                <w:sz w:val="24"/>
              </w:rPr>
              <w:t>Odôvodnenie: Legislatívno-technická pripomienka, zosúladenie transpozície so smernicou a úprava logickej nadväznosti ustanovení, ktoré sa transponujú.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 (§ 73b ods. 24)</w:t>
              <w:br/>
            </w:r>
            <w:r>
              <w:rPr>
                <w:b w:val="off"/>
                <w:color w:val="000000"/>
                <w:rFonts w:ascii="Times New Roman" w:hAnsi="Times New Roman" w:cs="Times New Roman" w:eastAsia="Times New Roman"/>
                <w:sz w:val="24"/>
              </w:rPr>
              <w:t xml:space="preserve">V § 73b ods. 24 navrhujeme slová „odseku 26“ nahradiť slovami „odseku 25“. 	</w:t>
              <w:br/>
            </w:r>
            <w:r>
              <w:rPr>
                <w:b w:val="off"/>
                <w:color w:val="000000"/>
                <w:rFonts w:ascii="Times New Roman" w:hAnsi="Times New Roman" w:cs="Times New Roman" w:eastAsia="Times New Roman"/>
                <w:sz w:val="24"/>
              </w:rPr>
              <w:t>Odôvodnenie: Legislatívno-technická pripomienka, zosúladenie transpozície so smernicou.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Došlo k prečíslovaniu odsekov.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 (§ 73b ods. 18 písm. d))</w:t>
              <w:br/>
            </w:r>
            <w:r>
              <w:rPr>
                <w:b w:val="off"/>
                <w:color w:val="000000"/>
                <w:rFonts w:ascii="Times New Roman" w:hAnsi="Times New Roman" w:cs="Times New Roman" w:eastAsia="Times New Roman"/>
                <w:sz w:val="24"/>
              </w:rPr>
              <w:t xml:space="preserve">V § 73b ods. 18 písm. d) navrhujeme slová „obchodník s cennými papiermi si“ nahradiť slovami „si obchodník s cennými papiermi“. 	</w:t>
              <w:br/>
            </w:r>
            <w:r>
              <w:rPr>
                <w:b w:val="off"/>
                <w:color w:val="000000"/>
                <w:rFonts w:ascii="Times New Roman" w:hAnsi="Times New Roman" w:cs="Times New Roman" w:eastAsia="Times New Roman"/>
                <w:sz w:val="24"/>
              </w:rPr>
              <w:t>Odôvodnenie: Legislatívno-technická pripomienka, zosúladenie transpozície so smernicou.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 (§ 73b ods. 18)</w:t>
              <w:br/>
            </w:r>
            <w:r>
              <w:rPr>
                <w:b w:val="off"/>
                <w:color w:val="000000"/>
                <w:rFonts w:ascii="Times New Roman" w:hAnsi="Times New Roman" w:cs="Times New Roman" w:eastAsia="Times New Roman"/>
                <w:sz w:val="24"/>
              </w:rPr>
              <w:t xml:space="preserve">V § 73b ods. 18 písm. b) navrhujeme slová „pri uplatňovaní spoločných platieb“ nahradiť slovami „v relevantných prípadoch“.	</w:t>
              <w:br/>
            </w:r>
            <w:r>
              <w:rPr>
                <w:b w:val="off"/>
                <w:color w:val="000000"/>
                <w:rFonts w:ascii="Times New Roman" w:hAnsi="Times New Roman" w:cs="Times New Roman" w:eastAsia="Times New Roman"/>
                <w:sz w:val="24"/>
              </w:rPr>
              <w:t>Odôvodnenie: Legislatívno-technická pripomienka, zosúladenie transpozície so smernicou.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Konflikt záujmov treba riadiť vo všetkých prípadoch nielen v relevantných prípadoch.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 (§ 71c ods. 7)</w:t>
              <w:br/>
            </w:r>
            <w:r>
              <w:rPr>
                <w:b w:val="off"/>
                <w:color w:val="000000"/>
                <w:rFonts w:ascii="Times New Roman" w:hAnsi="Times New Roman" w:cs="Times New Roman" w:eastAsia="Times New Roman"/>
                <w:sz w:val="24"/>
              </w:rPr>
              <w:t>V § 71c ods. 7 navrhujeme slovo „obchodník“ nahradiť slovom „obchodníka“.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 (§ 54 ods. 7)</w:t>
              <w:br/>
            </w:r>
            <w:r>
              <w:rPr>
                <w:b w:val="off"/>
                <w:color w:val="000000"/>
                <w:rFonts w:ascii="Times New Roman" w:hAnsi="Times New Roman" w:cs="Times New Roman" w:eastAsia="Times New Roman"/>
                <w:sz w:val="24"/>
              </w:rPr>
              <w:t>Bod 4 navrhujeme upraviť takto:</w:t>
              <w:br/>
            </w:r>
            <w:r>
              <w:rPr>
                <w:b w:val="off"/>
                <w:color w:val="000000"/>
                <w:rFonts w:ascii="Times New Roman" w:hAnsi="Times New Roman" w:cs="Times New Roman" w:eastAsia="Times New Roman"/>
                <w:sz w:val="24"/>
              </w:rPr>
              <w:t xml:space="preserve">„4. V § 54 odsek 7 znie: </w:t>
              <w:br/>
            </w:r>
            <w:r>
              <w:rPr>
                <w:b w:val="off"/>
                <w:color w:val="000000"/>
                <w:rFonts w:ascii="Times New Roman" w:hAnsi="Times New Roman" w:cs="Times New Roman" w:eastAsia="Times New Roman"/>
                <w:sz w:val="24"/>
              </w:rPr>
              <w:t>„(7) Obchodník s cennými papiermi alebo pobočka zahraničného obchodníka s cennými papiermi môže vykonávať pre iné osoby iné činnosti ako investičné služby upravené týmto zákonom alebo osobitnými predpismi50aa) a bezhotovostné obchody s peňažnými prostriedkami v cudzej mene.“.“.</w:t>
              <w:br/>
            </w:r>
            <w:r>
              <w:rPr>
                <w:b w:val="off"/>
                <w:color w:val="000000"/>
                <w:rFonts w:ascii="Times New Roman" w:hAnsi="Times New Roman" w:cs="Times New Roman" w:eastAsia="Times New Roman"/>
                <w:sz w:val="24"/>
              </w:rPr>
              <w:t>Odôvodnenie: Z dôvodu jednoznačnosti navrhujeme doplniť do návrhu zákona o cenných papieroch ustanovenie, v ktorom sa jednoznačne uvedie, že obchodník s cennými papiermi môže vykonávať bezhotovostné obchody s peňažnými prostriedkami v cudzej mene bez potreby ďalšieho povolenia. Možnosť bezhotovostných obchodov s peňažnými prostriedkami v cudzej mene pre obchodníka s cennými papiermi existovala aj doteraz a vzhľadom na to, že to explicitne neupravuje osobitný predpis, je potrebné túto činnosť ponechať v zákone o cenných papieroch.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 7 ods. 32)</w:t>
              <w:br/>
            </w:r>
            <w:r>
              <w:rPr>
                <w:b w:val="off"/>
                <w:color w:val="000000"/>
                <w:rFonts w:ascii="Times New Roman" w:hAnsi="Times New Roman" w:cs="Times New Roman" w:eastAsia="Times New Roman"/>
                <w:sz w:val="24"/>
              </w:rPr>
              <w:t>Do § 7 navrhujeme doplniť aj definíciu centrálnej protistrany takto:</w:t>
              <w:br/>
            </w:r>
            <w:r>
              <w:rPr>
                <w:b w:val="off"/>
                <w:color w:val="000000"/>
                <w:rFonts w:ascii="Times New Roman" w:hAnsi="Times New Roman" w:cs="Times New Roman" w:eastAsia="Times New Roman"/>
                <w:sz w:val="24"/>
              </w:rPr>
              <w:t>„2. § 7 sa dopĺňa odsekmi 32 a 33, ktoré znejú:</w:t>
              <w:br/>
            </w:r>
            <w:r>
              <w:rPr>
                <w:b w:val="off"/>
                <w:color w:val="000000"/>
                <w:rFonts w:ascii="Times New Roman" w:hAnsi="Times New Roman" w:cs="Times New Roman" w:eastAsia="Times New Roman"/>
                <w:sz w:val="24"/>
              </w:rPr>
              <w:t>„(32) Centrálnou protistranou je centrálna protistrana podľa osobitného predpisu.18k)</w:t>
              <w:br/>
            </w:r>
            <w:r>
              <w:rPr>
                <w:b w:val="off"/>
                <w:color w:val="000000"/>
                <w:rFonts w:ascii="Times New Roman" w:hAnsi="Times New Roman" w:cs="Times New Roman" w:eastAsia="Times New Roman"/>
                <w:sz w:val="24"/>
              </w:rPr>
              <w:t>(33) Kvalifikovanou centrálnou protistranou je kvalifikovaná centrálna protistrana podľa osobitného predpisu.18l)“.</w:t>
              <w:br/>
            </w:r>
            <w:r>
              <w:rPr>
                <w:b w:val="off"/>
                <w:color w:val="000000"/>
                <w:rFonts w:ascii="Times New Roman" w:hAnsi="Times New Roman" w:cs="Times New Roman" w:eastAsia="Times New Roman"/>
                <w:sz w:val="24"/>
              </w:rPr>
              <w:t>Poznámky pod čiarou k odkazom 18k a 18l znejú:</w:t>
              <w:br/>
            </w:r>
            <w:r>
              <w:rPr>
                <w:b w:val="off"/>
                <w:color w:val="000000"/>
                <w:rFonts w:ascii="Times New Roman" w:hAnsi="Times New Roman" w:cs="Times New Roman" w:eastAsia="Times New Roman"/>
                <w:sz w:val="24"/>
              </w:rPr>
              <w:t>„18k) Čl. 2 bod 1 nariadenia Európskeho parlamentu a Rady (EÚ) č. 648/2012 zo 4. júla 2012 o mimoburzových derivátoch, centrálnych protistranách a archívoch obchodných údajov (Ú.v. EÚ L 201, 27.7.2012) v platnom znení.</w:t>
              <w:br/>
            </w:r>
            <w:r>
              <w:rPr>
                <w:b w:val="off"/>
                <w:color w:val="000000"/>
                <w:rFonts w:ascii="Times New Roman" w:hAnsi="Times New Roman" w:cs="Times New Roman" w:eastAsia="Times New Roman"/>
                <w:sz w:val="24"/>
              </w:rPr>
              <w:t>18l) Čl. 4 ods. 1 bod 88 nariadenia (EÚ) č. 575/2013 v platnom znení.“. “.</w:t>
              <w:br/>
            </w:r>
            <w:r>
              <w:rPr>
                <w:b w:val="off"/>
                <w:color w:val="000000"/>
                <w:rFonts w:ascii="Times New Roman" w:hAnsi="Times New Roman" w:cs="Times New Roman" w:eastAsia="Times New Roman"/>
                <w:sz w:val="24"/>
              </w:rPr>
              <w:t>Zároveň, v § 99 ods. 19 písm. c) bude potrebné nad slovami „centrálna protistrana“ vypustiť odkaz na poznámku pod čiarou 89r), vrátane tejto poznámky pod čiarou.</w:t>
              <w:br/>
            </w:r>
            <w:r>
              <w:rPr>
                <w:b w:val="off"/>
                <w:color w:val="000000"/>
                <w:rFonts w:ascii="Times New Roman" w:hAnsi="Times New Roman" w:cs="Times New Roman" w:eastAsia="Times New Roman"/>
                <w:sz w:val="24"/>
              </w:rPr>
              <w:t>Odôvodnenie: Nesúlad so smernicou 2019/2034, ktorá sa dopĺňa o definíciu centrálnej protistrany v zmysle čl. 3 ods. 1 smernice 2024/2994.  Ide o transpozíciu článku 3 bod 1 smernice (EÚ) 2024/2994.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to upravené inak. Definícia centrálnej protistrany už v tomto zákone je zavedená cez poznámku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13 (§ 26 ods. 4)</w:t>
              <w:br/>
            </w:r>
            <w:r>
              <w:rPr>
                <w:b w:val="off"/>
                <w:color w:val="000000"/>
                <w:rFonts w:ascii="Times New Roman" w:hAnsi="Times New Roman" w:cs="Times New Roman" w:eastAsia="Times New Roman"/>
                <w:sz w:val="24"/>
              </w:rPr>
              <w:t>V bode 13 navrhujeme v úvode vety slová „§ 26 ods. 4“ nahradiť slovami „§ 26 ods. 6“.</w:t>
              <w:br/>
            </w:r>
            <w:r>
              <w:rPr>
                <w:b w:val="off"/>
                <w:color w:val="000000"/>
                <w:rFonts w:ascii="Times New Roman" w:hAnsi="Times New Roman" w:cs="Times New Roman" w:eastAsia="Times New Roman"/>
                <w:sz w:val="24"/>
              </w:rPr>
              <w:t>Odôvodnenie: Legislatívno-technická pripomienka vzhľadom na návrh nevypustiť bod 11 návrhu zákona - § 26 ods. 1 a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(nad rámec návrhu zákona)</w:t>
              <w:br/>
            </w:r>
            <w:r>
              <w:rPr>
                <w:b w:val="off"/>
                <w:color w:val="000000"/>
                <w:rFonts w:ascii="Times New Roman" w:hAnsi="Times New Roman" w:cs="Times New Roman" w:eastAsia="Times New Roman"/>
                <w:sz w:val="24"/>
              </w:rPr>
              <w:t>Do § 77 navrhujeme doplniť nový odsek 10, ktorý znie:</w:t>
              <w:br/>
            </w:r>
            <w:r>
              <w:rPr>
                <w:b w:val="off"/>
                <w:color w:val="000000"/>
                <w:rFonts w:ascii="Times New Roman" w:hAnsi="Times New Roman" w:cs="Times New Roman" w:eastAsia="Times New Roman"/>
                <w:sz w:val="24"/>
              </w:rPr>
              <w:t>„(10) Osoba ovládajúca skupinu s úzkymi väzbami, do ktorej patrí obchodník s cennými papiermi je povinná zostaviť a predložiť Národnej banke Slovenska na jej žiadosť v primerane určenej lehote konsolidovanú účtovnú závierku overenú audítorom.".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niektorých prípadoch je potrebné, aby Národná banka Slovenska ako orgán dohľadu nad obchodníkom s cennými papiermi, ktorý patrí do skupiny s úzkymi väzbami, mala prístup k účtovným informáciám, ktoré sa týkajú účtovných jednotiek (subjektov) patriacich do skupiny s úzkymi väzbami, ktorej súčasťou je obchodník s cennými papiermi. Ide napríklad o prípady, keď finančná situácia účtovných jednotiek (subjektov) patriacich do skupiny s úzkymi väzbami, do ktorej patrí obchodník s cennými papiermi môže mať priamy (negatívny) dopad na plnenie prudenciálnych požiadaviek kladených na samotného obchodníka s cennými papiermi alebo o prípady, kedy môže byť ohrozená ochrana investorov vlastniacich finančné nástroje emitované účtovnými jednotkami (subjektmi) patriacimi do skupiny s úzkymi väzbami z dôvodu (negatívnej) finančnej situácie celej skupiny.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Upozorňujeme, že zákon č. 566/2001 Z. z. o cenných papieroch a investičných službách a o zmene a doplnení niektorých zákonov (zákon o cenných papieroch) v znení neskorších predpisov neobsahuje definíciu pojmu „členský štát“. Vzhľadom na to, že viaceré ustanovenia zákona sa vzťahujú na Európsku úniu a nadväzne na „členské štáty“, ale zároveň sú niektoré ustanovenia záväzné aj pre zmluvné štáty Dohody o Európskom hospodárskom priestore – pričom je ešte nutné upozorniť na skutočnosť, že zákon č. 566/2001 Z. z.  transponuje do slovenského právneho poriadku viaceré smernice s významom pre Európsky hospodársky priestor – považujeme za potrebné, aby zákon č. 566/2001 Z. z. definíciu pojmu „členský štát“ obsahoval. V prípade potreby výnimky z takto všeobecne definovaného pojmu „členský štát“ je následne možné danú výnimku indikovať v jednotlivých ustanoveniach.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w:t>
              <w:br/>
            </w:r>
            <w:r>
              <w:rPr>
                <w:b w:val="off"/>
                <w:color w:val="000000"/>
                <w:rFonts w:ascii="Times New Roman" w:hAnsi="Times New Roman" w:cs="Times New Roman" w:eastAsia="Times New Roman"/>
                <w:sz w:val="24"/>
              </w:rPr>
              <w:t>Zo sprievodných dokumentov vyplýva - špecificky z tabuľky zhody so smernicou (EÚ) 2024/790 - že predkladateľ mal za účelom transpozície čl. 1 ods. 1 smernice (EÚ) 2024/790 v úmysle predloženým návrhom zákona z § 3 ods. 3 zákona č. 429/2002 Z. z. v znení neskorších predpisov vypustiť písmeno x). Odporúčame v Čl. II vo vlastnom materiáli doplniť nový bod, ktorým sa písm. x) z § 3 ods. 3 zákona č. 429/2002 Z. z. vypustí.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Pôvodné písmeno x sa vypustilo  následne sa nahradilo novou definíciou.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4 predloženého návrhu zákona: Žiadame predkladateľa, aby poznámku pod čiarou č. 50aa) upravil v súlade s bodom  23.7. v nadväznosti na bod 23.6. prílohy č. 1 k Legislatívnym pravidlám vlády Slovenskej republiky a uvádzal jednotlivé citácie právnych predpisov v zostupnom poradí podľa stupňa právnej sily, t.j. najprv právne predpisy EÚ a potom vnútroštátne predpisy. Zároveň žiadame o skrátenú citáciu nariadenia (EÚ) 2020/1503, keďže nariadenie je citované v poznámke pod čiarou č. 50aa) už opakovane.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8 predloženého návrhu zákona: V poznámke pod čiarou 56acaba) žiadame uvádzať úplnú citáciu nariadenia (EÚ) č. 648/2012 a to nasledovne: „Čl. 7a nariadenia Európskeho parlamentu a Rady (EÚ) č. 648/2012 zo 4. júla 2012 o mimoburzových derivátoch, centrálnych protistranách a archívoch obchodných údajov (Ú. v. EÚ L 201, 27.7.2012) v platnom znení.“ vzhľadom na to, že v poznámke pod čiarou č. 56acaba), bude dané nariadenie uvedené po prvý krát. Zároveň odporúčame v poznámke pod čiarou č. 89r) uvádzať skrátenú citáciu nariadenia (EÚ) č. 648/2012.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17 predloženého návrhu zákona: V navrhovanom texte žiadame upraviť slovosled pre lepšiu zrozumiteľnosť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27 a čl. II bodu 45 predloženého návrhu zákona: Upozorňujeme na skutočnosť, že uvedené body nadobúdajú účinnosť 29.9.2025, avšak smernica (EÚ) 2001/34/ES bude zrušená až k 5.12.2026. Žiadame preto o vypustenie smernice z transpozičnej prílohy až k 5.12.2026.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II bodu 1 predloženého návrhu zákona: Odkaz na poznámku pod čiarou č. 1aa) v súvislosti definíciou pojmu „mnohostranný obchodný systém“ považujeme za nesprávny, vzhľadom na to, že čl. 2 ods. 1 bod 11 nariadenia (EÚ) č. 600/2014 v platnom znení definuje pojem „multilaterálny systém“ a nie pojem „multilaterálny OBCHODNÝ systém“, ktorého definícia je uvedená v čl. 4 ods. 1 bod 22 smernice 2014/65/EÚ v platnom znení. Žiadame upraviť aj s ohľadom na to, že pojem „mnohostranný obchodný systém“ zákon č. 429/2002 Z. z. používa opakovane v súvislosti s transpozíciou ustanovení smernice (EÚ) 2024/790, ktoré sa vzťahujú na MTF, čiže na „multilaterálny obchodný systém“ a nie na „multilaterálny systém“.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II bodu 8 predloženého návrhu zákona: Slová „Ustanovenie § 28 a 31 sa nevzťahuje“ žiadame nahradiť slovami „Ustanovenia § 28 a § 31 sa nevzťahujú“. Taktiež upozorňujeme na rozdiely medzi textom v návrhu zákona a informatívnym konsolidovaným znením. Žiadame adekvátne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II  bodom 8 a 9 predloženého návrhu zákona: máme zato, že v Čl. II  predloženého návrhu zákona, by body 8 a 9 mali nasledovať v opačnom poradí, vzhľadom na to, že v bode 8 je nová úprava § 25 ods. 4 zákona č. 429/2002 Z. z., ale bod 9 upravuje poznámku pod čiarou č. 39, na ktorú prvý krát odkazuje § 25 ods. 3 zákona č. 429/2002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II  bodu 9 predloženého návrhu zákona: Žiadame predkladateľa, aby poznámku pod čiarou č. 39) upravil v súlade s bodom  23.7. v nadväznosti na bod 23.6. prílohy č. 1 k Legislatívnym pravidlám vlády Slovenskej republiky a uvádzal jednotlivé citácie právnych predpisov v zostupnom poradí podľa stupňa právnej sily, t.j. najprv právne predpisy EÚ a potom vnútroštátne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II bodu 33 predloženého návrhu zákona: V poznámke pod čiarou číslo 66e) žiadame slovo „Nariadenie“ nahradiť slovom „nariadenia“.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vypustené aj s poznámkou.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II bodu 38 predloženého návrhu zákona: Žiadame predkladateľa, aby v texte novelizovaného § 57b ods. 1 písm. a) bod 1 slová „obchodu je“ nahradil slovom „obchoduje“ a zmenu premietnuť aj do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II  bodu 40 predloženého návrhu zákona: Žiadame predkladateľa v Čl. II  bode 40, ktorý upravuje § 57b ods. 3 zákona 429/2002 Z. z., aby odkaz na poznámku pod čiarou č. 68a) nasledujúci za slovami „a v príslušných prípadoch v súlade s osobitným predpisom“ vypustil a vytvoril odkaz na novú poznámku pod čiarou, v ktorej bude samostatne uvedené ustanovenie čl. 8 nariadenia (EÚ) č. 1227/2011 v platnom znení a zároveň aby z poznámky pod čiarou k odkazu č. 68a) ustanovenie čl. 8 nariadenia (EÚ) č. 1227/2011 v platnom znení vypustil. Máme zato, že zmena v poznámke pod čiarou by korelovala so zmenou v normatívnej časti textu, kde v momentálne účinnom znení text § 57b ods. 3 zákona 429/2002 Z. z. jednotne odkazuje na povinnosti vyplývajúce z čl. 26 nariadenia (EÚ) č. 600/2014 v platnom znení a čl. 8 nariadenia (EÚ) č. 1227/2011 v platnom znení. V  čl. 26 nariadenia (EÚ) č. 600/2014 v platnom znení ide o oznamovanie transakcií s finančnými nástrojmi vo všeobecnosti, ale čl. 8 nariadenia (EÚ) č. 1227/2011 v platnom znení sa vzťahuje iba na oznamovanie záznamov o transakciách na veľkoobchodných trhoch s energiou. Nové znenie § 57b ods. 3 zákona 429/2002 Z. z. indikuje, že je potrebné medzi týmito dvoma prípadmi rozlišovať a teda žiadame predkladateľa, aby tomu zodpovedajúc upravil aj poznámky pod čiarou. Zároveň žiadame uvádzať uvedené nariadenia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III predloženého návrhu zákona (účinnosť zákona): Žiadame upraviť účinnosť bodov č. 24, 28 a 29 v rámci Čl. II návrhu, nakoľko navrhovaná účinnosť nezodpovedá transpozičnej lehote smerníc, ktoré sa týmito bodmi transponujú do slovenského právneho poriadku:</w:t>
              <w:br/>
            </w:r>
            <w:r>
              <w:rPr>
                <w:b w:val="off"/>
                <w:color w:val="000000"/>
                <w:rFonts w:ascii="Times New Roman" w:hAnsi="Times New Roman" w:cs="Times New Roman" w:eastAsia="Times New Roman"/>
                <w:sz w:val="24"/>
              </w:rPr>
              <w:t xml:space="preserve">•	Účinnosť bodov 24 a 28 v Čl. II, ktoré predstavujú transpozičné ustanovenia k smernici (EÚ) 2024/790, je navrhovaná na 6.6.2026, pričom transpozičná lehota smernice (EÚ) 2024/790 je stanovená na 29.9.2025, čo môže viesť k transpozičnému deficitu Slovenskej republiky a následne ku konaniam proti Slovenskej republike zo strany Európskej únie. </w:t>
              <w:br/>
            </w:r>
            <w:r>
              <w:rPr>
                <w:b w:val="off"/>
                <w:color w:val="000000"/>
                <w:rFonts w:ascii="Times New Roman" w:hAnsi="Times New Roman" w:cs="Times New Roman" w:eastAsia="Times New Roman"/>
                <w:sz w:val="24"/>
              </w:rPr>
              <w:t>•	Účinnosť Čl. II bodu 29, ktorý predstavuje transpozičné ustanovenie k smernici (EÚ) 2024/2811 je navrhovaná na 29.9.2025, pričom transpozičná lehota smernice (EÚ) 2024/2811 je stanovená na 6.6.2026. V tomto prípade máme za to, že ide o goldplating, kedy navrhovaná úprava ide nad rámec minimálnych požiadaviek danej smernice. V tabuľkách zhody žiadame v deviatom stĺpci uviesť slová „GP – A d) prísnejšie vymáhanie“, a v desiatom stĺpci uviesť oblasť, na ktorú má goldplating vplyv. V závere tabuliek zhody žiadame uvádzať Vyjadrenie k opodstatnenosti goldplatingu a jeho odôvodnenie, a navrhovanú prísnejšiu úpravu žiadame odôvodniť aj v siedmom bode doložky vybraných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zohľadnená  rôzna účinnosť, nejde o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žiadame vypustiť text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doplniť nariadenie (EÚ) 596/2014 v platnom znení spolu s gestorom, príp. spolugestormi.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Z bodu 4 písm. b) doložky zlučiteľnosti žiadame vypustiť informáciu o konaní INFR (2024)2219, nakoľko konanie bolo ukončené dňa 12.3.2025.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4 písm. c) žiadame pri smerniciach (EÚ) 2024/2811, (EÚ) 2024/2994 a (EÚ) 2024/790 uviesť, že k transponovaniu uvedených smerníc dochádza predkladaným návrhom zákona. Zároveň žiadame uviesť v ktorých právnych predpisoch sú transponované ostatné smernice, ktoré sú uvedené v bode 3 písm. b)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Žiadame predkladateľa, aby v bode 5 doložky zlučiteľnosti doplnil informáciu, že smernica (EÚ) 2024/2994 je predloženým návrhom zákona transponovaná iba čiastočne spolu s odôvodnením v súlade s prílohou č. 2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transpozícii a tabuľkám zhody:</w:t>
              <w:br/>
            </w:r>
            <w:r>
              <w:rPr>
                <w:b w:val="off"/>
                <w:color w:val="000000"/>
                <w:rFonts w:ascii="Times New Roman" w:hAnsi="Times New Roman" w:cs="Times New Roman" w:eastAsia="Times New Roman"/>
                <w:sz w:val="24"/>
              </w:rPr>
              <w:t>Žiadame predkladateľa, aby všade v tabuľkách zhody, kde sú ako transpozičné opatrenia uvedené ustanovenia, ktoré odkazujú na poznámku pod čiarou č. 68a) premietli úpravu poznámky pod čiarou č. 68a) aj do tabuliek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1.	Pri preukazovaní transpozície čl. 1 ods. 1 smernice (EÚ) 2024/790 žiadame predkladateľa, aby vyplnil stĺpce 4, 5 a 6 tabuľky zhody tak, aby uvedené stĺpce korelovali a aby z daných stĺpcov jasne vyplývalo, ktoré ustanovenie predstavuje transpozičné ustanovenie k čl. I ods. 1 smernice (EÚ) 2024/790. Upozorňujeme, že ustanovenie uvedené v piatom stĺpci tabuľky zhody a text uvedený v šiestom stĺpci tabuľky zhody sa nezhoduje s návrhom zákona, kde sa vypustenie  písmena x) z § 3 ods. 3 zákona č. 429/2002 Z. z. v znení neskorších predpisov nenachádza. Žiadame zosúladiť text tabuľky zhody s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2.	Pri preukazovaní transpozície čl. 1 ods. 3 smernice (EÚ) 2024/790 žiadame predkladateľa, aby prehodnotil preukazovanie transpozície tohto ustanovenia prostredníctvom navrhovaného § 1 ods. 1 zákona č. 429/2002 Z. z., vzhľadom na to, že „multilaterálny systém“, ktorý je definovaný v čl. 1 ods. 3 smernice (EÚ) 2024/790, nezodpovedá „mnohostrannému obchodnému systému“, ktorý je definovaný v čl. 4 ods. 1 bod 22 smernice 2014/65/EÚ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3.	Pri preukazovaní transpozície čl. 1 ods. 5 smernice (EÚ) 2024/790 žiadame predkladateľa, aby v stĺpci 4 tabuľky zhody namiesto Čl. II bod 27 uvádzal Čl. II bod 28, ktorý upravuje § 52 ods. 9 zákon č. 429/2002 Z. z. Čl. II bod 27 upravuje iné ustanovenie. Zároveň je potrebné v stĺpci 5 tabuľky zhody uvádzať aj poznámku pod čiarou k odkazu č. 22aad).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4.	Transpozíciu čl. 1 ods. 6 smernice (EÚ) 2024/790 prostredníctvom Čl. II bod 4 predloženého návrhu zákona (navrhovaný § 14 ods. 5 písm. i) zákona č. 429/2002 Z. z.) považujeme za nesprávnu. Čl. 47 ods. 1 písm. h) smernice 2014/65/EÚ v platnom znení požaduje, aby regulovaný trh „mal aspoň troch reálne aktívnych členov alebo používateľov...“, pričom § 14 ods. 5 písm. i) zákona č. 429/2002 Z. z. požaduje iba „povinnosť zaviesť vhodné opatrenia pre obchodovanie aspoň troch aktívnych členov alebo používateľov...“. Požiadavku „mať aspoň troch reálne aktívnych členov alebo používateľov“ nepovažujeme za dostatočne transponovanú ako „povinnosť zaviesť vhodné opatrenia pre obchodovanie aspoň troch aktívnych členov alebo používateľov...“.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5.	Pri preukazovaní transpozície čl. 1 ods. 11 smernice (EÚ) 2024/790 (čl. 58 ods. 1 prvý pododsek smernice 2014/65/EÚ v platnom znení) prostredníctvom  Čl. II bodu 37 predloženého návrhu zákona je navrhovaná úvodná veta v § 57b ods. 1 zákona č. 429/2002 Z. z. v šiestom stĺpci tabuľky zhody uvedená 2-krát za sebou. Ustanovenie žiadame uviesť iba jeden 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6.	Pri preukazovaní transpozície čl. 1 ods. 11  (čl. 58 ods. 1 písm. a) smernice 2014/65/EÚ v platnom znení) prostredníctvom  Čl. II bodu 38 predloženého návrhu zákona, žiadame text  uvedený v stĺpci 6 tabuľky zhody zosúladiť s textom § 57b ods. 1 písm. a) zákona č. 429/2002 Z. z. predloženého návrhu zákona a síce text uvedený ako písm. b) označiť ako bod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7.	Pri preukazovaní transpozície čl. 1 bod 11 smernice (EÚ) 2024/790 do slovenského právneho poriadku (§ 57b ods. 3 návrhu) žiadame  v stĺpci 6 tabuľky zhody vypustiť číslicu 4 pred textom „Poznámka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2024/790:</w:t>
              <w:br/>
            </w:r>
            <w:r>
              <w:rPr>
                <w:b w:val="off"/>
                <w:color w:val="000000"/>
                <w:rFonts w:ascii="Times New Roman" w:hAnsi="Times New Roman" w:cs="Times New Roman" w:eastAsia="Times New Roman"/>
                <w:sz w:val="24"/>
              </w:rPr>
              <w:t>8.	Pri preukazovaní transpozície čl. 1 ods. 12 smernice (EÚ) 2024/790 do slovenského právneho poriadku žiadame v šiestom stĺpci tabuľky zhody uviesť namiesto poznámky pod čiarou č. 39) poznámku pod čiarou č. 71a).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2024/2811:</w:t>
              <w:br/>
            </w:r>
            <w:r>
              <w:rPr>
                <w:b w:val="off"/>
                <w:color w:val="000000"/>
                <w:rFonts w:ascii="Times New Roman" w:hAnsi="Times New Roman" w:cs="Times New Roman" w:eastAsia="Times New Roman"/>
                <w:sz w:val="24"/>
              </w:rPr>
              <w:t>1.	V celej tabuľke zhody so smernicou (EÚ) 2024/2811 žiadame zosúladiť označenie čísla novelizačného bodu v  4. stĺpci s označením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2024/2811:</w:t>
              <w:br/>
            </w:r>
            <w:r>
              <w:rPr>
                <w:b w:val="off"/>
                <w:color w:val="000000"/>
                <w:rFonts w:ascii="Times New Roman" w:hAnsi="Times New Roman" w:cs="Times New Roman" w:eastAsia="Times New Roman"/>
                <w:sz w:val="24"/>
              </w:rPr>
              <w:t>2.	Pri preukazovaní transpozície čl. 1 ods. 2 písm. a) smernice (EÚ) 2024/2811 do slovenského právneho poriadku žiadame v šiestom stĺpci tabuľky zhody doplniť za text uvedený v § 73b ods. 23 poznámku pod čiarou k odkazu 58hfb).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2024/2811:</w:t>
              <w:br/>
            </w:r>
            <w:r>
              <w:rPr>
                <w:b w:val="off"/>
                <w:color w:val="000000"/>
                <w:rFonts w:ascii="Times New Roman" w:hAnsi="Times New Roman" w:cs="Times New Roman" w:eastAsia="Times New Roman"/>
                <w:sz w:val="24"/>
              </w:rPr>
              <w:t>3.	Pri preukazovaní transpozície čl. 1 ods. 2 písm. a) smernice (EÚ) 2024/2811 do slovenského právneho poriadku žiadame v šiestom stĺpci tabuľky zhody doplniť za text uvedený v § 73b ods. 25 poznámku pod čiarou k odkazu 58hab).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2024/2811:</w:t>
              <w:br/>
            </w:r>
            <w:r>
              <w:rPr>
                <w:b w:val="off"/>
                <w:color w:val="000000"/>
                <w:rFonts w:ascii="Times New Roman" w:hAnsi="Times New Roman" w:cs="Times New Roman" w:eastAsia="Times New Roman"/>
                <w:sz w:val="24"/>
              </w:rPr>
              <w:t>4.	Pri preukazovaní transpozície čl. 1 ods. 2 písm. a) smernice (EÚ) 2024/2811 do slovenského právneho poriadku žiadame v šiestom stĺpci tabuľky zhody doplniť za text uvedený v § 73b ods. 26 poznámku pod čiarou k odkazu 58hac).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2024/2811:</w:t>
              <w:br/>
            </w:r>
            <w:r>
              <w:rPr>
                <w:b w:val="off"/>
                <w:color w:val="000000"/>
                <w:rFonts w:ascii="Times New Roman" w:hAnsi="Times New Roman" w:cs="Times New Roman" w:eastAsia="Times New Roman"/>
                <w:sz w:val="24"/>
              </w:rPr>
              <w:t>5.	Pri preukazovaní transpozície čl. 1 ods. 3 smernice (EÚ) 2024/2811 do slovenského právneho poriadku sa znenie uvedené v  šiestom stĺpci (navrhovaný § 56 ods. 1 zákona č. 429/2002 Z. z. v znení neskorších predpisov) nezhoduje s textom uvedeným v návrhu zákona. Žiadame text v tabuľke zhody zosúladiť s textom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1.	Transpozícia čl. 1 a 2 smernice (EÚ) 2024/2994 do slovenského právneho poriadku bude podľa stĺpca 8 uskutočnená až v najbližšej novele zákona č. 203/2011 Z. z. v znení neskorších predpisov, resp. v najbližšej novele zákona č. 483/2001 Z. z. v znení neskorších predpisov. V tabuľke zhody v stĺpci 7 je potrebné uviesť označenie „Ž“, keďže zhoda nebude dosiahnutá (žiadna zhoda) a zároveň je túto skutočnosť potrebné uviesť aj v bode 5 doložky zlučiteľnosti, spolu s odôvodnením netranspozície.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2.	Pri preukazovaní transpozície čl. 3 ods. 1 smernice (EÚ) 2024/2994 do slovenského právneho poriadku je v tabuľke zhody transponovaná iba definícia kvalifikovanej centrálnej protistrany. Definícia centrálnej protistrany bude podľa stĺpca 8 transponovaná až v najbližšej novele zákona č. 203/2011 Z. z. v znení neskorších predpisov. V tabuľke zhody v stĺpci 7 je potrebné uviesť, že ide o čiastočnú transpozíciu a zároveň je túto skutočnosť potrebné uviesť aj v bode 5 doložky zlučiteľnosti, spolu s odôvodnením neúplnej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3.	Pri preukazovaní transpozície čl. 3 ods. 1 smernice (EÚ) 2024/2994 do slovenského právneho poriadku žiadame v piatom stĺpci tabuľky zhody pred označenie relevantného odseku 32 doplniť aj označenie paragrafu „§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4.	Pri preukazovaní transpozície čl. 3 ods. 2 smernice (EÚ) 2024/2994 do slovenského právneho poriadku žiadame v šiestom stĺpci tabuľky zhody doplniť za text navrhovaného § 71d ods. 2 zákona č. č. 566/2001 Z. z. poznámku pod čiarou k odkazu 56acaba).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5.	Pri preukazovaní transpozície čl. 3 ods. 3 smernice (EÚ) 2024/2994 prostredníctvom Čl. I bodu 7 návrhu zákona (navrhovaný §71c ods. 7 zákona č. 566/2001 Z. z.) žiadame v šiestom stĺpci tabuľky zhody zosúladiť jeho znenie s textom návrhu zákona a za text vložiť poznámku pod čiarou k odkazu 56acaba).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2024/2994:</w:t>
              <w:br/>
            </w:r>
            <w:r>
              <w:rPr>
                <w:b w:val="off"/>
                <w:color w:val="000000"/>
                <w:rFonts w:ascii="Times New Roman" w:hAnsi="Times New Roman" w:cs="Times New Roman" w:eastAsia="Times New Roman"/>
                <w:sz w:val="24"/>
              </w:rPr>
              <w:t>6.	Pri preukazovaní transpozície čl. 3 ods. 4 smernice (EÚ) 2024/2994 prostredníctvom Čl. I bodu 20 návrhu zákona (navrhovaný §135 ods. 9 zákona č. 566/2001 Z. z.) do slovenského právneho poriadku žiadame v šiestom stĺpci tabuľky zhody doplniť za text poznámku pod čiarou k odkazu 56acaba).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súlade s čl. 20 ods. 2 Legislatívnych pravidiel vlády SR žiadame informáciu, že predkladaný návrh zákona nie je predmetom vnútrokomunitárneho pripomienkového konania vypustiť z predkladacej správy a uvádzať vo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2.	Vo všeobecnej časti dôvodovej správy v písmene c) žiadame názov nariadenia (EÚ) č. 648/2012 uvádzať so slovami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3.	V Čl. I bode 8  žiadame  názov nariadenia (EÚ) č. 648/2012 uvádzať so slovami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4.	V Čl. I bode 12 žiadame  názov nariadenia (EÚ) 600/2014 uvádzať so slovami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5.	V odôvodnení k Čl. I bodu 18 predkladateľ uvádza, že ide o zosúladenie s čl. 1 bod 9 nariadenia (EÚ) 2024/2809. Uvedené ustanovenie v návrhu zákona však obsahuje poznámku pod čiarou č. 102ad), ktorá odkazuje na čl. 7 nariadenia (EÚ) 2017/1129 v platnom znení (súhrn prospektu). Text odôvodnenia podľa nášho názoru nezodpovedná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	V odôvodnení k Čl. I bodu 19 predkladateľ uvádza, že ide o "vyprecizovanie" nariadenia (EÚ) 2020/1503 v platnom znení -  čl. 11 ods. 8. Predkladaný návrh však v bode 19 upravuje povinnosť poskytovateľovi služieb uložiť účtovnú závierku do registra účtovných závierok. Text odôvodnenia podľa nášho názoru nezodpovedná návrhu zákona. Zároveň žiadame nariadenie (EÚ) 2020/1503 v platnom znení uvádzať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7.	V odôvodnení čl. I k bodom 21, 22 a 24 sa uvádza, že ide o zosúladenie s čl. 1 bod 9 nariadenia (EÚ) 2024/2809. Uvedené ustanovenia sú však iba prečíslované z dôvodu vloženia odseku 9 do § 135 zákona č.566/2001 Z.z. v znení neskorších predpisov. Žiadame zosúladenie textu dôvodovej správy s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8.	V odôvodnení k čl. I bodu 23 žiadame upraviť text nariadenia nasledovne „nariadenie (EÚ) 600/2014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9.	V odôvodnení k čl. II bodu 2 žiadame názov smernice 2014/65/EÚ uvádzať so slovami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10.	V odôvodnení k čl. II bodu 15 žiadame názov nariadenia (EÚ) 2017/568 uvádzať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11.	V odôvodnení k čl. II bodu 33 žiadame nahradiť slovo „transpozíciu“ slovom „implementáciu“.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Navrhnuté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54 ods. 16</w:t>
              <w:br/>
            </w:r>
            <w:r>
              <w:rPr>
                <w:b w:val="off"/>
                <w:color w:val="000000"/>
                <w:rFonts w:ascii="Times New Roman" w:hAnsi="Times New Roman" w:cs="Times New Roman" w:eastAsia="Times New Roman"/>
                <w:sz w:val="24"/>
              </w:rPr>
              <w:t>Aktuálny návrh znie:  ktoré súvisia so službami na finančnom trhu, alebo činnosti</w:t>
              <w:br/>
            </w:r>
            <w:r>
              <w:rPr>
                <w:b w:val="off"/>
                <w:color w:val="000000"/>
                <w:rFonts w:ascii="Times New Roman" w:hAnsi="Times New Roman" w:cs="Times New Roman" w:eastAsia="Times New Roman"/>
                <w:sz w:val="24"/>
              </w:rPr>
              <w:t>Navrhujem preformulovať nasledovne: ktoré súvisia s inými službami a aktivitami na finančných trhoch, alebo činnosti</w:t>
              <w:br/>
            </w:r>
            <w:r>
              <w:rPr>
                <w:b w:val="off"/>
                <w:color w:val="000000"/>
                <w:rFonts w:ascii="Times New Roman" w:hAnsi="Times New Roman" w:cs="Times New Roman" w:eastAsia="Times New Roman"/>
                <w:sz w:val="24"/>
              </w:rPr>
              <w:t>Ustanovenie tak bude lepšie interpretovateľné.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Vždy ide o službu poskytovanú zo strany obchodníka s cennými papiermi.</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BCPB</w:t>
            </w:r>
            <w:r>
              <w:rPr>
                <w:b w:val="off"/>
                <w:color w:val="000000"/>
                <w:rFonts w:ascii="Times New Roman" w:hAnsi="Times New Roman" w:cs="Times New Roman" w:eastAsia="Times New Roman"/>
                <w:sz w:val="24"/>
              </w:rPr>
              <w:t xml:space="preserve"> – Burza cenných papierov v Bratislave,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41 (41o,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64 (64o,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50 (50o,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170 (170o,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