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566/2001 Z. z. o cenných papieroch a investičných službách a o zmene a doplnení niektorých zákonov (zákon o cenných papieroch)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LP/2024/628</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77/4</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77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47</w:t>
      </w:r>
      <w:r w:rsidR="00754CB0">
        <w:rPr>
          <w:rFonts w:ascii="Times New Roman" w:eastAsia="Times New Roman" w:hAnsi="Times New Roman" w:cs="Times New Roman"/>
          <w:sz w:val="24"/>
          <w:szCs w:val="24"/>
        </w:rPr>
        <w:t>/3</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8/</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22</w:t>
      </w:r>
      <w:r w:rsidR="004A48F0">
        <w:rPr>
          <w:rFonts w:ascii="Times New Roman" w:eastAsia="Times New Roman" w:hAnsi="Times New Roman" w:cs="Times New Roman"/>
          <w:sz w:val="24"/>
          <w:szCs w:val="24"/>
        </w:rPr>
        <w:t>/1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FOV</w:t>
              <w:br/>
            </w:r>
            <w:r>
              <w:rPr>
                <w:b w:val="off"/>
                <w:color w:val="000000"/>
                <w:rFonts w:ascii="Times New Roman" w:hAnsi="Times New Roman" w:cs="Times New Roman" w:eastAsia="Times New Roman"/>
                <w:sz w:val="24"/>
              </w:rPr>
              <w:t>Fond ochrany vkladov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Fond ochrany vkladov k Návrhu zákona, ktorým sa mení a dopĺňa zákon č. 566/2001 Z. z. o cenných papieroch a investičných službách a o zmene a doplnení niektorých zákonov (zákon o cenných papieroch) v znení neskorších predpisov a ktorým sa menia a dopĺňajú niektoré zákony neuplatňuje žiadne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úvodnej vete článkov</w:t>
              <w:br/>
            </w:r>
            <w:r>
              <w:rPr>
                <w:b w:val="off"/>
                <w:color w:val="000000"/>
                <w:rFonts w:ascii="Times New Roman" w:hAnsi="Times New Roman" w:cs="Times New Roman" w:eastAsia="Times New Roman"/>
                <w:sz w:val="24"/>
              </w:rPr>
              <w:t>1.	V úvodných vetách čl. I, IV, V, VII, IX a XI sa stotožňujeme s predkladateľom zvoleným riešením kedy  v úvodnej vete novelizačného článku uvádza aj číslo parlamentnej tlače,  ak zákon novelizovaný návrhom novely je zároveň novelizovaný vládnym návrhom zákony v skoršom legislatívnom procese, čo prispieva k sprehľadneniu a k zjednodušeniu a zrýchleniu orientácie pripomienkujúcich subjektov.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2.	V čl. I bode 1  navrhujeme slová „či uzatvoril zmluvu“ nahradiť slovami „o uzatvorení zmluvy“.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považuje predkladateľ za vhodnejšie z dôvodu presnejšie transpozície smernice (EÚ) 2014/59 čl. 26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2 a 3</w:t>
              <w:br/>
            </w:r>
            <w:r>
              <w:rPr>
                <w:b w:val="off"/>
                <w:color w:val="000000"/>
                <w:rFonts w:ascii="Times New Roman" w:hAnsi="Times New Roman" w:cs="Times New Roman" w:eastAsia="Times New Roman"/>
                <w:sz w:val="24"/>
              </w:rPr>
              <w:t>3.	V čl. I bodoch 2 a 3 odporúčame „§ 143r“ označiť ako „§ 143q“.</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2</w:t>
              <w:br/>
            </w:r>
            <w:r>
              <w:rPr>
                <w:b w:val="off"/>
                <w:color w:val="000000"/>
                <w:rFonts w:ascii="Times New Roman" w:hAnsi="Times New Roman" w:cs="Times New Roman" w:eastAsia="Times New Roman"/>
                <w:sz w:val="24"/>
              </w:rPr>
              <w:t>4.	V čl. I bode 2 v navrhovanom § 143r ods. 2 písm. b) prvom bode odporúčame slová „s ktorými“ nahradiť slovom „s ktorou“.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považuje predkladateľ za vhodnejšie z dôvodu vecného posunu.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1</w:t>
              <w:br/>
            </w:r>
            <w:r>
              <w:rPr>
                <w:b w:val="off"/>
                <w:color w:val="000000"/>
                <w:rFonts w:ascii="Times New Roman" w:hAnsi="Times New Roman" w:cs="Times New Roman" w:eastAsia="Times New Roman"/>
                <w:sz w:val="24"/>
              </w:rPr>
              <w:t>5.	V čl. III bode 1 v § 34c ods. 2 písm. b) treťom bode navrhujeme slovo  „subjektov“ nahradiť iným významovo vhodným slovom napr. „osôb“.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znenie považuje predkladateľ za vhodnejšie, nakoľko pojem "subjekt" má širší význam, pričom sa nejedná len o fyzickú alebo právnickú osobu.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poznámke pod čiarou 5r</w:t>
              <w:br/>
            </w:r>
            <w:r>
              <w:rPr>
                <w:b w:val="off"/>
                <w:color w:val="000000"/>
                <w:rFonts w:ascii="Times New Roman" w:hAnsi="Times New Roman" w:cs="Times New Roman" w:eastAsia="Times New Roman"/>
                <w:sz w:val="24"/>
              </w:rPr>
              <w:t>6.	V čl. III v poznámke pod čiarou k odkazu 5r odporúčame uviesť úplnú citáciu zákona č. 39/2015 Z. z. o poisťovníctve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Predmetný článok III. bol z návrhu vypustený ako celok.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bodu 8</w:t>
              <w:br/>
            </w:r>
            <w:r>
              <w:rPr>
                <w:b w:val="off"/>
                <w:color w:val="000000"/>
                <w:rFonts w:ascii="Times New Roman" w:hAnsi="Times New Roman" w:cs="Times New Roman" w:eastAsia="Times New Roman"/>
                <w:sz w:val="24"/>
              </w:rPr>
              <w:t>7.	V čl. V bode 8 v § 59c ods. 1  navrhujeme  zrušiť označenia pododsekov a text v nich uviesť ako súčasť ustanovenia bez jeho vnútorného členenia a čiarku za slovami „ods. 2“ nahradiť  významovo vhodnou spojkou.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Uvedené ustanovenie je rozčlenené z dôvodu rozličnej účinnosti.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bodu 8</w:t>
              <w:br/>
            </w:r>
            <w:r>
              <w:rPr>
                <w:b w:val="off"/>
                <w:color w:val="000000"/>
                <w:rFonts w:ascii="Times New Roman" w:hAnsi="Times New Roman" w:cs="Times New Roman" w:eastAsia="Times New Roman"/>
                <w:sz w:val="24"/>
              </w:rPr>
              <w:t>8.	V čl. V bode 8 v navrhovanom § 59c ods. 3 a 4 odporúčame slová „požiadavku podľa odseku 2“ nahradiť slovami „požiadavky podľa odseku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bodu 9</w:t>
              <w:br/>
            </w:r>
            <w:r>
              <w:rPr>
                <w:b w:val="off"/>
                <w:color w:val="000000"/>
                <w:rFonts w:ascii="Times New Roman" w:hAnsi="Times New Roman" w:cs="Times New Roman" w:eastAsia="Times New Roman"/>
                <w:sz w:val="24"/>
              </w:rPr>
              <w:t>9.	V čl. V bode 9 v § 68k ods. 1 navrhujeme vypustiť slová „§ 59c“ za slovom „a“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bodu 9</w:t>
              <w:br/>
            </w:r>
            <w:r>
              <w:rPr>
                <w:b w:val="off"/>
                <w:color w:val="000000"/>
                <w:rFonts w:ascii="Times New Roman" w:hAnsi="Times New Roman" w:cs="Times New Roman" w:eastAsia="Times New Roman"/>
                <w:sz w:val="24"/>
              </w:rPr>
              <w:t>10.	V čl. V bode 9 v § 68k ods. 2 navrhujeme vypustiť  slová „§ 59b“ za slovami „písm.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bodom 1 a 2</w:t>
              <w:br/>
            </w:r>
            <w:r>
              <w:rPr>
                <w:b w:val="off"/>
                <w:color w:val="000000"/>
                <w:rFonts w:ascii="Times New Roman" w:hAnsi="Times New Roman" w:cs="Times New Roman" w:eastAsia="Times New Roman"/>
                <w:sz w:val="24"/>
              </w:rPr>
              <w:t>11.	V čl. VI navrhujeme spojiť body 1 a 2 do jedného a nasledujúce body primerane prečíslovať, keďže oba body novelizujú § 23b ods. 1  s tou istou účinnosťou.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bodu 4</w:t>
              <w:br/>
            </w:r>
            <w:r>
              <w:rPr>
                <w:b w:val="off"/>
                <w:color w:val="000000"/>
                <w:rFonts w:ascii="Times New Roman" w:hAnsi="Times New Roman" w:cs="Times New Roman" w:eastAsia="Times New Roman"/>
                <w:sz w:val="24"/>
              </w:rPr>
              <w:t>12.	V čl. VI bode 4 navrhujeme  bod upraviť takto: „V § 23c ods. 1 sa slová „jednotiek podľa § 23 ods. 6“ nahrádzajú slovami  „jednotiek , ktoré sú podľa § 23 ods. 6 uložené“.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bodu 5</w:t>
              <w:br/>
            </w:r>
            <w:r>
              <w:rPr>
                <w:b w:val="off"/>
                <w:color w:val="000000"/>
                <w:rFonts w:ascii="Times New Roman" w:hAnsi="Times New Roman" w:cs="Times New Roman" w:eastAsia="Times New Roman"/>
                <w:sz w:val="24"/>
              </w:rPr>
              <w:t>13.	V čl. VI bode 5 v § 23e ods. 4 navrhujeme slová „ustanovenia odsekov“ nahradiť slovom „odseky“.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bodu 6</w:t>
              <w:br/>
            </w:r>
            <w:r>
              <w:rPr>
                <w:b w:val="off"/>
                <w:color w:val="000000"/>
                <w:rFonts w:ascii="Times New Roman" w:hAnsi="Times New Roman" w:cs="Times New Roman" w:eastAsia="Times New Roman"/>
                <w:sz w:val="24"/>
              </w:rPr>
              <w:t>14.	V čl. VI  bode 6 navrhujeme vypustiť slovo „ustanovenia“ pre nadbytočnosť.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Navrhnutá formulácia je v súlade s platným znením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bodu 2</w:t>
              <w:br/>
            </w:r>
            <w:r>
              <w:rPr>
                <w:b w:val="off"/>
                <w:color w:val="000000"/>
                <w:rFonts w:ascii="Times New Roman" w:hAnsi="Times New Roman" w:cs="Times New Roman" w:eastAsia="Times New Roman"/>
                <w:sz w:val="24"/>
              </w:rPr>
              <w:t>15.	V čl. VII bode 2 v navrhovanom § 67d ods. 1 na konci odporúčame bodku na konci vety umiestniť pred odkaz.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bodu 3</w:t>
              <w:br/>
            </w:r>
            <w:r>
              <w:rPr>
                <w:b w:val="off"/>
                <w:color w:val="000000"/>
                <w:rFonts w:ascii="Times New Roman" w:hAnsi="Times New Roman" w:cs="Times New Roman" w:eastAsia="Times New Roman"/>
                <w:sz w:val="24"/>
              </w:rPr>
              <w:t>16.	V čl. VIII bode 3  navrhujeme upraviť znenie novelizačného príkazu tak, aby sa  v § 39 nedopĺňal novými odsekmi, ale aby sa za § 39 vkladal § 39a spolu s nadpisom pozostávajúci z troch pododsekov, keďže  § 39 upravuje sankcie a dopĺňané tri odseky  upravuje informovanie o opatreniach na nápravu.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znenie považuje predkladateľ za vhodnejšie a v súlade s ostatnými zákonmi finančného trhu.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bodu 3</w:t>
              <w:br/>
            </w:r>
            <w:r>
              <w:rPr>
                <w:b w:val="off"/>
                <w:color w:val="000000"/>
                <w:rFonts w:ascii="Times New Roman" w:hAnsi="Times New Roman" w:cs="Times New Roman" w:eastAsia="Times New Roman"/>
                <w:sz w:val="24"/>
              </w:rPr>
              <w:t>17.	V čl. VIII bode 3 v § 39 ods. 13 odporúčame formulovať úvodnú vetu v jednotnom čísle.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bodu 3</w:t>
              <w:br/>
            </w:r>
            <w:r>
              <w:rPr>
                <w:b w:val="off"/>
                <w:color w:val="000000"/>
                <w:rFonts w:ascii="Times New Roman" w:hAnsi="Times New Roman" w:cs="Times New Roman" w:eastAsia="Times New Roman"/>
                <w:sz w:val="24"/>
              </w:rPr>
              <w:t>18.	V čl. VIII bode 3 v navrhovanom § 39 ods. 13 odporúčame písmeno c) formulovať takto:</w:t>
              <w:br/>
            </w:r>
            <w:r>
              <w:rPr>
                <w:b w:val="off"/>
                <w:color w:val="000000"/>
                <w:rFonts w:ascii="Times New Roman" w:hAnsi="Times New Roman" w:cs="Times New Roman" w:eastAsia="Times New Roman"/>
                <w:sz w:val="24"/>
              </w:rPr>
              <w:t>„c) zverejniť anonymizované informácie podľa odseku 12.“.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ponechal pôvodne navrhované znenie, ktoré je v súlade s ostatnými zákonmi finančného trhu.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bodu 1</w:t>
              <w:br/>
            </w:r>
            <w:r>
              <w:rPr>
                <w:b w:val="off"/>
                <w:color w:val="000000"/>
                <w:rFonts w:ascii="Times New Roman" w:hAnsi="Times New Roman" w:cs="Times New Roman" w:eastAsia="Times New Roman"/>
                <w:sz w:val="24"/>
              </w:rPr>
              <w:t>19.	V čl. IX bod 1 odporúčame formulovať takto:</w:t>
              <w:br/>
            </w:r>
            <w:r>
              <w:rPr>
                <w:b w:val="off"/>
                <w:color w:val="000000"/>
                <w:rFonts w:ascii="Times New Roman" w:hAnsi="Times New Roman" w:cs="Times New Roman" w:eastAsia="Times New Roman"/>
                <w:sz w:val="24"/>
              </w:rPr>
              <w:t>„1. V § 30 ods. 10 sa slová „podľa §28a“ nahrádzajú slovami „podľa § 28 a 28a“.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Predkladateľ upravil formuláciu v súlade s platným znením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 bodu 2</w:t>
              <w:br/>
            </w:r>
            <w:r>
              <w:rPr>
                <w:b w:val="off"/>
                <w:color w:val="000000"/>
                <w:rFonts w:ascii="Times New Roman" w:hAnsi="Times New Roman" w:cs="Times New Roman" w:eastAsia="Times New Roman"/>
                <w:sz w:val="24"/>
              </w:rPr>
              <w:t>20.	V čl. X v bode 2 navrhujeme namiesto úpravy nadpisu trinástej časti, za trinástu časť vložiť novú štrnástu časť s nadpisom „Sprístupnenie informácií“ a nasledujúce časti prečíslovať a v nadväznosti na uvedené spojiť body 3 a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Ku kalkulačke nákladov</w:t>
              <w:br/>
            </w:r>
            <w:r>
              <w:rPr>
                <w:b w:val="off"/>
                <w:color w:val="000000"/>
                <w:rFonts w:ascii="Times New Roman" w:hAnsi="Times New Roman" w:cs="Times New Roman" w:eastAsia="Times New Roman"/>
                <w:sz w:val="24"/>
              </w:rPr>
              <w:t>Žiadame predkladateľa o priloženie Kalkulačky nákladov na podnikateľské prostredie do ďalšieho legislatívneho procesu.</w:t>
              <w:br/>
            </w:r>
            <w:r>
              <w:rPr>
                <w:b w:val="off"/>
                <w:color w:val="000000"/>
                <w:rFonts w:ascii="Times New Roman" w:hAnsi="Times New Roman" w:cs="Times New Roman" w:eastAsia="Times New Roman"/>
                <w:sz w:val="24"/>
              </w:rPr>
              <w:t>Odôvodnenie: Kalkulačka nákladov je podľa aktuálneho znenia Jednotnej metodiky na posudzovanie vybraných vplyvov povinnou súčasťou Analýzy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Odporúčame predkladateľovi v časti 13. Stanovisko Komisie na posudzovanie vybraných vplyvov z PPK doložky vybraných vplyvov doplniť číslo stanoviska Komisie. </w:t>
              <w:br/>
            </w:r>
            <w:r>
              <w:rPr>
                <w:b w:val="off"/>
                <w:color w:val="000000"/>
                <w:rFonts w:ascii="Times New Roman" w:hAnsi="Times New Roman" w:cs="Times New Roman" w:eastAsia="Times New Roman"/>
                <w:sz w:val="24"/>
              </w:rPr>
              <w:t>Odôvodnenie: Z dôvodu lepšej identifikácie procesu PPK.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upraviť znenie bodu 10. Poznámky v Doložke vybraných vplyvov.</w:t>
              <w:br/>
            </w:r>
            <w:r>
              <w:rPr>
                <w:b w:val="off"/>
                <w:color w:val="000000"/>
                <w:rFonts w:ascii="Times New Roman" w:hAnsi="Times New Roman" w:cs="Times New Roman" w:eastAsia="Times New Roman"/>
                <w:sz w:val="24"/>
              </w:rPr>
              <w:t>Odôvodnenie: Predkladateľ v predmetnom bode uvádza, že vplyvy návrhu pokladá za marginálne a z toho dôvodu nebola vypracovaná Analýza vplyvov na podnikateľské prostredie. Avšak vplyvy na podnikateľské prostredie boli vyznačené a analýza po predbežnom pripomienkovom konaní vypracovaná.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 xml:space="preserve">Odporúčame predkladateľovi doplniť Analýzu vplyvov na podnikateľské prostredie. </w:t>
              <w:br/>
            </w:r>
            <w:r>
              <w:rPr>
                <w:b w:val="off"/>
                <w:color w:val="000000"/>
                <w:rFonts w:ascii="Times New Roman" w:hAnsi="Times New Roman" w:cs="Times New Roman" w:eastAsia="Times New Roman"/>
                <w:sz w:val="24"/>
              </w:rPr>
              <w:t>Odôvodnenie: Do analýzy odporúčame na stranu č. 1 uviesť názov materiálu a predkladateľa.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návrhu zákona všeobecne</w:t>
              <w:br/>
            </w:r>
            <w:r>
              <w:rPr>
                <w:b w:val="off"/>
                <w:color w:val="000000"/>
                <w:rFonts w:ascii="Times New Roman" w:hAnsi="Times New Roman" w:cs="Times New Roman" w:eastAsia="Times New Roman"/>
                <w:sz w:val="24"/>
              </w:rPr>
              <w:t xml:space="preserve">Odporúčame v čl. I bode 1 za slovo „podpore“, v čl. V bode 8 § 59b ods. 1 písm. a) za slovo „emitenta“ a v čl. VI bode 5 § 23e ods. 3 písm. b) prvom bode za slovo „súvisia“ a ods. 5 za slová „a) a b)“ vložiť čiarku. </w:t>
              <w:br/>
            </w:r>
            <w:r>
              <w:rPr>
                <w:b w:val="off"/>
                <w:color w:val="000000"/>
                <w:rFonts w:ascii="Times New Roman" w:hAnsi="Times New Roman" w:cs="Times New Roman" w:eastAsia="Times New Roman"/>
                <w:sz w:val="24"/>
              </w:rPr>
              <w:t>Súčasne odporúčame v čl. VI bode 5 § 23e ods. 7 bodkočiarku za slovom „údajov“ nahradiť čiarkou.  Ide o gramatické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znenie považuje predkladateľ za vhodnejšie.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 a čl. V bodu 8</w:t>
              <w:br/>
            </w:r>
            <w:r>
              <w:rPr>
                <w:b w:val="off"/>
                <w:color w:val="000000"/>
                <w:rFonts w:ascii="Times New Roman" w:hAnsi="Times New Roman" w:cs="Times New Roman" w:eastAsia="Times New Roman"/>
                <w:sz w:val="24"/>
              </w:rPr>
              <w:t>Odporúčame v čl. I bode 2 § 143r ods. 3 a v čl. V bode 8 § 59c ods. 3 a 4 slovo „požiadavku“ nahradiť slovom „požiadavky“, vzhľadom na to, že ustanovenie odseku 2, na ktorý sa v uvedených ustanoveniach odkazuje, upravuje viaceré požiadavky a nie len jednu.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1</w:t>
              <w:br/>
            </w:r>
            <w:r>
              <w:rPr>
                <w:b w:val="off"/>
                <w:color w:val="000000"/>
                <w:rFonts w:ascii="Times New Roman" w:hAnsi="Times New Roman" w:cs="Times New Roman" w:eastAsia="Times New Roman"/>
                <w:sz w:val="24"/>
              </w:rPr>
              <w:t>Odporúčame v bode 1 § 34c ods. 2 písm. a) za slovo „alebo“ a za slovo „predpis“ vložiť čiarku, a čiarku za odkazom 5v vypustiť. Ide o gramatickú a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Navrhované znenie považuje predkladateľ z gramatického hľadiska za vhodnejšie a legislatívno-technická pripomienka bola akceptovaná.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3</w:t>
              <w:br/>
            </w:r>
            <w:r>
              <w:rPr>
                <w:b w:val="off"/>
                <w:color w:val="000000"/>
                <w:rFonts w:ascii="Times New Roman" w:hAnsi="Times New Roman" w:cs="Times New Roman" w:eastAsia="Times New Roman"/>
                <w:sz w:val="24"/>
              </w:rPr>
              <w:t>Odporúčame v bode 3 slovo „šestnástym“ nahradiť slovom „sedemnástym“ a číslo „16“ nahradiť číslom „17“, vzhľadom na to, že na základe zákona č. 334/2024 Z. z. bol už doplnený šestnásty bod do prílohy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bodu 1</w:t>
              <w:br/>
            </w:r>
            <w:r>
              <w:rPr>
                <w:b w:val="off"/>
                <w:color w:val="000000"/>
                <w:rFonts w:ascii="Times New Roman" w:hAnsi="Times New Roman" w:cs="Times New Roman" w:eastAsia="Times New Roman"/>
                <w:sz w:val="24"/>
              </w:rPr>
              <w:t>V poznámke pod čiarou k odkazu 29k odporúčame za slová „§ 33“ vložiť slová „ods. 2“ z dôvodu bližšej špecifikácie, nakoľko § 33 upravuje aj iné inštitúty.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bodu 3</w:t>
              <w:br/>
            </w:r>
            <w:r>
              <w:rPr>
                <w:b w:val="off"/>
                <w:color w:val="000000"/>
                <w:rFonts w:ascii="Times New Roman" w:hAnsi="Times New Roman" w:cs="Times New Roman" w:eastAsia="Times New Roman"/>
                <w:sz w:val="24"/>
              </w:rPr>
              <w:t>Odporúčame v § 39 ods. 13 vyšpecifikovať dobu, na akú je možné odložiť zverejnenie informácií podľa odseku 12.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považuje predkladateľ za vhodnejšie z dôvodu presnej transpozície smernice (EÚ) 2016/97 čl. 32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bodu 1</w:t>
              <w:br/>
            </w:r>
            <w:r>
              <w:rPr>
                <w:b w:val="off"/>
                <w:color w:val="000000"/>
                <w:rFonts w:ascii="Times New Roman" w:hAnsi="Times New Roman" w:cs="Times New Roman" w:eastAsia="Times New Roman"/>
                <w:sz w:val="24"/>
              </w:rPr>
              <w:t>Odporúčame v bode 1 slová „sa za slovo „podľa“ vkladajú slová „§ 28a““ nahradiť slovami „sa slová „§ 28a“ nahrádzajú slovami „§ 28 a 28a““.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upravil formuláciu v súlade s platným znením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bodu 1</w:t>
              <w:br/>
            </w:r>
            <w:r>
              <w:rPr>
                <w:b w:val="off"/>
                <w:color w:val="000000"/>
                <w:rFonts w:ascii="Times New Roman" w:hAnsi="Times New Roman" w:cs="Times New Roman" w:eastAsia="Times New Roman"/>
                <w:sz w:val="24"/>
              </w:rPr>
              <w:t>Odporúčame jasne zadefinovať v ustanovení § 32c ods. 2 písm. c) o akú skutočnosť má ísť, aby bolo jasné, že ide o vysvetlenie prečo zmluva neobsahuje niektorú z informácií.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považuje predkladateľ za vhodnejšie z dôvodu presnej transpozície smernice (EÚ) 2017/828 čl. 1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K bodu 1 (§ 220ge ods. 2): Odporúčame doplniť odkaz a poznámku pod čiarou na konkrétny predpis, ktorý upravuje predkladanie informácií dobrovoľne sprístupňovaných Národnou bankou Slovenska.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Obchodný zákonník je kódex, v ktorom sa v zmysle Legislatívnych pravidiel nepoužívajú odkazy pod čiarou. Z uvedeného dôvodu tieto informácie obsahuje osobitná časť dôvodovej správy, aby bola zabezpečená právna istota.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 1</w:t>
              <w:br/>
            </w:r>
            <w:r>
              <w:rPr>
                <w:b w:val="off"/>
                <w:color w:val="000000"/>
                <w:rFonts w:ascii="Times New Roman" w:hAnsi="Times New Roman" w:cs="Times New Roman" w:eastAsia="Times New Roman"/>
                <w:sz w:val="24"/>
              </w:rPr>
              <w:t xml:space="preserve">V čl. II bod 1, navrhujeme zvážiť vypustenie odseku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Nepovažujeme za vhodné uvádzať negatívne vymedzenie predkladania určitého typu informácií, o to viac v predpise, ktorý je kódexom.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Osobitná časť</w:t>
              <w:br/>
            </w:r>
            <w:r>
              <w:rPr>
                <w:b w:val="off"/>
                <w:color w:val="000000"/>
                <w:rFonts w:ascii="Times New Roman" w:hAnsi="Times New Roman" w:cs="Times New Roman" w:eastAsia="Times New Roman"/>
                <w:sz w:val="24"/>
              </w:rPr>
              <w:t>V osobitnej časti dôvodovej správy odporúčame predkladateľovi v časti týkajúcej sa čl. II jasne vymedziť, na ktoré predpisy text návrhu odkazuje.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Nakoľko novelizovaný predpis je kódexom, v ktorom sa v zmysle Legislatívnych pravidiel nepoužívajú odkazy pod čiarou, a keďže navrhované ustanovenie obsahuje odkaz v texte na osobitný predpis, je nevyhnutné v dôvodovej správe vyjasniť, o aké osobitné predpisy v danom prípade ide. Cieľom je zabezpečiť právnu istotu pre adresáta normy.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w:t>
              <w:br/>
            </w:r>
            <w:r>
              <w:rPr>
                <w:b w:val="off"/>
                <w:color w:val="000000"/>
                <w:rFonts w:ascii="Times New Roman" w:hAnsi="Times New Roman" w:cs="Times New Roman" w:eastAsia="Times New Roman"/>
                <w:sz w:val="24"/>
              </w:rPr>
              <w:t>Čl. III žiadame vypustiť. Následne žiadame novelizačné články návrhu zákona upraviť tak, aby informácie, ktoré majú konkrétne subjekty predkladať pre svoju oblasť sprístupňovania boli uvedené v sektorových zákonoch vrátane požiadaviek na tieto informácie a vrátane orgánu zberu údajov, ktorému sa tieto informácie majú predkladať.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systematiku legislatívy v oblasti finančného práva sa štandardne určujú povinnosti Národnej banky Slovenska vo vzťahu k dohliadaným subjektom v sektorových zákonoch alebo v zákone č. 747/2004 Z. z. o dohľade nad finančným trhom. Nesúhlasíme, aby sa povinnosti Národnej banky Slovenka ako orgánu zberu údajov upravovali v zákone o Národnej banke Slovenka a žiadame, aby sa upravili v sektorových zákonoch alebo v zákone o dohľade nad finančným trhom.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Článok III bol nahradený článkom VII, ktorý novelizuje zákon č. 747/2004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Žiadame, aby týmto návrhom zákona nebol určený orgán zberu údajov pre informácie, kde má byť orgán zberu údajov určený členským štátom do 9. januára 2028, resp. do 9. januára 2030, a to vrátane zberu dobrovoľných informácií.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k množstvu nejasností legislatívneho i technického charakteru považujeme za predčasné, aby orgán zberu údajov pre informácie, kde má byť orgán zberu údajov určený členským štátom do 9. januára 2028, resp. do 9. januára 2030 (vrátane dobrovoľných informácií) bol určený už teraz. Až delegované nariadenia Komisie, ktoré sú zatiaľ v procese prípravy, určia podrobnosti o vykonávaní povinností  orgánov zberu údajov, a až po ich prijatí bude členský štát schopný relevantne posúdiť, aký orgán má byť a môže byť určený ako orgán zberu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Národná banka Slovenska na základe rozporového konania dňa 28.1.2025 ustúpila od svojej zásadnej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Žiadame zúžiť rozsah oblastí, pre ktoré má byť Národná banka Slovenska určená ako orgán zberu údajov, a to najmä o tie prípady, keď informácie predkladajú subjekty, ktoré nie sú dohliadané Národnou bankou Slovenska, a o tie prípady, kde sa ustanovuje zber dobrovoľných informácií.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Vzhľadom k jednotlivým úlohám orgánu zberu údajov definovaným v článku 5 nariadenia 2023/2859, zásadne nesúhlasíme, aby Národná banka Slovenska bola určená ako orgán zberu údajov, obzvlášť v prípadoch, keď sú tieto informácie predkladané subjektmi, ktoré nie sú dohliadané Národnou bankou Slovenska, a v prípade zberu dobrovoľných informácií. Takáto situácia je napríklad obsiahnutá v novelizačnom čl. II a v novelizačnom čl. VI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by Národná banka Slovenska bola určená ako orgán zberu údajov aj v týchto prípadoch, Národnej banke Slovenska by boli uložené povinnosti nad rámec plnenia jej hlavného cieľa a základných úloh podľa Zmluvy o fungovaní EÚ. Zároveň to vyvolá zvýšené náklady na strane Národnej banky Slovenska, čo môže mať vplyv na jej nezávislosť zakotvenú v čl. 130 Zmluvy o fungovaní EÚ, čo otvára otázku financovania tejto navrhovanej úlohy pre Národnú banku Slovenska.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V bode 4. Dotknuté subjekty odporúčame slová „doplnková dôchodková spoločnosť (4)“ nahradiť slovami „doplnkové dôchodkové spoločnosti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sa odporúča z dôvodu zosúladenia textácie s ostatnými vybranými účtovnými jednotkami, ktorých sa predkladaný materiál priamo alebo nepriamo dotýka a sú uvádzané v pluráli.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 – k čl. VII bodu 2 (§ 67d)</w:t>
              <w:br/>
            </w:r>
            <w:r>
              <w:rPr>
                <w:b w:val="off"/>
                <w:color w:val="000000"/>
                <w:rFonts w:ascii="Times New Roman" w:hAnsi="Times New Roman" w:cs="Times New Roman" w:eastAsia="Times New Roman"/>
                <w:sz w:val="24"/>
              </w:rPr>
              <w:t xml:space="preserve">V prvej vete je potrebné slová „doplnkovej dôchodkovej poisťovni“ nahradiť slovami „doplnkovej dôchodkovej spoločnosti“, za slovami „Národná banka Slovenska“ navrhujeme vypustiť čiarku a slovo „napr.“, a navrhujeme precizovať nielen povinnosti doplnkovej dôchodkovej spoločnosti vo vzťahu k  ročnej správe o hospodárení tak, aby bolo zrejmé, či ide o správu o hospodárení s vlastným majetkom doplnkovej dôchodkovej spoločnosti alebo správy o hospodárení s majetkom v spravovaných doplnkových dôchodkových fondoch, ale uviesť aj iné povinnosti, ktoré vyplývajú doplnkovej dôchodkovej spoločnosti voči orgánu zberu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Text navrhujeme spresniť z dôvodu zosúladenia so zákonným znením. Z dôvodu jednoznačnosti sa odporúča špecifikovať, aký typ správy o hospodárení má doplnková dôchodková spoločnosť orgánu zberu údajov (NBS) predkladať (za doplnkovú dôchodkovú spoločnosť a/alebo aj za spravované doplnkové dôchodkové fondy), napríklad doplnením slovného spojenia „správy podľa § 65 ods. 1 písm. j)“ a obdobne špecifikovať aj iné povinnosti.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Slová "doplnková dôchodková poisťovňa" boli upravené podľa pripomienky. Predkladateľ považuje osobitnú časť dôvodovej správy za dostatočnú.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IX bodu 2</w:t>
              <w:br/>
            </w:r>
            <w:r>
              <w:rPr>
                <w:b w:val="off"/>
                <w:color w:val="000000"/>
                <w:rFonts w:ascii="Times New Roman" w:hAnsi="Times New Roman" w:cs="Times New Roman" w:eastAsia="Times New Roman"/>
                <w:sz w:val="24"/>
              </w:rPr>
              <w:t>V § 201d ods. 4 navrhujeme v písmene b) bode 1 za slovo  „spoločnosti“ vložiť slová „s povolením podľa § 28“ a bod 2 navrhujeme upraviť takto: „2. identifikátor právnickej osoby,89h) ak bol správcovskej spoločnosti s povolením podľa § 28 pridelený,“.</w:t>
              <w:br/>
            </w:r>
            <w:r>
              <w:rPr>
                <w:b w:val="off"/>
                <w:color w:val="000000"/>
                <w:rFonts w:ascii="Times New Roman" w:hAnsi="Times New Roman" w:cs="Times New Roman" w:eastAsia="Times New Roman"/>
                <w:sz w:val="24"/>
              </w:rPr>
              <w:t>V § 201d ods. 6 navrhujeme v písmene b) bod 2 upraviť takto: „2. identifikátor právnickej osoby,89h) ak bol správcovskej spoločnosti s povolením podľa § 28a pridelený,“.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Úpravu navrhujeme z dôvodu zjednotenia s textáciou v § 201d ods. 6, kde sa pri správcovskej spoločnosti uvádza, že ide o správcovskú spoločnosť s povolením podľa § 28a.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prípade identifikátora právnickej osoby považuje predkladateľ návrh za vhodnejší, zvyšná časť pripomienky bola akceptovaná.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VIII bodu 1</w:t>
              <w:br/>
            </w:r>
            <w:r>
              <w:rPr>
                <w:b w:val="off"/>
                <w:color w:val="000000"/>
                <w:rFonts w:ascii="Times New Roman" w:hAnsi="Times New Roman" w:cs="Times New Roman" w:eastAsia="Times New Roman"/>
                <w:sz w:val="24"/>
              </w:rPr>
              <w:t>V čl. VIII navrhujeme bod 1 upraviť takto: „1. V § 30 ods. 3 sa vypúšťajú slová „v sektore kapitálového trhu alebo“, suma „1 250 000 eur“ sa nahrádza sumou „1 564 610 eur“ a suma „1 850 000 eur“ sa nahrádza sumou „2 315 610 eur“.“.</w:t>
              <w:br/>
            </w:r>
            <w:r>
              <w:rPr>
                <w:b w:val="off"/>
                <w:color w:val="000000"/>
                <w:rFonts w:ascii="Times New Roman" w:hAnsi="Times New Roman" w:cs="Times New Roman" w:eastAsia="Times New Roman"/>
                <w:sz w:val="24"/>
              </w:rPr>
              <w:t>Zároveň navrhujeme za bod 1 vložiť nový bod 2, ktorý znie:</w:t>
              <w:br/>
            </w:r>
            <w:r>
              <w:rPr>
                <w:b w:val="off"/>
                <w:color w:val="000000"/>
                <w:rFonts w:ascii="Times New Roman" w:hAnsi="Times New Roman" w:cs="Times New Roman" w:eastAsia="Times New Roman"/>
                <w:sz w:val="24"/>
              </w:rPr>
              <w:t>„2. V § 30 ods. 3 sa na konci pripája táto veta: „Ak ide o samostatného finančného agenta alebo finančného poradcu, ktorý je oprávnený vykonávať finančné sprostredkovanie alebo finančné poradenstvo v sektore kapitálového trhu, limit poistného plnenia pre toto poistné krytie v poistnej zmluve podľa odseku 2 musí byť najmenej 1 250 000 eur na každú poistnú udalosť a najmenej 1 850 000 eur úhrnom pre všetky poistné udalosti vzniknuté v jednom kalendárnom roku.“.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Delegované nariadenie Komisie EÚ 2024/896 z 5. decembra 2023, ktorým sa mení smernica Európskeho parlamentu a Rady (EÚ) 2016/97, pokiaľ ide o regulačné technické predpisy upravujúce základné sumy v eurách pre poistenie pre prípad zodpovednosti za škodu spôsobenú pri vykonávaní činnosti a pre peňažné prostriedky sprostredkovateľov poistenia, zaistenia a doplnkového poistenia s účinnosťou od 9. 10. 2024 zvyšuje minimálne limity poistného krytia pre poistenie zodpovednosti za škodu spôsobenú pri výkone finančného sprostredkovania alebo finančného poradenstva v sektore poistenia alebo zaistenia. V sektore kapitálového trhu nechce NBS meniť limity poistného krytia určené súčasným znením zákona, preto navrhujeme znenie odseku 3 upraviť tak, aby prvá veta upravovala poistné krytie v sektore poistenia a zaistenia a druhá veta poistné krytie v sektore kapitálového trhu.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 bodu 2 (§ 67d ods. 4)</w:t>
              <w:br/>
            </w:r>
            <w:r>
              <w:rPr>
                <w:b w:val="off"/>
                <w:color w:val="000000"/>
                <w:rFonts w:ascii="Times New Roman" w:hAnsi="Times New Roman" w:cs="Times New Roman" w:eastAsia="Times New Roman"/>
                <w:sz w:val="24"/>
              </w:rPr>
              <w:t>V § 67d ods. 4 písm. b) prvom bode navrhujeme precizovať ustanovenie tak, aby bolo zrejmé, že sa zverejňujú iba údaje účastníka konania, t. j. údaje o osobe, ktorej sa rozhodnutím Národnej banky Slovenska ukladá sankcia.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Máme za to, že aktuálna textácia ustanovenia v znení „meno a priezvisko fyzickej osoby alebo obchodné meno alebo názov právnickej osoby, s ktorými informácie súvisia,“ sa dá extenzívne vykladať aj tak, že sa majú uvádzať aj metaúdaje obsahujúce meno a priezvisko alebo názov osôb, ktoré sú v rozhodnutí Národnej banky Slovenska uvedené na účely popisu skutkového stavu, ale voči ktorým toto rozhodnutie nesmeruje (napr. zamestnanci účastníka konania, klienti účastníka konania, akcionári účastníka konania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 zákona je v súlade so smernicou 2023/2864. Predkladateľ považuje svoj návrh za dostatočne jasný a zrozumiteľný.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 bodu 2 (§ 67d ods. 1)</w:t>
              <w:br/>
            </w:r>
            <w:r>
              <w:rPr>
                <w:b w:val="off"/>
                <w:color w:val="000000"/>
                <w:rFonts w:ascii="Times New Roman" w:hAnsi="Times New Roman" w:cs="Times New Roman" w:eastAsia="Times New Roman"/>
                <w:sz w:val="24"/>
              </w:rPr>
              <w:t xml:space="preserve">V súvislosti s novonavrhovaným § 67d navrhujeme prehodnotiť, či do rozsahu informácií, ktoré má doplnková dôchodková spoločnosť predkladať za účelom sprístupnenia na jednotnom európskom mieste prístupu, má patriť aj polročná správa o hospodárení s vlastným majetkom doplnkovej dôchodkovej spoločnosti a polročná správa o hospodárení s majetkom v doplnkových dôchodkových fondoch.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Podľa navrhovaného § 67d ods. 1 na účely sprístupnenia informácií na jednotnom európskom mieste prístupu predkladá orgánu zberu údajov doplnková dôchodková spoločnosť informácie podľa § 65 ods. 1 písm. j) a m) až o) súbežne pri ich zverejňovaní. Podľa § 65 ods. 1 písm. j) doplnková dôchodková spoločnosť zverejňuje ročnú správu o hospodárení s vlastným majetkom doplnkovej dôchodkovej spoločnosti spolu s účtovnou závierkou a výrokom audítora, ročnú správu o hospodárení s majetkom v doplnkových dôchodkových fondoch spolu s účtovnou závierkou a výrokom audítora, polročnú správu o hospodárení s vlastným majetkom doplnkovej dôchodkovej spoločnosti a polročnú správu o hospodárení s majetkom v doplnkových dôchodkových fondoch. </w:t>
              <w:br/>
            </w:r>
            <w:r>
              <w:rPr>
                <w:b w:val="off"/>
                <w:color w:val="000000"/>
                <w:rFonts w:ascii="Times New Roman" w:hAnsi="Times New Roman" w:cs="Times New Roman" w:eastAsia="Times New Roman"/>
                <w:sz w:val="24"/>
              </w:rPr>
              <w:t>Článok 63a ods. 1 smernice (EÚ) 2016/2341 (článok 14 smernice Európskeho parlamentu a Rady (EÚ) 2023/2864 z 13. decembra 2023, ktorou sa menia určité smernice, pokiaľ ide o zriadenie a fungovanie jednotného európskeho miesta prístupu (Ú. v. EÚ L, 2023/2864, 20.12.2023)) však ustanovuje povinnosť predkladať orgánu zberu údajov len informácie uvedené v článku 29 smernice EÚ 2016/2341, ktorý sa však týka len ročných účtovných závierok a výročných správ, t. j. nie polročných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 rozsahu predkladaných informácií nepatrí polročná správa. Predkladateľ návrh zákona upravil.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 bodu 8</w:t>
              <w:br/>
            </w:r>
            <w:r>
              <w:rPr>
                <w:b w:val="off"/>
                <w:color w:val="000000"/>
                <w:rFonts w:ascii="Times New Roman" w:hAnsi="Times New Roman" w:cs="Times New Roman" w:eastAsia="Times New Roman"/>
                <w:sz w:val="24"/>
              </w:rPr>
              <w:t xml:space="preserve">V § 59c navrhujeme odsek 4 upraviť takto: „Informácie podľa § 57b ods. 1 písm. a), ktoré sa predkladajú Národnej banke Slovenska a Európskemu orgánu dohľadu (Európskemu orgánu pre cenné papiere a trhy), musia spĺňať požiadavky podľa odseku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 57b ods. 1 písm. a) zákona o burze.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Uvedené ustanovenie bolo z návrhu zákona vypustené.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bodu 1</w:t>
              <w:br/>
            </w:r>
            <w:r>
              <w:rPr>
                <w:b w:val="off"/>
                <w:color w:val="000000"/>
                <w:rFonts w:ascii="Times New Roman" w:hAnsi="Times New Roman" w:cs="Times New Roman" w:eastAsia="Times New Roman"/>
                <w:sz w:val="24"/>
              </w:rPr>
              <w:t xml:space="preserve">V § 220ge ods. 1 navrhujeme vypustiť slová „§ 188 ods.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Odkaz na schválené rozhodnutia valného zhromaždenia navrhujeme vypustiť z dôvodu, že tento odkaz nekorešponduje s odkazmi v smernici Európskeho parlamentu a Rady (EÚ) 2023/2864, ktoré súvisia s povinnosťami zverejňovania podľa smernice 2007/36/ES.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považuje svoj návrh za zosúladený so znením smernice 2023/2864. Uvedená pripomienka je nejasná.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nad rámec návrhu zákona</w:t>
              <w:br/>
            </w:r>
            <w:r>
              <w:rPr>
                <w:b w:val="off"/>
                <w:color w:val="000000"/>
                <w:rFonts w:ascii="Times New Roman" w:hAnsi="Times New Roman" w:cs="Times New Roman" w:eastAsia="Times New Roman"/>
                <w:sz w:val="24"/>
              </w:rPr>
              <w:t>Do § 70 navrhujeme vložiť nový odsek, ktorý znie:</w:t>
              <w:br/>
            </w:r>
            <w:r>
              <w:rPr>
                <w:b w:val="off"/>
                <w:color w:val="000000"/>
                <w:rFonts w:ascii="Times New Roman" w:hAnsi="Times New Roman" w:cs="Times New Roman" w:eastAsia="Times New Roman"/>
                <w:sz w:val="24"/>
              </w:rPr>
              <w:t>„Národná banka Slovenska žiadosť o udelenie predchádzajúceho súhlasu podľa odseku 1 zamietne, ak žiadateľ nesplní alebo nepreukáže splnenie niektorej z podmienok podľa odseku 2. Národná banka Slovenska žiadosť o udelenie predchádzajúceho súhlasu podľa odseku 1 zamietne, ak údaje a predložené doklady nie sú úplné, správne, pravdivé, pravé a aktuálne.“.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Spresnenie textu v súvislosti s kompetenciou NBS zamietnuť žiadosť o udelenie predchádzajúceho súhlasu podľa odseku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pripomienka bude predmetom ďalšej novelizácie zákona č. 566/2001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nad rámec návrhu zákona</w:t>
              <w:br/>
            </w:r>
            <w:r>
              <w:rPr>
                <w:b w:val="off"/>
                <w:color w:val="000000"/>
                <w:rFonts w:ascii="Times New Roman" w:hAnsi="Times New Roman" w:cs="Times New Roman" w:eastAsia="Times New Roman"/>
                <w:sz w:val="24"/>
              </w:rPr>
              <w:t xml:space="preserve">V § 54 ods. 7 navrhujeme za slová „vykonávania činnosti poskytovateľa služieb hromadného financovania podľa osobitného predpisu,49c)“ vložiť slová „vykonávania činnosti poskytovateľa služieb kryptoaktív na základe povolenia podľa osobitného predpisu,50aaaa)“.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50aaaa znie: </w:t>
              <w:br/>
            </w:r>
            <w:r>
              <w:rPr>
                <w:b w:val="off"/>
                <w:color w:val="000000"/>
                <w:rFonts w:ascii="Times New Roman" w:hAnsi="Times New Roman" w:cs="Times New Roman" w:eastAsia="Times New Roman"/>
                <w:sz w:val="24"/>
              </w:rPr>
              <w:t>„50aaaa) Čl. 3 ods. 1 bod 1 nariadenia Európskeho parlamentu a Rady (EÚ) 2023/1114 z 31. mája 2023 o trhoch s kryptoaktívami a o zmene nariadení (EÚ) č. 1093/2010 a (EÚ) č. 1095/2010 a smerníc 2013/36/EÚ a (EÚ) 2019/1937.“.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Nariadenie o MiCA a ani smernica MiFID II explicitne  nezakazuje súčasné vykonávanie činností poskytovateľa služieb kryptovaktív a vykonávanie činností obchodníka s cennými papiermi. Zároveň, aj orgán ESMA sa vyjadril, že súbeh týchto činností je možný, pokiaľ tomu neodporuje národná legislatíva. Aby sa predišlo interpretačným problémom, navrhujeme výslovne možnosť súčasne vykonávať obe činnosti podľa nariadenia o MiCA a zákona o cenných papieroch upraviť aj v relevantných ustanoveniach zákona o cenných papieroch.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pripomienka bude predmetom ďalšej novelizácie zákona č. 566/2001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w:t>
              <w:br/>
            </w:r>
            <w:r>
              <w:rPr>
                <w:b w:val="off"/>
                <w:color w:val="000000"/>
                <w:rFonts w:ascii="Times New Roman" w:hAnsi="Times New Roman" w:cs="Times New Roman" w:eastAsia="Times New Roman"/>
                <w:sz w:val="24"/>
              </w:rPr>
              <w:t xml:space="preserve">Do § 143p  navrhujeme doplniť povinnosť predkladať informácie orgánu zberu údajov aj pre inštitucionálnych investorov podľa čl. 3h ods. 1 a 2 smernice 2007/36/ES.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Nedostatočná transpozícia smernice 2007/36/ES.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Povinnosť predkladať informácie orgánu zberu údajov pre inštitucionálnych investorov, tj pre poisťovne vykonávajúce činnosť v odvetviach životného poistenia, pre zaisťovne vykonávajúce činnosť vo vzťahu k záväzkom zo životného poistenia a pre doplnkové dôchodkové spoločnosti je riešená vo vecne príslušných zákonoch.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 definovaní požiadaviek na metaúdaje v jednotlivých článkoch návrhu zákona je potrebné vziať do úvahy špecifiká relevantné pre jednotlivé oblasti.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predkladaní informácií sa v niektorých prípadoch nevyžaduje, aby boli pripojené všetky metaúdaje, napríklad metaúdaje o priemyselnom odvetví hospodárskych činností  alebo metaúdaje o veľkosti subjektov podľa kategórií, ako sa uvádza v článku 7 nariadenia 2023/2859.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znenie predkladateľa zohľadňuje uvedené špecifiká.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 xml:space="preserve">1.	K čl. I bod 2 – navrhovaný § 143p ods. 2: Za účelom presnosti a jednoznačnosti ustanovenia žiadame preformulovať ustanovenie nasledovne: „Informácie podľa odseku 1 sa predkladajú spôsobom a vo forme podľa osobitného predpisu110dd) súbežne pri zverejňovaní týchto informácií.“, prípadne rozdeliť vetu na 2 vety: „Informácie podľa odseku 1 sa predkladajú súbežne pri zverejňovaní týchto informácií. Informácie sa predkladajú spôsobom a vo forme podľa osobitného predpisu110dd).“. § 34c ods. 2 a 3 navrhovaného zákona č. 566/1992 Zb. v znení zákona č. ...../2025 Z. z., na ktorý poznámka pod čiarou č. 110dd v § 143p ods. 2 v čl. I bod 2 predloženého návrhu zákona odkazuje, sa vzťahuje na spôsob a formu predkladania informácií v zmysle nariadenia (EÚ) 2023/2859 v platnom znení Národnej banke Slovenska ako orgánu zberu údajov podľa čl. 2 ods. 2 nariadenia (EÚ) 2023/2859 v platnom znení a nie na zverejňovanie informácií podľa iných osobitných predpisov. </w:t>
              <w:br/>
            </w:r>
            <w:r>
              <w:rPr>
                <w:b w:val="off"/>
                <w:color w:val="000000"/>
                <w:rFonts w:ascii="Times New Roman" w:hAnsi="Times New Roman" w:cs="Times New Roman" w:eastAsia="Times New Roman"/>
                <w:sz w:val="24"/>
              </w:rPr>
              <w:t>Tá istá pripomienka sa vzťahuje na formuláciu navrhovaného § 49p ods. 2 v článku IV bode 1 predloženého návrhu zákona, na formuláciu navrhovaného § 59b ods. 2 v článku V bode 8 predloženého návrhu zákona a na formuláciu navrhovaného § 80a ods. 2 v článku XI bode 2 predloženého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Uvedené ustanovenie predkladateľ vyprecizoval za účelom presnosti a jednoznačnosti.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II bod 1: Žiadame odkazovať v poznámke pod čiarou na osobitné predpisy, ktoré určujú spôsob a formu na predkladanie informácii v zmysle navrhovaného § 220ge ods. 1 a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Obchodný zákonník je kódex, v ktorom sa v zmysle Legislatívnych pravidiel nepoužívajú odkazy pod čiarou. Z uvedeného dôvodu tieto informácie obsahuje osobitná časť dôvodovej správy, aby bola zabezpečená právna istota.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sprievodnej dokumentácii všeobecne:</w:t>
              <w:br/>
            </w:r>
            <w:r>
              <w:rPr>
                <w:b w:val="off"/>
                <w:color w:val="000000"/>
                <w:rFonts w:ascii="Times New Roman" w:hAnsi="Times New Roman" w:cs="Times New Roman" w:eastAsia="Times New Roman"/>
                <w:sz w:val="24"/>
              </w:rPr>
              <w:t>Upozorňujeme predkladateľa, že dodatok „v platnom znení“ sa používa aj v prípade skrátenej citácie právne záväzných aktov Európskej únie, takže skrátenú citáciu jednotlivých smerníc a nariadení EÚ, ktoré boli novelizované, žiadame v súlade s bodom 62.11. prílohy č. 1 k Legislatívnym pravidlám vlády Slovenskej republiky uvádzať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delegovanému nariadeniu (EÚ) 2024/896:</w:t>
              <w:br/>
            </w:r>
            <w:r>
              <w:rPr>
                <w:b w:val="off"/>
                <w:color w:val="000000"/>
                <w:rFonts w:ascii="Times New Roman" w:hAnsi="Times New Roman" w:cs="Times New Roman" w:eastAsia="Times New Roman"/>
                <w:sz w:val="24"/>
              </w:rPr>
              <w:t>1.	Žiadame preukázať transpozíciu čl. 1 ods. 2 delegovaného nariadenia Komisie (EÚ) 2024/896 z 5. decembra 2023, ktorým sa mení smernica Európskeho parlamentu a Rady (EÚ) 2016/97, pokiaľ ide o regulačné technické predpisy upravujúce základné sumy v eurách pre poistenie pre prípad zodpovednosti za škodu spôsobenú pri vykonávaní činnosti a pre peňažné prostriedky sprostredkovateľov poistenia, zaistenia a doplnkového poistenia (Ú. v. EÚ L, 2024/896, 20.3.2024), ktorým sa mení ods. 6 druhý pododsek písm. b). V prípade, že transpozícia daného ustanovenia nie je potrebná, žiadame vysvetliť dôvod v stĺpci 8 – Poznámky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delegovanému nariadeniu (EÚ) 2024/896:</w:t>
              <w:br/>
            </w:r>
            <w:r>
              <w:rPr>
                <w:b w:val="off"/>
                <w:color w:val="000000"/>
                <w:rFonts w:ascii="Times New Roman" w:hAnsi="Times New Roman" w:cs="Times New Roman" w:eastAsia="Times New Roman"/>
                <w:sz w:val="24"/>
              </w:rPr>
              <w:t>2.	Upozorňujeme predkladateľa, že transpozičná lehota delegovaného nariadenia (EÚ) 2024/896 uplynula 9. októbra 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2016/97 v platnom znení</w:t>
              <w:br/>
            </w:r>
            <w:r>
              <w:rPr>
                <w:b w:val="off"/>
                <w:color w:val="000000"/>
                <w:rFonts w:ascii="Times New Roman" w:hAnsi="Times New Roman" w:cs="Times New Roman" w:eastAsia="Times New Roman"/>
                <w:sz w:val="24"/>
              </w:rPr>
              <w:t>Žiadame smernicu Európskeho parlamentu a Rady (EÚ) 2016/97 z 20. januára 2016 o distribúcii poistenia (prepracované znenie) (Ú. v. EÚ L 26, 2.2.2016) citovať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2014/65/EÚ v platnom znení</w:t>
              <w:br/>
            </w:r>
            <w:r>
              <w:rPr>
                <w:b w:val="off"/>
                <w:color w:val="000000"/>
                <w:rFonts w:ascii="Times New Roman" w:hAnsi="Times New Roman" w:cs="Times New Roman" w:eastAsia="Times New Roman"/>
                <w:sz w:val="24"/>
              </w:rPr>
              <w:t>Žiadame smernicu Európskeho parlamentu a Rady 2014/65/EÚ z  15. mája 2014 o trhoch s finančnými nástrojmi, ktorou sa mení smernica 2002/92/ES a smernica 2011/61/EÚ (prepracované znenie) (Ú. v. EÚ L 173, 12.6.2014) citovať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2014/59/EÚ v platnom znení</w:t>
              <w:br/>
            </w:r>
            <w:r>
              <w:rPr>
                <w:b w:val="off"/>
                <w:color w:val="000000"/>
                <w:rFonts w:ascii="Times New Roman" w:hAnsi="Times New Roman" w:cs="Times New Roman" w:eastAsia="Times New Roman"/>
                <w:sz w:val="24"/>
              </w:rPr>
              <w:t>Žiadame smernicu Európskeho parlamentu a Rady 2014/59/EÚ z  15. mája 2014 , ktorou sa stanovuje rámec pre ozdravenie a riešenie krízových situácií úverových inštitúcií a investičných spoločností a ktorou sa mení smernica Rady 82/891/EHS a smernice Európskeho parlamentu a Rady 2001/24/ES, 2002/47/ES, 2004/25/ES, 2005/56/ES, 2007/36/ES, 2011/35/EÚ, 2012/30/EÚ a 2013/36/EÚ a nariadenia Európskeho parlamentu a Rady (EÚ) č. 1093/2010 a (EÚ) č. 648/2012 (Ú. v. EÚ L 173, 12.6.2014) citovať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2004/109/ES v platnom znení</w:t>
              <w:br/>
            </w:r>
            <w:r>
              <w:rPr>
                <w:b w:val="off"/>
                <w:color w:val="000000"/>
                <w:rFonts w:ascii="Times New Roman" w:hAnsi="Times New Roman" w:cs="Times New Roman" w:eastAsia="Times New Roman"/>
                <w:sz w:val="24"/>
              </w:rPr>
              <w:t>Žiadame smernicu Európskeho parlamentu a Rady 2004/109/ES z 15. decembra 2004 o harmonizácii požiadaviek na transparentnosť v súvislosti s informáciami o emitentoch, ktorých cenné papiere sú prijaté na obchodovanie na regulovanom trhu, a ktorou sa mení a dopĺňa smernica 2001/34/ES (Ú. v. EÚ L 390, 31.12.2004) citovať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2017/1132 v platnom znení</w:t>
              <w:br/>
            </w:r>
            <w:r>
              <w:rPr>
                <w:b w:val="off"/>
                <w:color w:val="000000"/>
                <w:rFonts w:ascii="Times New Roman" w:hAnsi="Times New Roman" w:cs="Times New Roman" w:eastAsia="Times New Roman"/>
                <w:sz w:val="24"/>
              </w:rPr>
              <w:t>Žiadame smernicu Európskeho parlamentu a Rady (EÚ) 2017/1132 zo 14. júna 2017 týkajúca sa niektorých aspektov práva obchodných spoločností (kodifikované znenie) (Ú. v. EÚ L 169, 30.6.2017) citovať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2013/34/EÚ v platnom znení</w:t>
              <w:br/>
            </w:r>
            <w:r>
              <w:rPr>
                <w:b w:val="off"/>
                <w:color w:val="000000"/>
                <w:rFonts w:ascii="Times New Roman" w:hAnsi="Times New Roman" w:cs="Times New Roman" w:eastAsia="Times New Roman"/>
                <w:sz w:val="24"/>
              </w:rPr>
              <w:t>Žiadame smernicu Európskeho parlamentu a Rady 2013/34/EÚ z 26. júna 2013 o ročných účtovných závierkach, konsolidovaných účtovných závierkach a súvisiacich správach určitých druhov podnikov, ktorou sa mení smernica Európskeho parlamentu a Rady 2006/43/ES a zrušujú smernice Rady 78/660/EHS a 83/349/EHS (Ú. v. EÚ L 182, 29.6.2013) citovať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2023/2864</w:t>
              <w:br/>
            </w:r>
            <w:r>
              <w:rPr>
                <w:b w:val="off"/>
                <w:color w:val="000000"/>
                <w:rFonts w:ascii="Times New Roman" w:hAnsi="Times New Roman" w:cs="Times New Roman" w:eastAsia="Times New Roman"/>
                <w:sz w:val="24"/>
              </w:rPr>
              <w:t>Členským štátom sa viacerými ustanoveniami smernice Európskeho parlamentu a Rady (EÚ) 2023/2864 z 13. decembra 2023, ktorou sa menia určité smernice, pokiaľ ide o zriadenie a fungovanie jednotného európskeho miesta prístupu (Ú. v. EÚ L, 2023/2864, 20.12.2023) stanovuje povinnosť určiť aspoň jeden orgán zberu údajov v zmysle vymedzenia v článku 2 bode 2 nariadenia (EÚ) 2023/2859 a oznámiť to orgánu ESMA. Pri preukazovaní transpozície každého z daných ustanovení žiadame v tabuľke zhody preukázať splnenie oznamovacej povinnosti voči orgánu ESMA prostredníctvom § 35 ods. 7 zákona č. 575/2001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1 doložky zlučiteľnosti žiadame ako navrhovateľa zákona uviesť Ministerstvo financií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 návrhoch zákona pri bode 1 DZ predkladateľ vychádza z čl. 87 ods.1 Ústavy SR, podľa ktorého zákonodárnu iniciatívu majú poslanci NR SR, výbory NR SR a vláda SR. Takže z tohto dôvodu pri návrhoch zákonov uvádzame Vládu SR ako navrhovateľa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doložky zlučiteľnosti žiadame Zmluvu o fungovaní Európskej únie citovať bez dodatku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V bode 3 doložky zlučiteľnosti žiadame Protokol č. 4 o Štatúte Európskeho systému centrálnych bánk a Európskej centrálnej banky pripojený k Zmluve o fungovaní Európskej únie citovať bez dodatku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4.	Odporúčame v bode 3 doložky zlučiteľnosti citovať len tie smernice a nariadenia, ktorých sa predkladaný návrh zákona priamo dotýka.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má za to, že doložka zlučiteľnosti obsahuje smernice a nariadenia, ktorých sa predkladaný návrh zákona priamo dotýka.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5.	V bode 4 písm. b) doložky zlučiteľnosti žiadame uvádzať informáciu, či a ak áno, do akej miery reflektuje predložený návrh zákona na uvedené konania, vzhľadom na to, že k smernici 2014/59/EÚ v platnom znení a smernici 2014/65/EÚ v platnom znení boli predložené tabuľky zhody. Zároveň žiadame predkladateľa, aby smernice 2009/138/ES, 2014/59/EÚ a 2014/65/EÚ citoval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6.	V bode 4 písm. c) doložky zlučiteľnosti žiadame citovať všetky smernice, ktoré boli novelizované, s dodatkom „v platnom znení“ aj v prípade skrátenej citácie v súlade s bodom 62.11.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	K čl. V bodu 1: Žiadame citovať smernicu 2014/65/EÚ s dodatkom ,,v platnom znení“. Zároveň žiadame skrátenú citáciu uviesť nasledovne: smernica 2014/65/EÚ v platnom znení. Pripomienku uplatňujeme aj k čl. V bodu 2 a 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	K čl. V bodom 5 a 6: Žiadame citovať smernicu 2004/109/ES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3.	K čl. VI bodu 5: Žiadame nariadenie (EÚ) 2023/2859 citovať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4.	K čl. VIII bodu bodu 1: Žiadame delegované nariadenie (EÚ) 2024/896 citovať spolu s publikačným zdrojom nariadenia.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5.	K čl. VIII bodu 3: Žiadame smernicu (EÚ) 2016/97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6.	K čl. XII bodu 1: Žiadame nariadenie (EÚ) 2023/2859 citovať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vlastnému materiálu ako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precizovať splnomocňujúce ustanovenia, na základe ktorých bude Národná banka Slovenska sprístupňovať informácie, ktoré môžu obsahovať osobné údaje, na jednotné európske miesto prístupu. Ide najmä o ustanovenia § 143r ods. 1 zákona č. 566/2001 Z. z., § 220ge ods. 1 a ods. 2 zákona č. 513/1991 Zb., § 49q ods. 1 zákona č. 483/2001 Z. z., § 59c ods. 1 zákona č. 429/2002 Z. z., § 23e zákona č. 431/2002 Z. z. (kde chýba právny základ pre NBS), § 67d ods. 3 zákona č. 650/2004 Z. z., § 38a ods. 1 zákona č. 186/2009 Z. z., § 201d ods. 3 zákona č. 203/2011 Z. z., § 98a ods. 3 zákona č. 371/2014 Z. z. (uvedená je Rada), § 80b ods. 1 zákona č. 39/2015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Nariadenie 2023/2859 v recitáloch 13, 21 spresňuje podmienky pre spracúvanie osobných údajov, podľa ktorých by sa malo identifikovať, či zasielané informácie obsahujú osobné údaje a ak áno, tieto sa majú zasielať len ak vo vnútroštátnej právnej úprave existuje zákonný dôvod podľa nariadenia 2016/679. Zároveň je v čl. 3 ods. 5 nariadenia 2023/2859 uvedené, že toto nariadenie nevytvára právny základ pre spracúvanie osobných údajov. V súlade s čl. 6 ods. 2 a ods. 3 nariadenia 2016/679 a judikatúrou Súdneho dvora Európskej, podľa ktorého právny základ alebo legislatívne opatrenie by mali byť jasné a presné a ich uplatňovanie by malo byť predvídateľné, preto navrhujeme precizovať ustanovenia jednotlivých zákonov, ktoré by mali vytvoriť právny základ pre spracúvanie osobných údajov Národnou bankou Slovenska ako orgánu zberu údajov, ktorá tieto osobné údaje bude sprístupňovať na jednotnom európskom mieste prístupu do informačného systému Európskeho orgánu dohľadu.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telefonického hovoru zo dňa 24.1.2025 UOOU ustúpilo zo zásadnej pripomienky. Podľa dohody sa k predmetnej veci predkladateľ a UOOU vrátia po zverejnení delegovaných aktov k smernici (EÚ) 2023/2864 a k nariadeniu (EÚ)2023/2859.</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FOV</w:t>
            </w:r>
            <w:r>
              <w:rPr>
                <w:b w:val="off"/>
                <w:color w:val="000000"/>
                <w:rFonts w:ascii="Times New Roman" w:hAnsi="Times New Roman" w:cs="Times New Roman" w:eastAsia="Times New Roman"/>
                <w:sz w:val="24"/>
              </w:rPr>
              <w:t xml:space="preserve"> – Fond ochrany vkladov</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20 (20o,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4 (3o,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Ministerstva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15 (12o,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24 (24o,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77 (73o, 4z)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15</w:t>
            </w:r>
          </w:p>
        </w:tc>
        <w:tc>
          <w:tcPr>
            <w:vAlign w:val="center"/>
          </w:tcPr>
          <w:p>
            <w:pPr>
              <w:spacing w:after="0"/>
              <w:jc w:val="center"/>
            </w:pPr>
            <w:r>
              <w:rPr>
                <w:b w:val="on"/>
                <w:color w:val="000000"/>
                <w:rFonts w:ascii="Times New Roman" w:hAnsi="Times New Roman" w:cs="Times New Roman" w:eastAsia="Times New Roman"/>
                <w:sz w:val="24"/>
              </w:rPr>
              <w:t>32</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