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483/2001 Z. z. o bankách a o zmene a doplnení niektorých zákonov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LP/2025/402</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141/3</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141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99</w:t>
      </w:r>
      <w:r w:rsidR="00754CB0">
        <w:rPr>
          <w:rFonts w:ascii="Times New Roman" w:eastAsia="Times New Roman" w:hAnsi="Times New Roman" w:cs="Times New Roman"/>
          <w:sz w:val="24"/>
          <w:szCs w:val="24"/>
        </w:rPr>
        <w:t>/1</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8/</w:t>
      </w:r>
      <w:r w:rsidR="008E0404">
        <w:rPr>
          <w:rFonts w:ascii="Times New Roman" w:eastAsia="Times New Roman" w:hAnsi="Times New Roman" w:cs="Times New Roman"/>
          <w:sz w:val="24"/>
          <w:szCs w:val="24"/>
        </w:rPr>
        <w:t xml:space="preserve">0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34</w:t>
      </w:r>
      <w:r w:rsidR="004A48F0">
        <w:rPr>
          <w:rFonts w:ascii="Times New Roman" w:eastAsia="Times New Roman" w:hAnsi="Times New Roman" w:cs="Times New Roman"/>
          <w:sz w:val="24"/>
          <w:szCs w:val="24"/>
        </w:rPr>
        <w:t>/2</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bodu 4 (§ 7 zákona č. 248/2024 Z. z.) – O:</w:t>
              <w:br/>
            </w:r>
            <w:r>
              <w:rPr>
                <w:b w:val="off"/>
                <w:color w:val="000000"/>
                <w:rFonts w:ascii="Times New Roman" w:hAnsi="Times New Roman" w:cs="Times New Roman" w:eastAsia="Times New Roman"/>
                <w:sz w:val="24"/>
              </w:rPr>
              <w:t>V § 7 navrhujeme za odsek 3 vložiť nový odsek 4, v ktorom sa ustanovia podmienky, za akých sa osoba považuje za bezúhonnú.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návrhu zákona nie sú ustanovené podmienky, za akých sa osoba považuje za bezúhonnú. Navrhujeme podmienky bezúhonnosti upraviť obdobne, ako napríklad v § 77 ods. 3 zákona č. 483/2001 Z. z. o bankách. Je potrebné zohľadniť, či ide o preverovanie bezúhonnosti fyzickej osoby alebo právnickej osoby a v tomto kontexte správne nastaviť podmienku bezúhonnosti, aby bolo možné ju z výpisu z registra trestov aj reálne overiť.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vhodné zadefinovať pojem „bezúhonnosť“ v rámci zákona č. 248/2024 Z. z. o niektorých povinnostiach a oprávneniach v oblasti kryptoaktív a o zmene a doplnení niektorých zákonov, pretože takáto definícia by nemusela byť v súlade s príslušnými ustanoveniami relevantných európskych právnych predpisov, ktoré sú priamo účinné v SR a ktoré používajú pojem „dobrá povesť“, ktorý však nie je explicitne zadefinovaný.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Nariadenie Európskeho parlamentu a Rady (EÚ) 2023/1114 o trhoch s kryptoaktívami a o zmene nariadení (EÚ) č. 1093/2010 a (EÚ) č. 1095/2010 a smerníc 2013/36/EÚ a (EÚ) 2019/1937 (ďalej len „nariadenie MiCA“) nepoužíva pojem bezúhonnosť, ale pojem dobrá povesť – napr. v čl. 18 ods. 2, čl. 34 ods. 2 a 4. čl. 42 ods. 1, čl. 62 ods. 2 písm. g) a h), čl. 68 ods. 1 a 2, čl. 84 ods. 1. uvedené ustanovenia nariadenia MiCA sú bližšie upravené v príslušných vykonávacích predpisov, napr. v Delegovanom nariadení 2025/305, ktorým sa dopĺňa nariadenie Európskeho parlamentu a Rady (EÚ) 2023/1114, pokiaľ ide o regulačné technické predpisy, ktorými sa spresňujú informácie, ktoré sa majú zahrnúť do žiadosti o udelenie povolenia na činnosť poskytovateľa služieb kryptoaktív (delegované nariadenie 2025/305).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Cieľom novodoplneného §7 ods. 4 zákona č. 248/2024 Z. z. bude elektronická komunikácia Generálnej prokuratúry Slovenskej republiky a Národnej banky Slovenska za účelom vydania výpisu z registra trestov, ktorý európske právne predpisy priamo predpokladajú, čo vyplýva z vyššie spomenutých ustanovení.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16 v § 6b ods. 9 navrhujeme slová „Ustanovenia odseku“ nahradiť slovami „Odsek“.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16 v § 6b ods. 13 písm. a) navrhujeme slovo „šesť“ nahradiť číslom „6“ vzhľadom na písm. 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16 v § 6b ods. 16 písm. b) sa navrhuje  pre NBS skrátiť  dobu obmedzenia,  ak by sa preukázalo, že doba obmedzenia podľa odseku 13 písm. a) je v rozpore s „Ústavou“, z navrhovaného znenia  nie je zrejmé  čo sa má na mysli Ústavou, ak sa má na mysli Ústava Slovenskej republiky tak rozhodovať o súlade všeobecne záväzného právneho predpisu s Ústavou SR je vyhradené do právomoci Ústavného súdu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čl. 1 bod 4 smernice CRD VI (čl. 4a ods. 5 písm. b) smernice CRD), ktorý je transponovaný do § 6b ods. 16 písm. b), NBS môže zamestnancovi NBS, ktorý vykonáva dohľad v oblasti bankovníctva, skrátiť dobu obmedzenia na tri mesiace, ak by sa preukázalo, že doba obmedzenia je v rozpore s Ústavou alebo osobitnými predpismi (napríklad dochádzalo by k obmedzeniu práva na podnikanie). Predmetné ustanovenie v žiadnom prípade nie je možné chápať tak, ako sa uvádza v pripomienke, že sa zasahuje do právomoci Ústavného súdu.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29 v § 8 ods. 14 navrhujeme formulovať splnomocnenie nie na vydanie opatrenia, ale na vydanie všeobecne záväzného právneho predpisu; pripomienka platí primerane aj pre čl. I bod 51 - § 20ad ods. 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Národná banka Slovenska vydáva Opatrenia, ktoré vyhlasuje v Zbierke zákonov Slovenskej republiky. Všetky splnomocňovacie ustanovenia v príslušných zákonoch upravujúcich jednotlivé oblasti finančného trhu vrátane zákona o bankách splnomocňujú NBS na vydanie opatrenia.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30 navrhujeme v novelizačnej inštrukcii presne uviesť paragrafy s nadpismi pod a paragrafy s nadpismi nad, keďže nie všetky vkladané paragrafy majú vlastné nadpisy (napr. § p) a q) nemajú nadpis), § 8f má nadpis nad aj pod.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30 v § 8a ods. 4 navrhujeme slová „Ustanovením odseku“ nahradiť slovami „Odsekom“.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30 v § 8k ods. 5 a 6 navrhujeme vypustiť slovo „najneskôr“ a v ods. 8 vypustiť slovo „v“ pred slovami „§ 8j“.</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Zákon o bankách bežne používa slovo „najneskôr“ pri určovaní lehoty na splnenie určitých povinností.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8k ods. 8 sa vypustí slovo „v“.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30 v § 8l ods. 4 navrhujeme pred slovo „do“ vložiť slovo „každoročne“ a slová „bolo....vykonané“ nahradiť slovami „sa ... vykonalo“.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30 v § 8m ods. 4 navrhujeme slová „Ustanoveniami odsekov“ nahradiť slovom „Odsekmi“.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30 v § 8n ods. 2 navrhujeme slová „Ustanovením odseku“ nahradiť slovom „Odsekom“; pripomienka platí primerane aj pre čl. I bod 33 - § 9 ods. 9 a 14, 20, čl. I bodu 51 - § 20ad ods. 2, čl. I bod 102 - § 28f ods. 8, čl. I bod 110.</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 26 navrhujme rozčleniť do dvoch novelizačných bodov, pričom druhý bude novelizovať  § 7b ods. 12 písm. 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30 v § 8o ods. 3 písm. k) navrhujeme na konci čiarku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41 navrhujeme slová „v súlade s“ nahradiť slovom „podľa“.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51 navrhujeme novelizačnú inštrukciu upraviť nasledovne „Za § 20ab.... nadpisu § 20ac znejú:“.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nezrozumiteľná.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52, 53 a 105 navrhujeme vypustiť slová „úvodnej vete“ pre nadbytočnosť, keďže na iných miestach dotknutých odsekov sa vypúšťané slová nenachádzajú.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54 navrhujeme vypustiť slovo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 73 navrhujme rozčleniť do dvoch novelizačných bodov, pričom druhý bude novelizovať  § 23d ods. 1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boboch 96 a 100 navrhujeme vypustiť slová „prvej vete“ pre nadbytočnosť, keďže na iných miestach dotknutých odsekov sa vypúšťané slová nenachádzajú.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118 navrhujeme upraviť znenie takto: „V § 33e ods. 4 sa na konci bodka nahrádza  čiarkou a pripájajú sa tieto slová:...“.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141 vzhľadom na rozsah odseku ako aj jeho prvej vety navrhujem zvážiť rozčlenenie odseku do viacerých odsekov a rozčlenenie prvej vety do pododsekov v záujme sprehľadnenia  právnej úpravy.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 50 ods. 2 je aj v súčasnosti pomerne obsiahle, ale na druhej strane dostatočne zrozumiteľné. Zmeny vykonané týmto návrhom zákona v § 50 ods. 2 sú z hľadiska obsahu pomerne malé a súvisia najmä so zavedením pojmu „osoba zastávajúca kľúčovú funkciu“. Rozdelenie ustanovenia do viacerých odsekov by v praxi mohlo spôsobiť viac komplikácií.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151 v § 50b ods. 3 navrhujeme vypustiť slovo „výšky“ pre nadbytočnosť.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platnom znení zákona o bankách sa slovo „výška“ bežne používa v súvislosti s určovaním horného limitu pokuty.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158 navrhujeme vypustiť slová „úvodnej vete“ pre nadbytočnosť keďže na iných miestach dotknutých odsekov sa vypúšťané slová nenachádzajú.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úvodnej vete navrhujeme vypustiť slová „a dopĺňa“ bez ohľadu na pribudnutie odkazu 5a a poznámky po čiarou k nemu, keďže poznámka pod čiarou nie je súčasťou právneho predpisu.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Zvolená legislatívna technika je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III</w:t>
              <w:br/>
            </w:r>
            <w:r>
              <w:rPr>
                <w:b w:val="off"/>
                <w:color w:val="000000"/>
                <w:rFonts w:ascii="Times New Roman" w:hAnsi="Times New Roman" w:cs="Times New Roman" w:eastAsia="Times New Roman"/>
                <w:sz w:val="24"/>
              </w:rPr>
              <w:t>V čl. III bode 5 navrhujeme slová „pred 11. januárom“ nahradiť slovami „do 10. januára“ a slová „do 11 januára“ nahradiť slovami  „“do 10. januára“.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Čiastočne akceptované úpravou príslušného ustanovenia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 (§ 2 ods. 8 písm. b) odporúčame slová „písm. b), písm. c)“ nahradiť slovami „písm. b), c)“.</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Akceptovaním pripomienky NBS sa táto pripomienka stala bezpredmetná.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34 odporúčame odkaz „13ne“ nahradiť odkazom „13nb“ vzhľadom na znenie dôvodovej správy osobitnej časti k tomuto bodu.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30 § 8k odsek 5 v prvej vete a odsek 6 v poslednej vete odporúčame za slovom „banka“ vložiť slovo „Slovenska“.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príslušných ustanovení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w:t>
              <w:br/>
            </w:r>
            <w:r>
              <w:rPr>
                <w:b w:val="off"/>
                <w:color w:val="000000"/>
                <w:rFonts w:ascii="Times New Roman" w:hAnsi="Times New Roman" w:cs="Times New Roman" w:eastAsia="Times New Roman"/>
                <w:sz w:val="24"/>
              </w:rPr>
              <w:t>V čl. I bode 107  (§ 29b ods. 13) odporúčame slová „14 až 15“ nahradiť slovami „14, 15“.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príslušných ustanovení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obalu</w:t>
              <w:br/>
            </w:r>
            <w:r>
              <w:rPr>
                <w:b w:val="off"/>
                <w:color w:val="000000"/>
                <w:rFonts w:ascii="Times New Roman" w:hAnsi="Times New Roman" w:cs="Times New Roman" w:eastAsia="Times New Roman"/>
                <w:sz w:val="24"/>
              </w:rPr>
              <w:t>Na obale odporúčame vypustiť slovo „medzirezortné“ pre nadbytočnosť.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dopracovať bod 8. Preskúmanie účelnosti o doplnenie kritérií, podľa ktorých sa bude sledovať splnenie cieľa.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Preskúmanie účelnosti sa nastavuje po určitom čase, aby sa zhodnotilo, či a na základe akých kritérií bol cieľ naplnený.</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doplnením doložky vybraných vplyvov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Odporúčame doplniť číslo PPK do Doložky vybraných vplyvov.</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Doložke vybraných vplyvov je nutné uviesť číslo PPK, a to konkrétne v časti 13. Stanovisko Komisie na posudzovanie vybraných vplyvov z PPK č.</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doplnením doložky vybraných vplyvov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Legislatívnymi pravidlami vlády Slovenskej republiky (ďalej len „LPV") [V názve právneho predpisu odporúčame v slove „Zákon“ nahradiť malé písmena abecedy veľkými (príloha č. 1 bod 18 LPV), v Čl. I bode 10 § 6 ods. 43 poznámke pod čiarou k odkazu 21ac odporúčame za číslovku „201“ doplniť čiarku, v Čl. I bode 12 § 6a ods. 3 písm. a) poznámke pod čiarou k odkazu 21ah odporúčame slovo „septembra“ nahradiť slovom „augusta“, v Čl. I bode 16 § 6b ods. 3 poznámke pod čiarou k odkazu 21al odporúčame vypustiť slová „Národnej rady Slovenskej republiky“  v skrátenej citácii, obdobne v poznámkach pod čiarou k odkazom 24aai, 24aaj, 24aan a 24aap, v Čl. I bode 16 § 6b ods. 6 písm. d) poznámke pod čiarou k odkazu 21ap odporúčame skrátenú citáciu vzhľadom na znenie poznámky  pod čiarou k odkazu 21ah, v Čl. I bode 16 § 6b ods. 16 písm. b) na konci odporúčame odkaz „21at“ nahradiť odkazom „21ar“, v Čl. I bode 16 § 6b ods. 17 odporúčame odkaz „21ar“ nahradiť odkazom „21as“, v Čl. I bode 24 § 7 ods. 21 odporúčame pred slová „alebo členovi riadiaceho výboru“ doplniť čiarku, v Čl. I bode 29 § 8 ods. 1 prvej vete odporúčame pred slovo „rozhoduje“ doplniť čiarku, v Čl. I bode 29 § 8 ods. 14 písm. b) na konci odporúčame doplniť čiarku, v Čl. I bode 30 §8k ods. 1 odporúčame pred slovo „pričom“ doplniť čiarku, v Čl. I bode 33 § 9 ods. 17 poslednej vete odporúčame vypustiť slovo „sa“, obdobne v § 9 ods. 19 poslednej vete, v Čl. I bode 36 odporúčame nasledujúce znenie: „V § 19 ods. 2 sa čiarka za slovom „Komisiu“ nahrádza slovom „a“ a slová „a Európsky výbor pre bankovníctvo“ sa vypúšťajú.“, v Čl. I bode 51 § 20ac ods. 1 odporúčame za slovo „ročne“ doplniť čiarku, v Čl. I bode 75 § 24 ods. 1 odporúčame slovo „umožnilo“ nahradiť slovom „umožnili“, v Čl. I bode 77 odporúčame nasledujúce znenie: „V § 24 ods. 4 druhej vete sa za slovo „povinní“ vkladajú slová „pravidelne, aspoň každé dva roky,“.“, v Čl. I bode 80 § 25 ods. 7 odporúčame za slovom „riadenia“ vypustiť slovo „a“, v Čl. I bode 83 § 25 ods. 11 odporúčame pred slová „alebo štyri“ doplniť čiarku, v Čl. I bode 89 § 27 ods. 3 poslednej vete odporúčame pred slovo „zohľadňujú“ doplniť čiarku, v Čl. I bode 91 odporúčame nasledujúce znenie: „V § 27 ods. 4 prvej vete sa za slovo „vlastný“ vkladá čiarka a slová „riadny, účinný a úplný“, za slovo „krytie“ sa vkladajú slová „povahy a úrovne“ a v úvodnej vete sa za slovo „činností“ vkladá čiarka a slová „musí zohľadňovať krátkodobý, strednodobý a dlhodobý horizont na účely krytia environmentálnych rizík, sociálnych rizík a rizík v oblasti správy a riadenia“.“, v Čl. I bode 94 § 27 ods. 19 poznámke pod čiarou k odkazu 27ab odporúčame slová „v znení neskorších predpisov.“ nahradiť slovami „v znení zákona č. 105/2024 Z. z.“, v Čl. I bode 102 § 28a ods. 3 odporúčame na dvoch miestach pred slovom „predchádzajúceho“ vypustiť slovo „o“, primerane aj v § 28a ods. 4, v Čl. I bode 102 § 28f ods. 5 písm. c) odporúčame slovo „sa“ vypustiť, v Čl. I bode 102 § 28g ods. 4 písm. a) odporúčame za slová „nominálnej hodnoty“ doplniť čiarku, v Čl. I bode 102 § 28g ods. 4 písm. b) odporúčame pred slová „alebo peňažná“ doplniť čiarku a za slová „nominálnej hodnoty“ doplniť čiarku, v Čl. I bode 102 § 28g ods. 4 písm. d) odporúčame slová „výmenou a emisiu cenných papierov alebo akcií prijímajúcich osobách, rozdeľovanej osobe alebo prijímajúcich osobách aj rozdeľovanej osobe“ nahradiť slovami „výmenou za emisiu cenných papierov alebo akcií prijímajúcich osôb, rozdeľovanej osoby alebo prijímajúcich osôb aj rozdeľovanej osoby“, v Čl. I bode 102 § 28g ods. 12 odporúčame pred slovom „zašle“ vypustiť čiarku, v Čl. I bode 102 § 28g ods. 13 odporúčame slovo „spoločnosťou“ na dvoch miestach nahradiť slovom „spoločnosť“, v Čl. I bode 102 nadpise § 28h odporúčame slovo „súhlas“ nahradiť slovom „súhlasu“, v Čl. I bode 102 § 28h ods. 4 prvej vete odporúčame slovo „spoločnosťou“ nahradiť slovom „spoločnosť“ a pred slovo „vystavená“ odporúčame doplniť čiarku, v Čl. I bode 102 § 28h ods. 5 časti poslednej vety za bodkočiarkou odporúčame pred slovo „môže“ doplniť slovo „stanovisko“, v Čl. I bode 107 § 29b ods. 14 písm. b) odporúčame pred slovo „preskúma“ doplniť čiarku, v Čl. I bode 129 § 47 ods. 22 odporúčame pred slovo „pričom“ doplniť čiarku, v Čl. I bode 150 § 50 ods. 30 písm. e) odporúčame slovo „spôsobené“ nahradiť slovom „spôsobených“, v Čl. I bode 170 § 90 ods. 3 časti tretej vety pred bodkočiarkou odporúčame pred slovo „bezodkladne“ doplniť slovo „povinné“.]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Legislatívno-technické úpravy boli akceptované úpravou príslušných ustanovení návrhu zákona v súlade s pripomienkami.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bodu 30 (§ 8o ods. 3 písm. i)): Pred slovo „uložení“ navrhujeme doplniť slovo „právoplatnom“ (pozri § 50 ods. 9, ods. 32 písm. b)).</w:t>
              <w:br/>
            </w:r>
            <w:r>
              <w:rPr>
                <w:b w:val="off"/>
                <w:color w:val="000000"/>
                <w:rFonts w:ascii="Times New Roman" w:hAnsi="Times New Roman" w:cs="Times New Roman" w:eastAsia="Times New Roman"/>
                <w:sz w:val="24"/>
              </w:rPr>
              <w:t>K bodu 75: (§ 24 ods. 1): V poslednej vete odporúčame z dôvodu jednoznačnosti za slovo „rozsah“ buď doplniť slovo „ich“, alebo za slovo „skúseností“ slová „týchto orgánov“, prípadne „členov týchto orgánov“.</w:t>
              <w:br/>
            </w:r>
            <w:r>
              <w:rPr>
                <w:b w:val="off"/>
                <w:color w:val="000000"/>
                <w:rFonts w:ascii="Times New Roman" w:hAnsi="Times New Roman" w:cs="Times New Roman" w:eastAsia="Times New Roman"/>
                <w:sz w:val="24"/>
              </w:rPr>
              <w:t>K bodu 102 (§ 28d): Z dôvodu jednoznačnosti navrhujeme v prvej vete za slovom „vyžaduje“ doplniť slovo „jej“.</w:t>
              <w:br/>
            </w:r>
            <w:r>
              <w:rPr>
                <w:b w:val="off"/>
                <w:color w:val="000000"/>
                <w:rFonts w:ascii="Times New Roman" w:hAnsi="Times New Roman" w:cs="Times New Roman" w:eastAsia="Times New Roman"/>
                <w:sz w:val="24"/>
              </w:rPr>
              <w:t>K bodu 171 (§ 91 ods. 4 písm. f)): Odporúčame slová „a obci“ nahradiť buď slovami „a územnej samosprávy“, alebo za slovom „správy“ doplniť čiarku a slová „a obci“ nahradiť slovami „obci a samosprávnemu kraju“.</w:t>
              <w:br/>
            </w:r>
            <w:r>
              <w:rPr>
                <w:b w:val="off"/>
                <w:color w:val="000000"/>
                <w:rFonts w:ascii="Times New Roman" w:hAnsi="Times New Roman" w:cs="Times New Roman" w:eastAsia="Times New Roman"/>
                <w:sz w:val="24"/>
              </w:rPr>
              <w:t>Odôvodnenie: Podľa odôvodnenia tohto ustanovenia v osobitnej časti dôvodovej správy hlavným cieľom umožnenia elektronickej komunikácie aj obciam je zefektívnenie, urýchlenie a zautomatizovanie komunikácie odstránením komunikácie prostredníctvom papierových alebo neštruktúrovaných dokumentov s efektom eliminovania manuálneho spracovania žiadostí pri komunikácii s bankami a pobočkami zahraničných bánk. Novou úpravou sa obciam rozšíri možnosť využívať elektronickú komunikáciu a vymáhať aj iné ako daňové veci, poplatky, ako aj pokuty.</w:t>
              <w:br/>
            </w:r>
            <w:r>
              <w:rPr>
                <w:b w:val="off"/>
                <w:color w:val="000000"/>
                <w:rFonts w:ascii="Times New Roman" w:hAnsi="Times New Roman" w:cs="Times New Roman" w:eastAsia="Times New Roman"/>
                <w:sz w:val="24"/>
              </w:rPr>
              <w:t>Upozorňujeme, že pokuty ukladajú a vymáhajú aj samosprávne kraje, a to napríklad podľa § 18 zákona č. 302/2001 z. z. o samospráve vyšších územných celkov (zákon o samosprávnych krajoch) v znení neskorších predpisov, ale aj podľa § 82 ods. 1 písm. c) a ods. 9, 12-14 zákona č. 578/2004 Z. z. o poskytovateľoch zdravotnej starostlivosti, zdravotníckych pracovníkoch, stavovských organizáciách v zdravotníctve a o zmene a doplnení niektorých zákonov v znení neskorších predpisov, atď.</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Akceptované boli všetky pripomienky, ktoré boli v súlade so smernicou (EÚ) 2024/1619 a zámerom predkladateľa.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102, § 28g ods. 10 písm. a)</w:t>
              <w:br/>
            </w:r>
            <w:r>
              <w:rPr>
                <w:b w:val="off"/>
                <w:color w:val="000000"/>
                <w:rFonts w:ascii="Times New Roman" w:hAnsi="Times New Roman" w:cs="Times New Roman" w:eastAsia="Times New Roman"/>
                <w:sz w:val="24"/>
              </w:rPr>
              <w:t xml:space="preserve">Predkladaná právna úprava navodzuje dojem, že predmetom úpravy je aj zlúčenie, splynutie či rozdelenie spoločností so spoločnosťami, ktoré majú sídlo/spravujú sa právnou úpravou tretej krajiny (mimo EÚ a EHP), s čím sa nedá bez ďalšieho súhlasiť.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by bolo cieľom smernice (a odvodene aj návrhu) umožniť zlúčenia, splynutia či rozdelenia s tretími krajinami, takáto úprava by musela byť sprevádzaná aj úpravou zákona o premenách, zákona o obchodnom registri a zodpovedajúceho vykonávacieho predpisu.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Nakoľko súčasná právna úprava, ako už bolo spomenuté, predpokladá len vnútroštátnu a cezhraničnú (definične EÚ a priestor EHP) premenu (a to v súlade so smernicou (EÚ) 2017/1132), na základe aktuálne účinnej úpravy a navrhovaného znenia by nebolo možné premenu so spoločnosťou z tretej krajiny zapísať do obchodného registra (chýba tak právny rámec, ako aj technické riešenie). Pri cezhraničnej premene je dôveryhodnosť údajov o cezhraničnej premene zabezpečená komunikáciou s ostatnými obchodnými registrami cez systém BRIS. Pri premene so spoločnosťou z tretej krajiny chýba úprava, ktorá by umožňovala preukazovanie zápisu/výmazu spoločnosti v tretej krajine či dôveryhodne preukazovala splnenie podmienok pre takúto premenu.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je uvedené cieľom predkladateľa, navrhovaná právna úprava nie je dostačujúca.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 ustanovení transponovanej smernice sa však domnievame, že toto nie je jej cieľom.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recitál 14 transponovanej smernice hovorí o tom, že jej ustanovenia nemajú byť v rozpore so smernicou (EÚ) 2017/1132 (ktorá nereguluje v rámci EÚ pravidlá pre zlúčenia, splynutia či rozdelenia so spoločnosťami z tretích krajín), zavedenie takejto úpravy je potenciálne v rozpore s jej ustanoveniami.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Pripomienkované ustanovenie predstavuje transpozíciu čl. 27i ods. 6 smernice. Vnímame, že toto ustanovenie navodzuje dojem, že umožnenie predĺženia lehoty na prerušenie konania má byť zabezpečené v prípade, ak „aspoň jedna z finančných zainteresovaných strán sa nachádza v tretej krajine alebo podlieha regulačnému rámcu tretej krajiny;“.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Domnievame sa, že toto ustanovenie je potrebné vykladať tak, že finančná zainteresovaná strana nemá byť vnímaná ako tá osoba, ktorá sa na premene/cezhraničnej premene zúčastňuje. Máme za to, že má ísť o širší výklad pojmu a to tak, že ak sa zlučuje/splýva/rozdeľuje niektorá zo spoločností, ktorá je skupine so spoločnosťou, ktorá má sídlo/je regulovaná právnym poriadkom tretieho štátu, v danom prípade je možné lehotu na pozastavenie konania predĺžiť.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obchodnoprávneho hľadiska sa nebude nikdy zlučovať celá skupina, vždy len jedna konkrétna spoločnosť. Táto môže byť súčasťou skupiny a pri širšom výklade ustanovenia sú finančne zainteresovanými spoločnosťami aj ostatné spoločnosti v skupine (nie len zlučovaná, splývajúca či rozdeľovaná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písmena a) by teda malo byť upravené nasledovne: </w:t>
              <w:br/>
            </w:r>
            <w:r>
              <w:rPr>
                <w:b w:val="off"/>
                <w:color w:val="000000"/>
                <w:rFonts w:ascii="Times New Roman" w:hAnsi="Times New Roman" w:cs="Times New Roman" w:eastAsia="Times New Roman"/>
                <w:sz w:val="24"/>
              </w:rPr>
              <w:t>„ak aspoň jedna osoba zúčastnená na premene alebo cezhraničnej premene patrí do skupiny, v ktorej aspoň jedna z osôb má sídlo alebo sa riadi právnymi predpismi štátu, ktorý nie je členským štátom EÚ,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Javí sa, že takáto úprava dáva zmysel – ak sa niekde v reťazci v skupine zlučovanej spoločnosti objaví entita z tretej krajiny, NBS má mať oprávnenie predĺžiť lehotu prerušenia na dlhšiu dobu.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však má byť predmetom úpravy naozaj zlučovanie slovenských spoločností so spoločnosťami z krajín mimo EÚ a EHP, Ministerstvo spravodlivosti Slovenskej republiky nevie s takouto úpravou bez ďalšieho súhlasiť. Okrem nevyhnutnosti legislatívneho umožnenia zlúčenia, splynutia, rozdelenia so spoločnosťou z tretej krajiny, ukotvenia takýchto procesov v rámci obchodného práva s precíznym naviazaním na procesy zákona o premenách, procesu pre zákon o obchodnom registri, by bola nevyhnutná aj úprava informačného systému obchodného registra, s čím by bol spojený aj finančný dopad, ktorý v súčasnosti nie je krytý.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Pripomienku uplatňujeme ako zásadnú.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xml:space="preserve">Odporúčame predkladateľovi zosúladiť vlastná materiál po gramatickej stránke, napríklad: </w:t>
              <w:br/>
            </w:r>
            <w:r>
              <w:rPr>
                <w:b w:val="off"/>
                <w:color w:val="000000"/>
                <w:rFonts w:ascii="Times New Roman" w:hAnsi="Times New Roman" w:cs="Times New Roman" w:eastAsia="Times New Roman"/>
                <w:sz w:val="24"/>
              </w:rPr>
              <w:t>Čl. I bod 102, § 28a ods. 4 v druhej vete odporúčame za slovom „udelenie“ vypustiť slovo „o“.</w:t>
              <w:br/>
            </w:r>
            <w:r>
              <w:rPr>
                <w:b w:val="off"/>
                <w:color w:val="000000"/>
                <w:rFonts w:ascii="Times New Roman" w:hAnsi="Times New Roman" w:cs="Times New Roman" w:eastAsia="Times New Roman"/>
                <w:sz w:val="24"/>
              </w:rPr>
              <w:t>Čl. I bod 102, § 28g ods. 7 odporúčame za slovom „ak“ vložiť slovo „si“ a za slovom „rozdelenie“ vypustiť slovo „si“.</w:t>
              <w:br/>
            </w:r>
            <w:r>
              <w:rPr>
                <w:b w:val="off"/>
                <w:color w:val="000000"/>
                <w:rFonts w:ascii="Times New Roman" w:hAnsi="Times New Roman" w:cs="Times New Roman" w:eastAsia="Times New Roman"/>
                <w:sz w:val="24"/>
              </w:rPr>
              <w:t>Čl. I bod 102, § 28g ods. 9, 10 a 11 odporúčame za slovom „Ak“ vložiť slovo „sa“ a za slovom „rozdelenie“ vypustiť slovo „sa“.</w:t>
              <w:br/>
            </w:r>
            <w:r>
              <w:rPr>
                <w:b w:val="off"/>
                <w:color w:val="000000"/>
                <w:rFonts w:ascii="Times New Roman" w:hAnsi="Times New Roman" w:cs="Times New Roman" w:eastAsia="Times New Roman"/>
                <w:sz w:val="24"/>
              </w:rPr>
              <w:t>Čl. I bod 102, § 28g ods. 12 odporúčame za slovami „odseku 1“ vypustiť čiarku a za slovom „zašle“ vypustiť slovo „svoje“.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br/>
            </w:r>
            <w:r>
              <w:rPr>
                <w:b w:val="off"/>
                <w:color w:val="000000"/>
                <w:rFonts w:ascii="Times New Roman" w:hAnsi="Times New Roman" w:cs="Times New Roman" w:eastAsia="Times New Roman"/>
                <w:sz w:val="24"/>
              </w:rPr>
              <w:t>Návrh na vypustenie slova „svoje“ v čl. I bod 102 (§ 28g ods. 12) nie je neakceptovaný z dôvodu, že sa tým zdôrazňuje, že ide o rozhodnutie Národnej banky Slovenska. V platnom zákone o bankách sa takéto špecifikovanie rozhodnutia viackrát používa, napr. v § 13 ods. 2 a 3, § 33y ods. 4, § 49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95 - § 28 ods. 1 písm. b)</w:t>
              <w:br/>
            </w:r>
            <w:r>
              <w:rPr>
                <w:b w:val="off"/>
                <w:color w:val="000000"/>
                <w:rFonts w:ascii="Times New Roman" w:hAnsi="Times New Roman" w:cs="Times New Roman" w:eastAsia="Times New Roman"/>
                <w:sz w:val="24"/>
              </w:rPr>
              <w:t xml:space="preserve">Dávame predkladateľovi na zváženie, či v spojení s navrhovanou zmenou je znenie § 28 ods. 1 písm. c) „na zrušenie banky z iného dôvodu ako podľa písmena b) alebo“ vecne správne.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Nakoľko sa navrhovaným ustanovením vypúšťajú z písmena b) dôvody zrušenia, a podľa nášho názoru tam žiadne dôvody zrušenia neostávajú, odkaz na písm. b) sa v písm. c) javí ako nadbytočný a je nevyhnutné ustanovenie písme c) preformulovať.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doplnením nového novelizačného bodu, ktorým sa upraví § 28 ods. 1 písm. c) zákona č. 483/2001 Z. z.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102, § 28g až 28k</w:t>
              <w:br/>
            </w:r>
            <w:r>
              <w:rPr>
                <w:b w:val="off"/>
                <w:color w:val="000000"/>
                <w:rFonts w:ascii="Times New Roman" w:hAnsi="Times New Roman" w:cs="Times New Roman" w:eastAsia="Times New Roman"/>
                <w:sz w:val="24"/>
              </w:rPr>
              <w:t xml:space="preserve">V súvislosti so zlúčením, splynutím a rozdelením v zmysle návrhu si dovoľujeme predkladateľa upozorniť, že označenie pokrývaných transakcií ako „zlúčenie, splynutie a rozdelenie“ sa v zmysle transponovanej smernice javí ako nedostatočné.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Transponovaná smernica vychádza zo súčasného uplatňovania smernice Európskeho parlamentu a Rady (EÚ) 2017/1132 zo 14. júna 2017 týkajúcej sa niektorých aspektov práva obchodných spoločností (kodifikované znenie (Ú. v. EÚ L 169, 30.6.2017), ktorú vecne dopĺňa. Smernica (EÚ) 2017/1132 zahŕňa pod pojmom zlúčenie, splynutie a rozdelenie tak transakcie vnútroštátne, ako aj cezhraničné (v rozsahu EÚ a EHP).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Smernica bola v časti fúzií a rozdelení transponovaná zákonom č. 309/2023 Z. z. o premenách obchodných spoločností a družstiev a o zmene a doplnení niektorých zákonov, na ktorý odkazu aj návrh zákona. Ten pojmovo odlišuje premenu (zlúčenie, splynutie a rozdelenie) a cezhraničnú premenu (zlúčenie, splynutie a rozdelenie, kde aspoň jedna zúčastnená alebo nástupnícka spoločnosť má sídlo v členskom štáte EÚ alebo EHP).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Ak návrh zákona hovorí o zlúčení, splynutí alebo rozdelení, definične tak úpravu vzťahuje len na zlúčenie, splynutie a rozdelenie vnútroštátne a opomína cezhraničné zlúčenie, cezhraničné rozdelenie alebo cezhraničnú premenu. Javí sa, že aplikácia ustanovení výlučne na premeny s vnútroštátnym prvkom nie je cieľom právnej úpravy (recitál 14 transponovanej smernice, posledná veta navrhovaného § 28g ods. 2, § 28i).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Máme za to, že právna úprava má pokryť tak prípady premeny (zlúčenie, splynutie, rozdelenie), ako aj prípady cezhraničnej premeny (cezhraničné zlúčenie, cezhraničné splynutie či cezhraničné rozdelenie).</w:t>
              <w:br/>
            </w:r>
            <w:r>
              <w:rPr>
                <w:b w:val="off"/>
                <w:color w:val="000000"/>
                <w:rFonts w:ascii="Times New Roman" w:hAnsi="Times New Roman" w:cs="Times New Roman" w:eastAsia="Times New Roman"/>
                <w:sz w:val="24"/>
              </w:rPr>
              <w:t xml:space="preserve">Odporúčame tak predkladateľovi v návrhu zákona v navrhovaných § 28g až § 28k používať tieto pojmy tak, aby boli zahrnuté vnútroštátne aj cezhraničné transakcie.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Predkladateľ na niektorých miestach používa pojem premena (napr. navrhovaný § 28g ods. 10 a 11, § 28h ods. 1 a 4). V zmysle úpravy zákona č. 309/2023 Z. z. je možné a aj legislatívno-technicky správne používať súhrnný pojem „premena“ pre zlúčenie, splynutie a rozdelenie a súhrnný pojem „cezhraničná premena“ pre cezhraničné zlúčenie, cezhraničné splynutie a cezhraničné rozdelenie“. Následne je tak možné používať jednotlivý pojem pre označenie tej ktorej transakcie, ktorá má byť právnou úpravou pokrytá (napr. úvodná veta navrhovaného § 28g ods. 3 môže znieť: „Na účely odsekov 1, 2 a 5 až 14 a § 28h až 28k sa zlúčením, splynutím, cezhraničným zlúčením alebo cezhraničným splynutím rozumie“).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sa vzťahuje na každý výskyt pojmov zlúčenie, splynutie a rozdelenie v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Pripomienka smerujúca k jednotnému používaniu pojmov je akceptovaná, avšak inou legislatívnou úpravou. Znenie § 28g až 28k návrhu zákona sa upravilo tak, aby sa dôsledne a jednotne používali pojmy zlúčenie, splynutie a rozdelenie. Zároveň je doplnené nové ustanovenie § 28g ods. 16, podľa ktorého, ak sa v §  28g až 28k uvádza pojem zlúčenie, splynutie alebo rozdelenie, rozumie sa tým aj cezhraničné zlúčenie, cezhraničné splynutie alebo cezhraničné rozdelenie.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102, § 28g ods. 2</w:t>
              <w:br/>
            </w:r>
            <w:r>
              <w:rPr>
                <w:b w:val="off"/>
                <w:color w:val="000000"/>
                <w:rFonts w:ascii="Times New Roman" w:hAnsi="Times New Roman" w:cs="Times New Roman" w:eastAsia="Times New Roman"/>
                <w:sz w:val="24"/>
              </w:rPr>
              <w:t>Dávame predkladateľovi na zváženie, či je nevyhnutné, aby ustanovenie obsahovalo prvú vetu v navrhovanom znení. Máme za to, že duplikuje znenie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dávame predkladateľovi na zváženie nahradiť slová „po schválení zlúčenia, splynutia alebo rozdelenia najvyšším orgánom týchto osôb“ slovami „po schválení návrhu projektu premeny alebo projektu cezhraničnej premeny“. Zabezpečí sa tak konzistentnosť s požiadavkami zákona o premenách, ktoré sa na regulované transakcie vzťahujú.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V § 28g ods. 2 z dôvodu právnej istoty prvú vetu ponecháme. </w:t>
              <w:br/>
            </w:r>
            <w:r>
              <w:rPr>
                <w:b w:val="off"/>
                <w:color w:val="000000"/>
                <w:rFonts w:ascii="Times New Roman" w:hAnsi="Times New Roman" w:cs="Times New Roman" w:eastAsia="Times New Roman"/>
                <w:sz w:val="24"/>
              </w:rPr>
              <w:t>Druhá časť pripomienky bola akceptovaná a zapracovaná.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102, § 28g ods. 4</w:t>
              <w:br/>
            </w:r>
            <w:r>
              <w:rPr>
                <w:b w:val="off"/>
                <w:color w:val="000000"/>
                <w:rFonts w:ascii="Times New Roman" w:hAnsi="Times New Roman" w:cs="Times New Roman" w:eastAsia="Times New Roman"/>
                <w:sz w:val="24"/>
              </w:rPr>
              <w:t xml:space="preserve">Vo vzťahu k ustanoveniu si dovoľujeme upozorniť predkladateľa, že pri cezhraničnom rozdelení môže byť v zmysle smernice (EÚ) 2017/1132 nástupníckou spoločnosťou len novozaložená spoločnosť. Hoci transponovaná smernica definuje rozdelenie široko (právne v zmysle navrhovaného ustanovenia) tak pre vnútroštátne, ako aj cezhraničné rozdelenie, recitál 14 výslovne hovorí, že transponovaná smernica nemá byť v žiadnom bode v rozpore so smernicou (EÚ) 2017/1132.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Domnievame sa teda, že transakcia v zmysle písmena b) a v zmysle písmena d) a e) ak na jej základe vzniká nová právnická osoba, môže nastať ako cezhraničné rozdelenie. Transakcie podľa písmena a) až e) sa môžu uskutočniť ako vnútroštátne rozdelenie. </w:t>
              <w:br/>
            </w:r>
            <w:r>
              <w:rPr>
                <w:b w:val="off"/>
                <w:color w:val="000000"/>
                <w:rFonts w:ascii="Times New Roman" w:hAnsi="Times New Roman" w:cs="Times New Roman" w:eastAsia="Times New Roman"/>
                <w:sz w:val="24"/>
              </w:rPr>
              <w:t xml:space="preserve">Dávame predkladateľovi na zváženie, aby v záujme právnej istoty bolo ustanovenie navrhovaného odseku doplnené o vymedzenie, že § 2 ods. 12 zákona č. 309/2023 Z. z. o premenách obchodných spoločností a družstiev a o zmene a doplnení niektorých zákonov sa použije rovnako.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Konzistentnosť so smernicou (EÚ) 2017/1132 je zásadná aj z toho dôvodu, že pri cezhraničných premenách v jej zmysle prebieha výmena údajov  medzi obchodnými registrami jednotlivých členských štátov prostredníctvom systému prepojenia registrov (BRIS). Tento systém funguje na základe smernicou stanovených predpokladov na systéme notifikácií odosielanými medzi jednotlivými obchodnými registrami. Ak by tak došlo k cezhraničnému rozdeleniu, pri ktorom by bola nástupníckou spoločnosťou už existujúca spoločnosť, vznikla by nemožnosť zaslania notifikácie inému obchodnému registru/prijatia notifikácie a vzhľadom na chýbajúci proces v zákone č. 530/2003 Z. z. by nebolo možné takúto transakciu zapísať.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Domnievame sa, že takýto odkaz je (napriek navrhovanému ustanoveniu § 28k ods. 1 nevyhnutný, aby bolo zrejmé, že špecifické spôsoby vyrovnania pri rozdelení (stanovené transponovanou smernicou sú možné), avšak podmienka podľa § 2 ods. 12 zákona o premenách (v zmysle smernice (EÚ) 2017/1132) je rešpektovaná.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doplnením nového odseku 15 do § 28g návrhu zákona, ktorý znie:</w:t>
              <w:br/>
            </w:r>
            <w:r>
              <w:rPr>
                <w:b w:val="off"/>
                <w:color w:val="000000"/>
                <w:rFonts w:ascii="Times New Roman" w:hAnsi="Times New Roman" w:cs="Times New Roman" w:eastAsia="Times New Roman"/>
                <w:sz w:val="24"/>
              </w:rPr>
              <w:t>„(15) Ustanovením odseku 4 nie je dotknuté ustanovenie osobitného predpisu.30ah)“.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30ah znie:</w:t>
              <w:br/>
            </w:r>
            <w:r>
              <w:rPr>
                <w:b w:val="off"/>
                <w:color w:val="000000"/>
                <w:rFonts w:ascii="Times New Roman" w:hAnsi="Times New Roman" w:cs="Times New Roman" w:eastAsia="Times New Roman"/>
                <w:sz w:val="24"/>
              </w:rPr>
              <w:t>„30ah) 	§ 2 ods. 12 zákona č. 309/2023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102, § 28g ods. 6</w:t>
              <w:br/>
            </w:r>
            <w:r>
              <w:rPr>
                <w:b w:val="off"/>
                <w:color w:val="000000"/>
                <w:rFonts w:ascii="Times New Roman" w:hAnsi="Times New Roman" w:cs="Times New Roman" w:eastAsia="Times New Roman"/>
                <w:sz w:val="24"/>
              </w:rPr>
              <w:t>Dávame predkladateľovi na zváženie v poslednej vete vypustenie slov za bodkočiarkou, nakoľko ide o duplicitu s ustanovením odseku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Podľa nášho názoru nejde o duplicitu a z dôvodu právnej istoty ustanovenie § 28g ods. 6 ponechávame v navrhovanom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102, § 28h ods. 4 písm. c)</w:t>
              <w:br/>
            </w:r>
            <w:r>
              <w:rPr>
                <w:b w:val="off"/>
                <w:color w:val="000000"/>
                <w:rFonts w:ascii="Times New Roman" w:hAnsi="Times New Roman" w:cs="Times New Roman" w:eastAsia="Times New Roman"/>
                <w:sz w:val="24"/>
              </w:rPr>
              <w:t xml:space="preserve">Dávame predkladateľovi na zváženie nahradiť slová „projekt navrhovaného zlúčenia, splynutia alebo rozdelenia“ slovami „schválený projekt premeny alebo projekt cezhraničnej premeny“. Zabezpečí sa tak konzistentnosť s požiadavkami zákona o premenách, ktoré sa na regulované transakcie vzťahujú.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o premenách vychádza z návrhu projektu premeny/cezhraničnej premeny, pričom po jeho schválení (v čase, kedy sa predkladá žiadosť NBS) sa už označuje ako schválený návrh projektu premeny/cezhraničnej premeny.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odporúčame predkladateľovi upraviť poznámku pod čiarou k odkazu 30ai tak, aby odkazovala vo všeobecnosti na zákon o premenách.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Okrem ustanovenia § 7 až 16 by totiž bolo potrebné odkázať aj na ustanovenia § 34 až 41, § 57 až 59, § 66, § 76 až 78, § 96, § 98, § 101 a 102, ktoré sa rovnako týkajúca návrhu projektu premeny a cezhraničnej premeny. Odkaz na tieto ustanovenia považujeme za efektívnejšie zmieniť v dôvodovej správe k návrhu.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úpravou príslušného ustanovenia návrhu zákona v súlade s pripomienkou.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102, § 28h ods. 9 písm. c)</w:t>
              <w:br/>
            </w:r>
            <w:r>
              <w:rPr>
                <w:b w:val="off"/>
                <w:color w:val="000000"/>
                <w:rFonts w:ascii="Times New Roman" w:hAnsi="Times New Roman" w:cs="Times New Roman" w:eastAsia="Times New Roman"/>
                <w:sz w:val="24"/>
              </w:rPr>
              <w:t xml:space="preserve">Navrhované ustanovenie indikuje, že premena sa ukončí až vtedy, keď NBS udelí predchádzajúci súhlas.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Odporúčame predkladateľovi objasniť aspoň v dôvodovej správe, čo znamená pojem „ukončiť“ zlúčenie, splynutie alebo rozdelenie. Zákon o premenách (§ 4) hovorí o účinnosti premeny a zápise do obchodného registra.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Javí sa, že ukončením môže byť tak moment podania návrhu na zápis do obchodného registra. Dávame tiež na zváženie, či by ustanovenie nemalo hovoriť „sa môže ukončiť“, nakoľko vždy bude potrebné vykonať úkony vo vzťahu k obchodnému registru, ale automaticky sama sa neukončí.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 a smernicou (EÚ) 2024/1619.</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102, § 28j</w:t>
              <w:br/>
            </w:r>
            <w:r>
              <w:rPr>
                <w:b w:val="off"/>
                <w:color w:val="000000"/>
                <w:rFonts w:ascii="Times New Roman" w:hAnsi="Times New Roman" w:cs="Times New Roman" w:eastAsia="Times New Roman"/>
                <w:sz w:val="24"/>
              </w:rPr>
              <w:t>Dovoľujeme si upozorniť predkladateľa, že v zmysle smernice (EÚ) 2017/1132 nemôže byť cezhraničná premena vyhlásená za neplatnú. Uvedené reflektuje aj zákon o premenách (§ 4 ods.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Dávame predkladateľovi na zváženie upraviť iné opatrenia. V prípade cezhraničnej premeny môže byť takýmto opatrením napríklad nevydanie osvedčenia prechádzajúceho cezhraničnej premene notárom - § 87 ods. 3 písm. c) a d) zákona o premenách.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Akceptované. </w:t>
              <w:br/>
            </w:r>
            <w:r>
              <w:rPr>
                <w:b w:val="off"/>
                <w:color w:val="000000"/>
                <w:rFonts w:ascii="Times New Roman" w:hAnsi="Times New Roman" w:cs="Times New Roman" w:eastAsia="Times New Roman"/>
                <w:sz w:val="24"/>
              </w:rPr>
              <w:t xml:space="preserve">Z návrhu zákona sa vypustí § 28j a do tabuliek zhody sa transpozícia čl. 27l smernice (EÚ) 2024/1619, ktorý od členských štátov vyžaduje, „aby príslušné orgány prijali vhodné opatrenia v prípade, ak finančné zainteresované strany neposkytnú vopred oznámenie o navrhovanej operácii v súlade s článkom 27i ods. 1 alebo vykonali navrhovanú operáciu podľa uvedeného článku bez predchádzajúceho kladného stanoviska príslušných orgánov“, vykáže ustanoveniami § 16 ods. 1 a § 87 ods. 3 písm. b) až d) zákona č. 309/2023 Z.  z. o premenách obchodných spoločností a družstiev a o zmene a doplnení niektorých zákonov a § 36 ods. 1 zákona č. 323/1992 Zb. o notároch a notárskej činnosti (Notársky poriadok) v znení neskorších predpisov.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w:t>
              <w:br/>
            </w:r>
            <w:r>
              <w:rPr>
                <w:b w:val="off"/>
                <w:color w:val="000000"/>
                <w:rFonts w:ascii="Times New Roman" w:hAnsi="Times New Roman" w:cs="Times New Roman" w:eastAsia="Times New Roman"/>
                <w:sz w:val="24"/>
              </w:rPr>
              <w:t>K čl. I bodu 6: Slová „Orgánom pre boj proti praniu peňazí a financovanie terorizmu“ navrhujeme nahradiť slovami „Úradom pre boj proti praniu peňazí a financovaniu terorizmu“ a zjednotiť používanie názvu úradu zriadeného podľa nariadenia Európskeho parlamentu a Rady (EÚ) 2024/1620 z 31. mája 2024, ktorým sa zriaďuje Úrad pre boj proti praniu špinavých peňazí a financovaniu terorizmu a ktorým sa menia nariadenia (EÚ) č. 1093/2010, (EÚ) č. 1094/2010 a (EÚ) č. 1095/2010 (Ú. v. EÚ L, 2024/1620, 19.6.2024).“.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Uvedený názov úradu je použitý aj v § 9 ods. 15 písm. b), kde je ustanovené, že Národná banka Slovenska môže požiadať Úrad pre boj proti praniu peňazí a financovaniu terorizmu zriadený podľa osobitného predpisu24baa) o prístup do centrálnej databázy informácií v oblasti boja proti praniu špinavých peňazí a financovaniu terorizmu.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príslušných ustanovení návrhu zákona (§ 6 ods. 13, § 9 ods. 15 vrátane poznámok pod čiarou)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6, 33 a 102</w:t>
              <w:br/>
            </w:r>
            <w:r>
              <w:rPr>
                <w:b w:val="off"/>
                <w:color w:val="000000"/>
                <w:rFonts w:ascii="Times New Roman" w:hAnsi="Times New Roman" w:cs="Times New Roman" w:eastAsia="Times New Roman"/>
                <w:sz w:val="24"/>
              </w:rPr>
              <w:t>K čl. I bodu 6, 33 a 102: V bode 6 v§ 13 ods. 6, bode 33 v § 9 ods. 15 písm. a) a bode 102 v § 28a ods. 9 písm. b) a § 28g ods. 10 písm. b)  navrhujeme slová „v oblasti legalizácie príjmov z trestnej činnosti a financovania terorizmu“ nahradiť slovami „v oblasti ochrany pred legalizáciou príjmov z trestnej činnosti a pred financovaním terorizmu“ a zosúladiť tieto ustanovenia  s navrhovanými ustanoveniami v čl. I bodoch 2, 17, 21, 22, 31 a 32.</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príslušných ustanovení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30</w:t>
              <w:br/>
            </w:r>
            <w:r>
              <w:rPr>
                <w:b w:val="off"/>
                <w:color w:val="000000"/>
                <w:rFonts w:ascii="Times New Roman" w:hAnsi="Times New Roman" w:cs="Times New Roman" w:eastAsia="Times New Roman"/>
                <w:sz w:val="24"/>
              </w:rPr>
              <w:t xml:space="preserve">K čl. I bodu 30: V čl. I bode 30 v § 8c navrhujeme odsek 4 v nasledovnom znení: </w:t>
              <w:br/>
            </w:r>
            <w:r>
              <w:rPr>
                <w:b w:val="off"/>
                <w:color w:val="000000"/>
                <w:rFonts w:ascii="Times New Roman" w:hAnsi="Times New Roman" w:cs="Times New Roman" w:eastAsia="Times New Roman"/>
                <w:sz w:val="24"/>
              </w:rPr>
              <w:t xml:space="preserve">„(4) Ak na základe vykonaného preskúmania najmä mechanizmu správy a riadenia, obchodného modelu alebo činností pobočky zahraničnej banky so sídlom mimo územia členského štátu podľa odseku 1 existuje dôvodné podozrenie, že v súvislosti s touto pobočkou dochádza k porušeniu, došlo k porušeniu alebo k pokusu o porušenie ustanovení osobitného predpisu21a) alebo existuje zvýšené riziko takéhoto konania, Národná banka Slovenska bezodkladne informuje o výsledkoch tohto preskúmania Európsky orgán dohľadu (Európsky orgán pre bankovníctvo) a finančnú spravodajskú jednotku. Ak existuje zvýšené riziko porušenia ustanovení osobitného predpisu,21a) Národná banka Slovenska v spolupráci s finančnou spravodajskou jednotkou posúdia situáciu a bez zbytočného odkladu informujú Európsky orgán dohľadu (Európsky orgán pre bankovníctvo) o výsledku tohto spoločného posúdenia rizika. Ak je to potrebné, Národná banka Slovenska prijme opatrenia v súlade s týmto zákonom, pričom môže podľa § 8o odobrať bankové povolenie pobočke zahraničnej banky so sídlom mimo územia členského štátu. Tým nie je dotknuté ustanovenie § 48 ods. 15.“ </w:t>
              <w:br/>
            </w:r>
            <w:r>
              <w:rPr>
                <w:b w:val="off"/>
                <w:color w:val="000000"/>
                <w:rFonts w:ascii="Times New Roman" w:hAnsi="Times New Roman" w:cs="Times New Roman" w:eastAsia="Times New Roman"/>
                <w:sz w:val="24"/>
              </w:rPr>
              <w:t xml:space="preserve">Zároveň je potrebné vypustiť odsek 5.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Predmetné ustanovenie odseku 4 navrhujeme preformulovať, z dôvodu potreby zosúladenia navrhovaného znenia so súčasne platným ustanovením § 6 ods. 34 zákona č. 483/2001 Z. z. o bankách a o zmene a doplnení niektorých zákonov. V súvislosti s uvedeným súčasne navrhujeme vypustiť ustanovenie odseku 5, pretože súčasne platné znenie ustanovenia § 48 ods. 15 zákona č. 483/2001 Z. z. o bankách a o zmene a doplnení niektorých zákonov už v súčasnosti umožňuje širokú spoluprácu a výmenu informácií medzi finančnou spravodajskou jednotkou a Národnou bankou Slovenska, ktorá sa vzťahuje aj na spoluprácu na účely novo navrhnutého ustanovenia § 8c ods. 4. Finančná spravodajská jednotka je zároveň podľa § 26 ods. 2 písm. g) zákona č. 297/2008 Z. z. o ochrane pred legalizáciou príjmov z trestnej činnosti  a o ochrane pred financovaním terorizmu a o zmene a doplnení niektorých zákonov v znení zákona č. 399/2014 Z. z. povinná zachovávať mlčanlivosť o obsahu a pôvode informácií získaných od povinných osôb a zároveň je povinná zabezpečovať ochranu takto získaných informácií, pričom ustanovenie § 48 ods. 15 zákona č. 483/2001 Z. z. o bankách a o zmene a doplnení niektorých zákonov plne rešpektuje aj túto povinnosť finančnej spravodajskej jednotky. Navrhované ustanovenie § 8c ods. 5 je vo vzťahu k existujúcemu ustanoveniu § 48 ods. 15 zákona č. 483/2001 Z. z. o bankách a o zmene a doplnení niektorých zákonov nadbytočné, z daného dôvodu ho navrhujeme vypustiť bez náhrady.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znenia § 8c ods. 4 a vypustením § 8c ods. 5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bodu 36</w:t>
              <w:br/>
            </w:r>
            <w:r>
              <w:rPr>
                <w:b w:val="off"/>
                <w:color w:val="000000"/>
                <w:rFonts w:ascii="Times New Roman" w:hAnsi="Times New Roman" w:cs="Times New Roman" w:eastAsia="Times New Roman"/>
                <w:sz w:val="24"/>
              </w:rPr>
              <w:t>K čl. I bodu 36: Slovo „Komisii“ navrhujeme nahradiť slovom „Komisiu“.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materiálu všeobecne</w:t>
              <w:br/>
            </w:r>
            <w:r>
              <w:rPr>
                <w:b w:val="off"/>
                <w:color w:val="000000"/>
                <w:rFonts w:ascii="Times New Roman" w:hAnsi="Times New Roman" w:cs="Times New Roman" w:eastAsia="Times New Roman"/>
                <w:sz w:val="24"/>
              </w:rPr>
              <w:t xml:space="preserve">Odporúčame návrh zákona v časti § 6b predložiť na vnútorkomunitárne  pripomienkové konanie Európskej centrálnej banke.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upravuje podmienky nezávislosti dotknutých zamestnancov NBS pri výkone dohľadu v oblasti bankovníctva, čo je jednou z kľúčových úloh NBS.  Navrhovaná právna úprava preto spadá do oblasti pôsobnosti rozhodnutia Rady č. 98/415/ES podľa čl. 2 ods. 1 tretia odrážka. Uvedené podporuje aj skutočnosť, že dotknutú právnu úpravu konzultujú aj ďalšie členské štáty Eurosystému, napr. Fínsko.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Podľa čl. 17 ods. 1 Legislatívnych pravidiel vlády Slovenskej republiky a podľa rozhodnutia Rady č. 98/415/ES o poradení sa s Európskou centrálnou bankou vnútroštátnymi orgánmi o návrhu právnych predpisov bude návrh zákona predložený na vnútrokomunitárne pripomienkovanie Európskej centrálnej banke.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7 (novelizačný bod 1)</w:t>
              <w:br/>
            </w:r>
            <w:r>
              <w:rPr>
                <w:b w:val="off"/>
                <w:color w:val="000000"/>
                <w:rFonts w:ascii="Times New Roman" w:hAnsi="Times New Roman" w:cs="Times New Roman" w:eastAsia="Times New Roman"/>
                <w:sz w:val="24"/>
              </w:rPr>
              <w:t xml:space="preserve">Odporúčame nezahŕňať pod pojem „zahraničná banka“ subjekty uvádzané v § 2 ods. 7 písm. c) a d) a na účely zabezpečenia transpozície navrhujeme zvoliť inú legislatívnu techniku.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Smernica pre subjekt uvedený pod písmenom d) používa pojem „podnik z tretej krajiny“. Dávame na zváženie, či je možné hovoriť v súvislosti s týmto subjektom o „banke“, keďže nemusí mať z pohľadu definície (ani u nás, ani v krajine, v ktorej má sídlo) udelené žiadne bankové povolenie alebo obdobné povolenie na výkon činnosti. Nemožno subsumovať akýkoľvek subjekt bez oprávnenia na výkon činnosti s dovetkom, že prijíma vklady pod pojem „banka“, ako ekvivalentu „úverovej inštitúcie“ na podnikanie ktorej je potrebné povolenie (článok 8 smernice 2013/36/EÚ). To platí aj pre subjekt uvádzaný pod písmenom c).</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písm. ao) (novelizačný bod 2)</w:t>
              <w:br/>
            </w:r>
            <w:r>
              <w:rPr>
                <w:b w:val="off"/>
                <w:color w:val="000000"/>
                <w:rFonts w:ascii="Times New Roman" w:hAnsi="Times New Roman" w:cs="Times New Roman" w:eastAsia="Times New Roman"/>
                <w:sz w:val="24"/>
              </w:rPr>
              <w:t>Odporúčame v § 5 písm. ao) slová „funkcie vnútornej kontroly“ nahradiť slovami „funkcie riadenia rizík, funkcie dodržiavania súladu s predpismi alebo funkcie vnútorného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 v nadväznosti za pojem „funkcie vnútornej kontroly“ zavedený v § 5 písm. an), ktorý v sebe zahŕňa funkciu riadenia rizík, funkciu dodržiavania súladu s predpismi a funkciu vnútorného auditu.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39 (novelizačný bod 10)</w:t>
              <w:br/>
            </w:r>
            <w:r>
              <w:rPr>
                <w:b w:val="off"/>
                <w:color w:val="000000"/>
                <w:rFonts w:ascii="Times New Roman" w:hAnsi="Times New Roman" w:cs="Times New Roman" w:eastAsia="Times New Roman"/>
                <w:sz w:val="24"/>
              </w:rPr>
              <w:t>Odporúčame v § 6 ods. 39 za slová „môže zvážiť“ vložiť slová „v súvislosti s aplikáciou zásady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 vylúčenie pochýb navrhujeme spomenúť proporcionalitu v danom ustanovení, vzhľadom na to, že predmetné ustanovenie je transpozíciou čl. 97 druhý pododsek v odseku 4 CRD6, ktoré pojednáva o proporcionalite  a jej aplikácii v rámci dohľadového preskúmania a hodnotenia.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6b ods. 1 písm. b) (novelizačný bod 16)</w:t>
              <w:br/>
            </w:r>
            <w:r>
              <w:rPr>
                <w:b w:val="off"/>
                <w:color w:val="000000"/>
                <w:rFonts w:ascii="Times New Roman" w:hAnsi="Times New Roman" w:cs="Times New Roman" w:eastAsia="Times New Roman"/>
                <w:sz w:val="24"/>
              </w:rPr>
              <w:t>Odporúčame v § 6b ods. 1 písm. b) na koniec pripojiť slová „v oblasti bankovníctva“.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dôvodu právnej istoty a na základe legislatívnej techniky použitej v predvetí a zároveň v § 6b ods. 1 písm. a) navrhujeme, aby aj v písmene b) boli doplnené slová „v oblasti bankovníctva“ tak, aby sa predmetné ustanovenie týkalo len zamestnanca NBS, ktorý vykonáva dohľad v oblasti bankovníctva.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6b ods. 4 (novelizačný bod 16)</w:t>
              <w:br/>
            </w:r>
            <w:r>
              <w:rPr>
                <w:b w:val="off"/>
                <w:color w:val="000000"/>
                <w:rFonts w:ascii="Times New Roman" w:hAnsi="Times New Roman" w:cs="Times New Roman" w:eastAsia="Times New Roman"/>
                <w:sz w:val="24"/>
              </w:rPr>
              <w:t xml:space="preserve">Odporúčame v § 6b ods. 4 za slová „obsahuje informácie“ vložiť slová „o vlastníctve finančných nástrojov podľa odseku 6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Cieľom pripomienky je jasnejšie vymedzenie povinností osôb podľa § 6b ods. 1. Aby NBS mohla v prípade potreby a v súlade s § 6b ods. 8 žiadať od osoby podľa § 6b ods. 1, aby táto predala alebo scudzila finančný nástroj je potrebné, aby NBS mala najskôr informáciu, že osoba podľa § 6b ods. 1 takýto nástroj vlastní.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6b ods. 6 písm. a) (novelizačný bod 16)</w:t>
              <w:br/>
            </w:r>
            <w:r>
              <w:rPr>
                <w:b w:val="off"/>
                <w:color w:val="000000"/>
                <w:rFonts w:ascii="Times New Roman" w:hAnsi="Times New Roman" w:cs="Times New Roman" w:eastAsia="Times New Roman"/>
                <w:sz w:val="24"/>
              </w:rPr>
              <w:t xml:space="preserve">Odporúčame v poznámke pod čiarou k odkazu 21ao slová „Čl. 4 ods. 1 bod 50 nariadenia (EÚ) č. 575/2013 v platnom znení“ nahradiť slovami „§ 5 zákona č. 566/2001 Z. z.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smernice CRDVI je obmedzenie „obchodovania“  (trading), a teda obmedzenia týkajúce sa finančných nástrojov v zmysle MiFID. Pojem „finančný nástroj“ je podľa nariadenia (EÚ) 575/2013 veľmi široký (napr. zmluvy o finančných záväzkoch, hotovostné nástroje) a v praxi ide len o ťažko vykonateľné (z hľadiska monitorovania aj samotného výkladu) ustanovenie. Aj samotná dôvodová správa k tomuto ustanoveniu špecifikuje, že by malo ísť len o finančné nástroje, s ktorými je možné vykonávať obchodovanie tzv. trading v pravom slova zmysle, čo podľa nášho názoru teraz nie je možné vykonávať so všetkými finančnými nástrojmi tak, ako ich definuje nariadenie (EÚ) č. 575/2013, a teda odkaz na všetky finančné nástroje v § 6b ods. 6. Nakoľko je NBS neoddeliteľnou súčasťou ESCB, je povinná konať a postupovať v súlade s pokynmi a usmerneniami ECB, ktoré danú problematiku upravujú. Táto povinnosť NBS vyplýva z ustanovenia článku 14.3 Protokolu č. 4 o Štatúte ESCB a ECB pripojenom k Zmluve o fungovaní Európskej únie. Usmernenie ECB (EÚ) 2021/2256 z 2. novembra 2021, ktorým sa ustanovujú zásady etického rámca pre jednotný mechanizmus dohľadu (ECB/2021/50) v čl. 11 ods. 2 písm. a) bod i) (osobitné obmedzenia týkajúce sa kritických súkromných finančných transakcií) ustanovuje zákaz vykonávania kritických transakcií s kapitálovými a dlhovými nástrojmi vydanými regulovaným subjektom. Máme za to, že nami navrhovaná úprava by priniesla zosúladenie s aktuálnymi požiadavkami ECB vo vzťahu k definovaniu zakázaných finančných nástrojov.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Smernica 2013/36/EÚ v čl. 3 ods. 1 bod 46 definuje pojem finančný nástroj odkazom na čl. 4 ods. 1 bod 50 nariadenia (EÚ) č. 575/2013 v platnom znení. To znamená, že ak sa v čl. 1 bod 4 smernice (EÚ) 2024/1619 (čl. 4a ods. 3 písm. a) smernice 2013/36/EÚ) používa pojem finančný nástroj, musí sa aj pri transpozícii tohto ustanovenia používať pojem s rovnakým definičným obsahom. Keďže finančný nástroj podľa § 5 zákona č. 566/2001 Z. z. o cenných papieroch je užšie vymedzený, akceptovaním pripomienky by došlo k zvoľneniu požiadaviek, pričom smernica (EÚ) 2024/1619 dovoľuje len ich sprísnenie. Pripomienku preto nie je možné akceptovať, pretože je v rozpore so smernicou (EÚ) 2024/1619.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7b ods. 5 písm. b) (novelizačný bod 28)</w:t>
              <w:br/>
            </w:r>
            <w:r>
              <w:rPr>
                <w:b w:val="off"/>
                <w:color w:val="000000"/>
                <w:rFonts w:ascii="Times New Roman" w:hAnsi="Times New Roman" w:cs="Times New Roman" w:eastAsia="Times New Roman"/>
                <w:sz w:val="24"/>
              </w:rPr>
              <w:t>Odporúčame v § 7b ods. 5 písm. b) slovo „veľkosť“ nahradiť slovom „rozsah“.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Domnievame sa, že slovo „rozsah“ lepšie vystihuje účel daného ustanovenia, hoci samotné ustanovenie CRD6 hovorí o „veľkosti/size“.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 (novelizačný bod 29)</w:t>
              <w:br/>
            </w:r>
            <w:r>
              <w:rPr>
                <w:b w:val="off"/>
                <w:color w:val="000000"/>
                <w:rFonts w:ascii="Times New Roman" w:hAnsi="Times New Roman" w:cs="Times New Roman" w:eastAsia="Times New Roman"/>
                <w:sz w:val="24"/>
              </w:rPr>
              <w:t>Odporúčame preformulovať § 8 ods. 1 takto:</w:t>
              <w:br/>
            </w:r>
            <w:r>
              <w:rPr>
                <w:b w:val="off"/>
                <w:color w:val="000000"/>
                <w:rFonts w:ascii="Times New Roman" w:hAnsi="Times New Roman" w:cs="Times New Roman" w:eastAsia="Times New Roman"/>
                <w:sz w:val="24"/>
              </w:rPr>
              <w:t>„(1) Bankové povolenie pre zahraničnú banku so sídlom mimo územia členského štátu na vykonávanie bankových činností prostredníctvom jej pobočky umiestnenej na území Slovenskej republiky sa udeľuje na bankové činnosti prijímania vkladov a poskytovania úverov a na ďalšie bankové činnosti uvedené v žiadosti o udelenie bankového povolenia, okrem bankovej činnosti podľa § 2 ods. 2 písm. m) a o) až q). Žiadosť o udelenie bankového povolenia predkladá zahraničná banka so sídlom mimo územia členského štátu Národnej banke Slovenska.“.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pobočka zahraničnej banky so sídlom mimo územia členského štátu na našom trhu poskytovala minimálne aj prijímanie vkladov, aj poskytovanie úverov, čo sú bankové činnosti, ktoré sú predpokladom na udelenie bankového povolenia bankám a pobočkám.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8a ods. 1 (novelizačný bod 30)</w:t>
              <w:br/>
            </w:r>
            <w:r>
              <w:rPr>
                <w:b w:val="off"/>
                <w:color w:val="000000"/>
                <w:rFonts w:ascii="Times New Roman" w:hAnsi="Times New Roman" w:cs="Times New Roman" w:eastAsia="Times New Roman"/>
                <w:sz w:val="24"/>
              </w:rPr>
              <w:t>Odporúčame v § 8a ods. 1 vypustiť slovo „úzkej“ a za slová „s ktorými vykonáva“ vložiť slová „doplnkové činnosti, najmä“.</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doplnenie vyplýva z čl. 47 ods. 2 CRD6, ktorý je týmto ustanovením zákona transponovaný, pričom prijímanie vkladov alebo poskytovanie úverov predstavuje  podľa CRD6 len demonštratívny výpočet, pričom sa zdôrazňuje ich doplnkový charakter k investičným službám.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8k ods. 3 (novelizačný bod 30)</w:t>
              <w:br/>
            </w:r>
            <w:r>
              <w:rPr>
                <w:b w:val="off"/>
                <w:color w:val="000000"/>
                <w:rFonts w:ascii="Times New Roman" w:hAnsi="Times New Roman" w:cs="Times New Roman" w:eastAsia="Times New Roman"/>
                <w:sz w:val="24"/>
              </w:rPr>
              <w:t>Odporúčame v § 8k ods. 3 za slová „s trhovými operáciami“ vložiť slovo „príslušnej“.</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špecifikáciu, že ide o príslušnú centrálnu banku súvisiacu s danými pobočkami, t. j. „domovskú“ centrálnu banku, príslušnú podľa zahraničnej banky, ktorá pobočku zriadila.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8p ods. 1 (novelizačný bod 30)</w:t>
              <w:br/>
            </w:r>
            <w:r>
              <w:rPr>
                <w:b w:val="off"/>
                <w:color w:val="000000"/>
                <w:rFonts w:ascii="Times New Roman" w:hAnsi="Times New Roman" w:cs="Times New Roman" w:eastAsia="Times New Roman"/>
                <w:sz w:val="24"/>
              </w:rPr>
              <w:t>Odporúčame do § 8p ods. 1 doplniť písmeno f), ktoré znie:</w:t>
              <w:br/>
            </w:r>
            <w:r>
              <w:rPr>
                <w:b w:val="off"/>
                <w:color w:val="000000"/>
                <w:rFonts w:ascii="Times New Roman" w:hAnsi="Times New Roman" w:cs="Times New Roman" w:eastAsia="Times New Roman"/>
                <w:sz w:val="24"/>
              </w:rPr>
              <w:t>„f) dňom, kedy zahraničná banka, ktorá túto pobočku zriadila, stratila v štáte svojho sídla oprávnenie na výkon činnosti, ktoré vykonáva prostredníctvom tejto pobočky.“.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doplniť ďalšie písmeno, na základe ktorého zánik povolenia pre pobočku zahraničnej banky so sídlom mimo územia členského štátu bude automatický, bez potreby rozhodnutia NBS.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8p ods. 4 (novelizačný bod 30)</w:t>
              <w:br/>
            </w:r>
            <w:r>
              <w:rPr>
                <w:b w:val="off"/>
                <w:color w:val="000000"/>
                <w:rFonts w:ascii="Times New Roman" w:hAnsi="Times New Roman" w:cs="Times New Roman" w:eastAsia="Times New Roman"/>
                <w:sz w:val="24"/>
              </w:rPr>
              <w:t>Odporúčame odsek 4 z § 8p  presunúť do § 8o.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Zmenu navrhujeme z dôvodu, že odsek 4 sa týka odobratia povolenia, ktoré upravuje § 8o. Zároveň však dávame na zváženie, či by obdobné ustanovenie nemalo ostať aj v § 8p, a teda, či by NBS nemala mať povinnosť informovať orgán dohľadu v štáte, v ktorom má zahraničná banka sídlo aj v prípade zániku povolenia.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príslušných ustanovení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7 (novelizačný bod 33)</w:t>
              <w:br/>
            </w:r>
            <w:r>
              <w:rPr>
                <w:b w:val="off"/>
                <w:color w:val="000000"/>
                <w:rFonts w:ascii="Times New Roman" w:hAnsi="Times New Roman" w:cs="Times New Roman" w:eastAsia="Times New Roman"/>
                <w:sz w:val="24"/>
              </w:rPr>
              <w:t>Odporúčame v § 9 ods. 7 za slovami „len v oblasti“ vypustiť čiarku a vložiť slová „určenej v bankovom povolení alebo“.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Doplnenie navrhujeme, aby nevznikali pochybnosti o tom, že v prípade udelenia nového bankového povolenia nemusia byť určené oblasti pôsobenia osôb v kľúčových funkciách. Z ustanovenia by malo byť zrejmé, že každá osoba v kľúčovej funkcii musí mať pridelenú konkrétnu oblasť alebo oblasti, v ktorej pôsobí, a že výkon s tým spojených činností podlieha posúdeniu a rozhodnutiu NBS.</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18 (novelizačný bod 33)</w:t>
              <w:br/>
            </w:r>
            <w:r>
              <w:rPr>
                <w:b w:val="off"/>
                <w:color w:val="000000"/>
                <w:rFonts w:ascii="Times New Roman" w:hAnsi="Times New Roman" w:cs="Times New Roman" w:eastAsia="Times New Roman"/>
                <w:sz w:val="24"/>
              </w:rPr>
              <w:t>Odporúčame v § 9 ods. 18 slová „odseku 16“ nahradiť slovami  „ odsekov 16 a 19“.</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osoby podľa § 8e ods. 1 a členovia riadiaceho výboru podľa § 8e ods. 3 majú obdobné postavenie ako vedúci zahraničnej banky, resp. štatutárny orgán banky, v prípade podozrenia na porušenie, pokusu o porušenie alebo zvýšeného rizika porušenia osobitného predpisu, NBS by mala mať rovnaké oprávnenie overenia splnenia požiadaviek v konaní o udelení súhlasu na pokračovanie vo výkone funkcie, aké má pri členoch predstavenstva alebo dozornej rady banky.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16 (novelizačný bod 34)</w:t>
              <w:br/>
            </w:r>
            <w:r>
              <w:rPr>
                <w:b w:val="off"/>
                <w:color w:val="000000"/>
                <w:rFonts w:ascii="Times New Roman" w:hAnsi="Times New Roman" w:cs="Times New Roman" w:eastAsia="Times New Roman"/>
                <w:sz w:val="24"/>
              </w:rPr>
              <w:t>Odporúčame v novelizačnom bode 34 slová „13ne“ nahradiť slovami „13nb“.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19 ods. 2 (novelizačný bod 36)</w:t>
              <w:br/>
            </w:r>
            <w:r>
              <w:rPr>
                <w:b w:val="off"/>
                <w:color w:val="000000"/>
                <w:rFonts w:ascii="Times New Roman" w:hAnsi="Times New Roman" w:cs="Times New Roman" w:eastAsia="Times New Roman"/>
                <w:sz w:val="24"/>
              </w:rPr>
              <w:t>Odporúčame v novelizačnom bode 36 slovo „Komisii“ nahradiť slovom „Komisiu“.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20a ods. 11 (novelizačný bod 45)</w:t>
              <w:br/>
            </w:r>
            <w:r>
              <w:rPr>
                <w:b w:val="off"/>
                <w:color w:val="000000"/>
                <w:rFonts w:ascii="Times New Roman" w:hAnsi="Times New Roman" w:cs="Times New Roman" w:eastAsia="Times New Roman"/>
                <w:sz w:val="24"/>
              </w:rPr>
              <w:t>Odporúčame v § 20a ods. 11 slová „12 a 15 až 18“ nahradiť slovami „12, 15, 16 a 18“.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Nakoľko sa predmetné ustanovenie týka výlučne členov štatutárneho orgánu a členov dozornej rady, máme za to, že § 9 ods. 17 by nemal byť v odkaze zahrnutý, keďže tento sa týka konania NBS na overenie splnenia požiadaviek pri osobách zastávajúcich kľúčové funkcie.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20aa ods. 7 až 9 (novelizačný bod 47)</w:t>
              <w:br/>
            </w:r>
            <w:r>
              <w:rPr>
                <w:b w:val="off"/>
                <w:color w:val="000000"/>
                <w:rFonts w:ascii="Times New Roman" w:hAnsi="Times New Roman" w:cs="Times New Roman" w:eastAsia="Times New Roman"/>
                <w:sz w:val="24"/>
              </w:rPr>
              <w:t>Odporúčame v § 20aa ods. 7 až 9 slovo „schválenia“ nahradiť slovami „udelenia súhlasu“.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20aa obsahovo nadväzuje na § 20a. Z toho dôvodu navrhujeme, aby bol aj v § 20aa  používaný pojem "udelenie súhlasu" tak, ako je používaný v § 20a, keďže aj z pohľadu CRD6 je pojem "udelenie súhlasu" obsahovo rovnocenný pojmu "schválenie".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príslušných ustanovení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20aa ods. 8  a § 25a ods. 3 (novelizačné body 47 a 85)</w:t>
              <w:br/>
            </w:r>
            <w:r>
              <w:rPr>
                <w:b w:val="off"/>
                <w:color w:val="000000"/>
                <w:rFonts w:ascii="Times New Roman" w:hAnsi="Times New Roman" w:cs="Times New Roman" w:eastAsia="Times New Roman"/>
                <w:sz w:val="24"/>
              </w:rPr>
              <w:t>Odporúčame v § 20aa ods. 8  a § 25a ods. 3 slovo „vhodnosti“ nahradiť slovami „odbornej spôsobilosti a dôveryhodnosti“.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Vhodnosť sa v zmysle aktuálneho znenia zákona o bankách posudzuje pri správcoch programu krytých dlhopisov (§ 77) a akcionároch s kvalifikovanou účasťou (napr. § 7 ods. 2 písm. c)). Pri osobách, ktoré sú navrhované za členov štatutárneho orgánu, členov dozornej rady a za osoby zastávajúce kľúčové funkcie sa v zákone o bankách používa pojem „odborná spôsobilosť a dôveryhodnosť“.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príslušných ustanovení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20ac ods. 3 (novelizačný bod 51)</w:t>
              <w:br/>
            </w:r>
            <w:r>
              <w:rPr>
                <w:b w:val="off"/>
                <w:color w:val="000000"/>
                <w:rFonts w:ascii="Times New Roman" w:hAnsi="Times New Roman" w:cs="Times New Roman" w:eastAsia="Times New Roman"/>
                <w:sz w:val="24"/>
              </w:rPr>
              <w:t>Odporúčame v § 20ac ods. 3 slová „bolo udelené povolenie“ nahradiť slovami „bol udelený súhlas“.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20ac obsahovo nadväzuje na § 20a. Z toho dôvodu navrhujeme, aby aj v § 20ac bol používaný pojem "udelenie súhlasu" tak, ako je používaný v § 20a, keďže aj z pohľadu CRD6 je pojem "udelenie súhlasu" obsahovo rovnocenný pojmu "udelenie povolenia".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 ods. 12 (novelizačný bod 67)</w:t>
              <w:br/>
            </w:r>
            <w:r>
              <w:rPr>
                <w:b w:val="off"/>
                <w:color w:val="000000"/>
                <w:rFonts w:ascii="Times New Roman" w:hAnsi="Times New Roman" w:cs="Times New Roman" w:eastAsia="Times New Roman"/>
                <w:sz w:val="24"/>
              </w:rPr>
              <w:t xml:space="preserve">Odporúčame preformulovať § 23 ods. 12 takto:  </w:t>
              <w:br/>
            </w:r>
            <w:r>
              <w:rPr>
                <w:b w:val="off"/>
                <w:color w:val="000000"/>
                <w:rFonts w:ascii="Times New Roman" w:hAnsi="Times New Roman" w:cs="Times New Roman" w:eastAsia="Times New Roman"/>
                <w:sz w:val="24"/>
              </w:rPr>
              <w:t>„(12) Postupy, opatrenia a vnútorné predpisy prijaté na splnenie požiadaviek podľa odsekov 1 až 3 musia byť komplexné a primerané povahe, rozsahu a zložitosti rizík spojených s obchodným modelom a činnosťami banky.“.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Domnievame sa, že ide o doslovný prepis CRD, ktorý je však v navrhovanom kontexte nevhodný. CRD obsahuje požiadavku, aby aspekty vnútorného riadenia bánk boli komplexné a primerané k rizikám a obchodnému modelu banky. Navrhované znenie však hovorí, že konkrétne a existujúce požiadavky, ktoré sú už upravené zákonom, majú byť primerané. Kritérium primeranosti požiadaviek sa však nemôže vzťahovať na požiadavky, ktorú sú už ustanovené. Primeranosť sa môže viazať nanajvýš na aplikáciu, resp. dohľad nad danými požiadavkami. V opačnom prípade sa vytvára nejasný stav, kedy konkrétne dané požiadavky podľa § 23 ods. 1až 3 majú byť podľa navrhovaného znenia primerané.</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23a ods. 1 písm. d) (novelizačný bod 68)</w:t>
              <w:br/>
            </w:r>
            <w:r>
              <w:rPr>
                <w:b w:val="off"/>
                <w:color w:val="000000"/>
                <w:rFonts w:ascii="Times New Roman" w:hAnsi="Times New Roman" w:cs="Times New Roman" w:eastAsia="Times New Roman"/>
                <w:sz w:val="24"/>
              </w:rPr>
              <w:t>Dávame na zváženie nenahrádzať v § 23a ods. 1 písm. d) pojem „kontrolné funkcie“ pojmom „funkcie vnútornej kontroly“.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Upozorňujeme, že pojem „kontrolné funkcie“ je terminus technicus vyplývajúci z delegovaného nariadenia Komisie (EÚ) 2021/923 v odkaze 25aea a zahŕňa v sebe okrem iného aj funkcie vnútornej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23a ods. 1 písm. e)  a f)</w:t>
              <w:br/>
            </w:r>
            <w:r>
              <w:rPr>
                <w:b w:val="off"/>
                <w:color w:val="000000"/>
                <w:rFonts w:ascii="Times New Roman" w:hAnsi="Times New Roman" w:cs="Times New Roman" w:eastAsia="Times New Roman"/>
                <w:sz w:val="24"/>
              </w:rPr>
              <w:t xml:space="preserve">Odporúčame aj do § 23a ods. 1 písm. e) a f) doplniť odkaz na delegované nariadenie Komisie (EÚ) 2021/923.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Totožnú legislatívnu techniku ako bola použitá v § 23a ods. 1 písm. d) je potrebné použiť aj v písm. e) a f), keďže aj k týmto oblastiam je relevantné delegované nariadenie Komisie (EÚ) 2021/923 uvedené v poznámke pod čiarou k odkazu 25aea. Uvedené odporúčame doplniť aj do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23a ods. 6 (novelizačný bod 69)</w:t>
              <w:br/>
            </w:r>
            <w:r>
              <w:rPr>
                <w:b w:val="off"/>
                <w:color w:val="000000"/>
                <w:rFonts w:ascii="Times New Roman" w:hAnsi="Times New Roman" w:cs="Times New Roman" w:eastAsia="Times New Roman"/>
                <w:sz w:val="24"/>
              </w:rPr>
              <w:t>Odporúčame doplniť ďalší novelizačný bod, ktorým sa z § 23a ods. 6 vypustia slová „a vnútorného auditu“.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23a ods. 6 by sa mal vzťahovať na všetky funkcie vnútornej kontroly, t. j. všetci zamestnanci vnútornej kontroly (nie len audit) sú odmeňovaní podľa cieľov a nezávisle od kontrolovaných útvarov, čo vyplýva z čl. 92 ods. 2 písm. e) CRD6. V prípade akceptovania tejto pripomienky upozorňujeme, že bude potrebné z novelizačného bodu 69 vypustiť slová „a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príslušných ustanovení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25a ods. 2 (novelizačný bod 85)</w:t>
              <w:br/>
            </w:r>
            <w:r>
              <w:rPr>
                <w:b w:val="off"/>
                <w:color w:val="000000"/>
                <w:rFonts w:ascii="Times New Roman" w:hAnsi="Times New Roman" w:cs="Times New Roman" w:eastAsia="Times New Roman"/>
                <w:sz w:val="24"/>
              </w:rPr>
              <w:t xml:space="preserve">Odporúčame v § 25a ods. 2 slová „podľa § 23 ods. 4“ nahradiť slovami „podľa § 23 ods. 3“ alebo alternatívne slová „pri vykonávaní činnosti podľa § 23 ods. 4“ nahradiť slovami „pri vykonávaní svojej činnosti“.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Toto ustanovenie pojednáva len o činnosti vnútorného auditu. V tomto prípade je vhodnejšie referovať buď na § 23 ods. 3 zákona, ktorý upravuje činnosť systému vnútornej kontroly alebo na vlastnú činnosť daných funkcií.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25a ods. 4 (novelizačný bod 85)</w:t>
              <w:br/>
            </w:r>
            <w:r>
              <w:rPr>
                <w:b w:val="off"/>
                <w:color w:val="000000"/>
                <w:rFonts w:ascii="Times New Roman" w:hAnsi="Times New Roman" w:cs="Times New Roman" w:eastAsia="Times New Roman"/>
                <w:sz w:val="24"/>
              </w:rPr>
              <w:t>Odporúčame v § 25a ods. 4 slová „vedúci zamestnanci“ nahradiť slovami „vedúci útvarov vnútornej kontroly“ a za slová „komplexný pohľad na“ vložiť slová „systém riadenia rizík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zmyslom čl. 76 ods. 5 CRD6 je podchytiť riadenie rizík ako celok. Preto sa javí vhodnejšie zapracovať do úvodnej vety spojenie „systém riadenia rizík“. Je potrebné, aby funkcie vnútornej kontroly zabezpečili holistický prístup k celému riadeniu rizík v banke, ktorý je reprezentovaný systémom riadenia rizík. Uvedené vyplýva aj z Usmernení EBA o vnútornom riadení (EBA/GL/2021/05). Zároveň odporúčame pojem „vedúci zamestnanci“ nahradiť pojmom „vedúci útvarov vnútornej kontroly“ v kontexte úpravy celého § 25a.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25a ods. 4 (novelizačný bod 85)</w:t>
              <w:br/>
            </w:r>
            <w:r>
              <w:rPr>
                <w:b w:val="off"/>
                <w:color w:val="000000"/>
                <w:rFonts w:ascii="Times New Roman" w:hAnsi="Times New Roman" w:cs="Times New Roman" w:eastAsia="Times New Roman"/>
                <w:sz w:val="24"/>
              </w:rPr>
              <w:t>Odporúčame v § 25a ods. 4 písm. a) až c) slová „stratégia banky v oblasti rizík“ vo všetkých tvaroch nahradiť slovami „stratégia riadenia rizík“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Spojenie „stratégia banky v oblasti rizík“ sa doposiaľ v zákone o bankách nevyskytovalo. Aby bolo zabezpečené prepojenie na ostatné ustanovenia zákona o bankách a na opatrenie NBS č. 4/2015, navrhujeme použiť pojem „stratégia riadenia rizík“ v celom odseku. Spojenie „stratégia riadenia rizík“ je terminus technicus na účely opatrenia NBS č. 4/2015 a zároveň sa vyskytuje v zákone na viacerých miestach (napr. § 23ods. 6 písm. c), § 27ods.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príslušných ustanovení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25a ods. 6 (novelizačný bod 85)</w:t>
              <w:br/>
            </w:r>
            <w:r>
              <w:rPr>
                <w:b w:val="off"/>
                <w:color w:val="000000"/>
                <w:rFonts w:ascii="Times New Roman" w:hAnsi="Times New Roman" w:cs="Times New Roman" w:eastAsia="Times New Roman"/>
                <w:sz w:val="24"/>
              </w:rPr>
              <w:t>Odporúčame z § 25a vypustiť odsek 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Odsek 6 predstavuje duplicitnú úpravu s odsekom 1. Naviac, pojem „vedúci zamestnanec“ je definovaný v § 7 ods. 21 ako osoba priamo podriadená štatutárnemu orgánu. Vedúci útvaru vnútornej kontroly však môžu mať aj iné hierarchické postavenie, preto by mohlo toto ustanovenie spôsobiť nekonzistentnosť.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vypustením § 25a ods. 6 z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 ods. 2</w:t>
              <w:br/>
            </w:r>
            <w:r>
              <w:rPr>
                <w:b w:val="off"/>
                <w:color w:val="000000"/>
                <w:rFonts w:ascii="Times New Roman" w:hAnsi="Times New Roman" w:cs="Times New Roman" w:eastAsia="Times New Roman"/>
                <w:sz w:val="24"/>
              </w:rPr>
              <w:t>Odporúčame do § 28 ods. 2 za druhú vetu vložiť novú tretiu a štvrtú vetu, ktoré znejú:</w:t>
              <w:br/>
            </w:r>
            <w:r>
              <w:rPr>
                <w:b w:val="off"/>
                <w:color w:val="000000"/>
                <w:rFonts w:ascii="Times New Roman" w:hAnsi="Times New Roman" w:cs="Times New Roman" w:eastAsia="Times New Roman"/>
                <w:sz w:val="24"/>
              </w:rPr>
              <w:t>„Predchádzajúci súhlas podľa odseku 1 písm. a) sa udeľuje každému nadobúdateľovi samostatne. V rámci konania na udelenie predchádzajúceho súhlasu podľa odseku 1 písm. a) sa posudzuje splnenie požiadaviek podľa § 7 ods. 14 a 15, § 24, § 25 ods. 1 až 3, 5 až 8 a 11 až 13 pri osobách, ktoré sú navrhované za členov predstavenstva a dozornej rady banky, na ktorej sa nadobúda alebo zvyšuje kvalifikovaná účasť; na žiadosť nadobúdateľa možno v konaní o udelenie predchádzajúceho súhlasu  podľa odseku 1 písm. a) posúdiť aj splnenie požiadaviek podľa § 7 ods. 2 písm. e) pri osobách navrhovaných za osoby zastávajúce kľúčovú funkciu v banke, na ktorej sa nadobúda alebo zvyšuje kvalifikovaná účasť.“.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Účelom druhej vety je odstránenie akýchkoľvek pochybností pri výklade tohto ustanovenia tak, aby bolo zrejmé, že rozhodnutie o udelenie predchádzajúceho súhlasu na nadobudnutie kvalifikovanej účasti, sa vydáva vo vzťahu ku každému nadobúdateľovi samostatne, a to aj v prípadoch, ak:</w:t>
              <w:br/>
            </w:r>
            <w:r>
              <w:rPr>
                <w:b w:val="off"/>
                <w:color w:val="000000"/>
                <w:rFonts w:ascii="Times New Roman" w:hAnsi="Times New Roman" w:cs="Times New Roman" w:eastAsia="Times New Roman"/>
                <w:sz w:val="24"/>
              </w:rPr>
              <w:t>- účastníkom transakcie, ktorou sa nadobúda alebo zvyšuje kvalifikovaná účasť na banke je len priamy akcionár a v dôsledku tejto skutočnosti sa menia aj nepriami akcionári banky,</w:t>
              <w:br/>
            </w:r>
            <w:r>
              <w:rPr>
                <w:b w:val="off"/>
                <w:color w:val="000000"/>
                <w:rFonts w:ascii="Times New Roman" w:hAnsi="Times New Roman" w:cs="Times New Roman" w:eastAsia="Times New Roman"/>
                <w:sz w:val="24"/>
              </w:rPr>
              <w:t xml:space="preserve">- k nadobudnutiam alebo zvýšeniam kvalifikovaných účastí dôjde v rámci jednej obchodnej transakcie. </w:t>
              <w:br/>
            </w:r>
            <w:r>
              <w:rPr>
                <w:b w:val="off"/>
                <w:color w:val="000000"/>
                <w:rFonts w:ascii="Times New Roman" w:hAnsi="Times New Roman" w:cs="Times New Roman" w:eastAsia="Times New Roman"/>
                <w:sz w:val="24"/>
              </w:rPr>
              <w:t>Jedno formálne rozhodnutie môže obsahovať aj viac predchádzajúcich súhlasov vo vzťahu ku viacerým nadobúdateľom.</w:t>
              <w:br/>
            </w:r>
            <w:r>
              <w:rPr>
                <w:b w:val="off"/>
                <w:color w:val="000000"/>
                <w:rFonts w:ascii="Times New Roman" w:hAnsi="Times New Roman" w:cs="Times New Roman" w:eastAsia="Times New Roman"/>
                <w:sz w:val="24"/>
              </w:rPr>
              <w:t>Z aplikačnej praxe vyplynula požiadavka na precizovanie tohto ustanovenia, a to  explicitne stanoviť, že v rámci konania o udelenie predchádzajúceho súhlasu na nadobudnutie alebo zvýšenie kvalifikovanej účasti v banke sa posudzuje aj splnenie zákonných požiadaviek u osôb, ktoré nadobúdateľ plánuje v rámci transakcie ustanoviť za členov štatutárneho orgánu a dozornej rady banky, na ktorej sa nadobúda alebo zvyšuje kvalifikovaná účasť. V tomto prípade by malo byť zrejmé, že v prípade ak navrhovaný nadobúdateľ kvalifikovanej účasti s jej nadobudnutím plánuje aj vymeniť niektoré osoby v štatutárnom orgáne alebo dozornej rade, konanie o udelenie predchádzajúceho súhlasu na nadobudnutie kvalifikovanej účasti v banke skonzumuje konania o udelení predchádzajúceho súhlasu na ustanovenie týchto osôb do ich funkcií. Takisto sa navrhuje fakultatívna možnosť posúdiť odbornú spôsobilosť a dôveryhodnosť osôb, ktoré sa navrhujú za osoby zastávajúcej kľúčové funkcie, a to v rovnakom režime ako pri osobách navrhovaných za členov predstavenstva a dozornej rady. Uvedené odporúčame doplniť aj do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príslušných ustanovení návrhu zákona a osobitnej časti dôvodovej správy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28e (novelizačný bod 102)</w:t>
              <w:br/>
            </w:r>
            <w:r>
              <w:rPr>
                <w:b w:val="off"/>
                <w:color w:val="000000"/>
                <w:rFonts w:ascii="Times New Roman" w:hAnsi="Times New Roman" w:cs="Times New Roman" w:eastAsia="Times New Roman"/>
                <w:sz w:val="24"/>
              </w:rPr>
              <w:t>Odporúčame v § 28e slovo „spoločnosťou“ nahradiť slovom „spoločnosť“.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28f ods. 4 a 5 (novelizačný bod 102)</w:t>
              <w:br/>
            </w:r>
            <w:r>
              <w:rPr>
                <w:b w:val="off"/>
                <w:color w:val="000000"/>
                <w:rFonts w:ascii="Times New Roman" w:hAnsi="Times New Roman" w:cs="Times New Roman" w:eastAsia="Times New Roman"/>
                <w:sz w:val="24"/>
              </w:rPr>
              <w:t>Odporúčame v § 28f  ods. 4 a 5 slovo „pasív“ nahradiť slovom „záväzkov“.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zosúladiť pojmy používané v § 28f.</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príslušných ustanovení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28h ods. 5 (novelizačný bod 102)</w:t>
              <w:br/>
            </w:r>
            <w:r>
              <w:rPr>
                <w:b w:val="off"/>
                <w:color w:val="000000"/>
                <w:rFonts w:ascii="Times New Roman" w:hAnsi="Times New Roman" w:cs="Times New Roman" w:eastAsia="Times New Roman"/>
                <w:sz w:val="24"/>
              </w:rPr>
              <w:t>Odporúčame v § 28h  ods. 5 za slová „pričom takéto negatívne“ vložiť slovo „stanovisko“.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Gramatická úprava.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29a ods. 7 (novelizačný bod 104)</w:t>
              <w:br/>
            </w:r>
            <w:r>
              <w:rPr>
                <w:b w:val="off"/>
                <w:color w:val="000000"/>
                <w:rFonts w:ascii="Times New Roman" w:hAnsi="Times New Roman" w:cs="Times New Roman" w:eastAsia="Times New Roman"/>
                <w:sz w:val="24"/>
              </w:rPr>
              <w:t>Odporúčame v § 29a ods. 7 vypustiť slová „podľa § 29b“.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Odporúčanie týkajúce sa vlastných zdrojov (tzv. P2G) a jeho oznamovanie je uvedené v § 29a, preto by sa nemalo referovať na § 29b, ktorý upravuje osobitnú požiadavku na vlastné zdroje (tzv. P2R), čo je odlišná kategória. Ak sa odsek 7 systematicky (a správne) zaraďuje práve do § 29a, tak nie je potrebné referovať na iné ustanovenie zákona o bankách. Uvedené odporúčame upraviť aj v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29b ods. 14 písm. b) (novelizačný bod 107)</w:t>
              <w:br/>
            </w:r>
            <w:r>
              <w:rPr>
                <w:b w:val="off"/>
                <w:color w:val="000000"/>
                <w:rFonts w:ascii="Times New Roman" w:hAnsi="Times New Roman" w:cs="Times New Roman" w:eastAsia="Times New Roman"/>
                <w:sz w:val="24"/>
              </w:rPr>
              <w:t>Odporúčame v § 29b ods. 14 písm. b) slová „sa pre banku stane záväznou“ nahradiť slovami „je pre banku záväzná“.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kontexte uvádzacej vety, ktorá indikuje, že banka už je viazaná tzv. spodnou hranicou (output floor), navrhujeme použiť v danej vete prítomný čas. Uvedené je aj v súlade so zámerom čl. 104a ods. 6 CRD6, t. j. upraviť aspekty dodatočnej požiadavky na vlastné zdroje, ak sa banka stala viazanou tzv. spodnou hranicou. Súčasné znenie navodzuje dojem, že pre banku bude záväzná tzv. spodná hranica až v budúcnosti, čo je v rozpore s uvádzacou vetou a zmyslom čl. 104a ods. 6 CRD6.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45 ods. 1 a 2</w:t>
              <w:br/>
            </w:r>
            <w:r>
              <w:rPr>
                <w:b w:val="off"/>
                <w:color w:val="000000"/>
                <w:rFonts w:ascii="Times New Roman" w:hAnsi="Times New Roman" w:cs="Times New Roman" w:eastAsia="Times New Roman"/>
                <w:sz w:val="24"/>
              </w:rPr>
              <w:t xml:space="preserve">Odporúčame doplniť ďalší novelizačný bod, ktorým sa v § 45 ods. 1 a 2 slová „§ 23, 27“ nahradia slovami „§ 23 až 27“.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sa obdobná úprava ako v novelizačnom bode 128 v § 46 uplatnila aj v prípade § 45, ktorý obsahuje povinnosti konečnej entity (hlavy konsolidovaného celku) a ostatných entít zabezpečiť dodržiavanie povinností v oblasti vnútorného riadenia celým konsolidovaným celkom, t. j. odporúčame aj do § 45 doplniť odkaz na § 23 až 27. Rovnako sa tým ustanoví povinnosť osôb v konsolidovanom celku, aby dodržiavali predmetné povinnosti.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doplnením nového novelizačného bodu do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 ods. 1 písm. ab) (novelizačný bod 140)</w:t>
              <w:br/>
            </w:r>
            <w:r>
              <w:rPr>
                <w:b w:val="off"/>
                <w:color w:val="000000"/>
                <w:rFonts w:ascii="Times New Roman" w:hAnsi="Times New Roman" w:cs="Times New Roman" w:eastAsia="Times New Roman"/>
                <w:sz w:val="24"/>
              </w:rPr>
              <w:t>Odporúčame v § 50 ods. 1 písm. ab) za slová „obmedzila rozdelenie zisku“ vložiť čiarku a slová „rozdelenie kapitálu alebo vyplatenie úrokových platieb“.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explicitne nepredpokladá možnosť „obmedzenia“ rozdelenia kapitálu a vyplatenia úrokových platieb, preto uvedené navrhujeme zapracovať. Zákazy a obmedzenia v § 50 ods. 1 písm. ab) by sa podľa čl. 104 ods. 1 písm. i) CRD, ktorým sa uvedené ustanovenie transponuje, mali vzťahovať na všetky situácie, a to rozdelenie zisku, rozdelenie kapitálu, vyplácanie úrokových platieb.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 ods. 7 (novelizačný bod 142)</w:t>
              <w:br/>
            </w:r>
            <w:r>
              <w:rPr>
                <w:b w:val="off"/>
                <w:color w:val="000000"/>
                <w:rFonts w:ascii="Times New Roman" w:hAnsi="Times New Roman" w:cs="Times New Roman" w:eastAsia="Times New Roman"/>
                <w:sz w:val="24"/>
              </w:rPr>
              <w:t>V § 50 ods. 7 odporúčame slová „ods. 17“ nahradiť slovami „ods. 16“.</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ponechať odkaz na „§ 2 ods. 16 druhej vety“, namiesto navrhovaného „§ 2 ods. 17 druhej vety“.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 ods. 33 (novelizačný bod 150)</w:t>
              <w:br/>
            </w:r>
            <w:r>
              <w:rPr>
                <w:b w:val="off"/>
                <w:color w:val="000000"/>
                <w:rFonts w:ascii="Times New Roman" w:hAnsi="Times New Roman" w:cs="Times New Roman" w:eastAsia="Times New Roman"/>
                <w:sz w:val="24"/>
              </w:rPr>
              <w:t>V § 50 ods. 33 odporúčame za slová „Národnej banky Slovenska“ vložiť čiarku a slová „správne orgány“.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Do výpočtu orgánov, ktoré majú informačnú povinnosť na základe uvedeného ustanovenia § 50 ods. 33, je potrebné doplniť správne orgány, ktoré sú oprávnené začať správne konanie. Nepostačuje uvedenie orgánov činných v trestnom konaní, ktoré začínajú trestné konanie. Uvedené odporúčame upraviť aj v dôvodovej správe.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50b ods. 7 (novelizačný bod 151)</w:t>
              <w:br/>
            </w:r>
            <w:r>
              <w:rPr>
                <w:b w:val="off"/>
                <w:color w:val="000000"/>
                <w:rFonts w:ascii="Times New Roman" w:hAnsi="Times New Roman" w:cs="Times New Roman" w:eastAsia="Times New Roman"/>
                <w:sz w:val="24"/>
              </w:rPr>
              <w:t>V § 50b ods. 7 odporúčame za slová „určí výšku“ vložiť slovo „sadzby“.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 50b ods. 7 sa jedná o štádium vydania rozhodnutia zo strany NBS, kde sa subjektu v porušení určuje „sadzba“ penále, t. j. vyčísli sa penále za deň porušenia povinností. Nejedná sa o výšku celkového penále, preto sa nám zdá vhodné upresniť uvedené, aby nedošlo k interpretačným rozdielom. Navyše, v odseku 8, ktorý nadväzuje na toto ustanovenie, sa takisto uvádza „výška sadzby penále“.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50b ods. 8 (novelizačný bod 151)</w:t>
              <w:br/>
            </w:r>
            <w:r>
              <w:rPr>
                <w:b w:val="off"/>
                <w:color w:val="000000"/>
                <w:rFonts w:ascii="Times New Roman" w:hAnsi="Times New Roman" w:cs="Times New Roman" w:eastAsia="Times New Roman"/>
                <w:sz w:val="24"/>
              </w:rPr>
              <w:t>§ 50b ods. 8 (novelizačný bod 151)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do § 50b ods. 8 za tretiu vetu vložiť novú štvrtú vetu, ktorá znie:</w:t>
              <w:br/>
            </w:r>
            <w:r>
              <w:rPr>
                <w:b w:val="off"/>
                <w:color w:val="000000"/>
                <w:rFonts w:ascii="Times New Roman" w:hAnsi="Times New Roman" w:cs="Times New Roman" w:eastAsia="Times New Roman"/>
                <w:sz w:val="24"/>
              </w:rPr>
              <w:t>„Na tento účel Národná banka Slovenska zašle ministerstvu právoplatné rozhodnutie o uložení penále spolu s oznámením o vyčíslení celkovej sumy penále.“.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doplniť obdobnú úpravu ako v § 50 ods. 9 pri pokutách.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65a ods. 1 písm. d) (novelizačný bod 168)</w:t>
              <w:br/>
            </w:r>
            <w:r>
              <w:rPr>
                <w:b w:val="off"/>
                <w:color w:val="000000"/>
                <w:rFonts w:ascii="Times New Roman" w:hAnsi="Times New Roman" w:cs="Times New Roman" w:eastAsia="Times New Roman"/>
                <w:sz w:val="24"/>
              </w:rPr>
              <w:t xml:space="preserve">Odporúčame doplniť novelizačný bod 168 tak, aby sa v § 65a ods. 1 písm. d) slová „prokuristu alebo vedúceho zamestnanca“ nahradili slovami „alebo osobu zastávajúcu kľúčovú funkciu“.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upraviť novelizačný bod tak, aby sa zabezpečilo, že opatrenia včasnej intervencie sa vzťahujú aj na osoby zastávajúce kľúčovú funkciu. Uvedené osoby nemusia vždy spadať pod pojem vedúci zamestnanec (resp. inú z uvedených funkcií), nakoľko majú však tieto osoby významné postavenie v rámci banky a vzťahujú sa na nich ustanovenia § 7 ods. 14 a 15 a § 25, mali by sa na ne vzťahovať aj opatrenia včasnej intervencie.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2 ods. 7 a 8 (novelizačný bod 1)</w:t>
              <w:br/>
            </w:r>
            <w:r>
              <w:rPr>
                <w:b w:val="off"/>
                <w:color w:val="000000"/>
                <w:rFonts w:ascii="Times New Roman" w:hAnsi="Times New Roman" w:cs="Times New Roman" w:eastAsia="Times New Roman"/>
                <w:sz w:val="24"/>
              </w:rPr>
              <w:t>Odporúčame v druhom odseku slová „poskytovať bankové činnosti podľa § 2 ods. 2“ nahradiť slovami „vykonávať bankové činnosti“.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tento odsek preformulovať najmä  dôvodu presnosti, konzistentnosti, právnej istoty a lepšej zrozumiteľnosti. Najmä, keďže nie všetky činnosti podľa § 2 ods. 2 sú povolené (hoci je to spomenuté neskôr v texte), pre vylúčenie pochybností sme navrhli preformulovať (namiesto "poskytovať bankové činnosti podľa § 2 ods. 2" uviesť "vykonávať činnosť").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dôvodovej správy k príslušnému ustanoveniu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5 (novelizačný bod 2)</w:t>
              <w:br/>
            </w:r>
            <w:r>
              <w:rPr>
                <w:b w:val="off"/>
                <w:color w:val="000000"/>
                <w:rFonts w:ascii="Times New Roman" w:hAnsi="Times New Roman" w:cs="Times New Roman" w:eastAsia="Times New Roman"/>
                <w:sz w:val="24"/>
              </w:rPr>
              <w:t>Odporúčame predposlednú vetu preformulovať takto:</w:t>
              <w:br/>
            </w:r>
            <w:r>
              <w:rPr>
                <w:b w:val="off"/>
                <w:color w:val="000000"/>
                <w:rFonts w:ascii="Times New Roman" w:hAnsi="Times New Roman" w:cs="Times New Roman" w:eastAsia="Times New Roman"/>
                <w:sz w:val="24"/>
              </w:rPr>
              <w:t>„Nadväzuje sa tým na súčasnú úpravu obsiahnutú v Usmerneniach Európskeho orgánu dohľadu (Európskeho orgánu pre bankovníctvo (ďalej len „EBA“)) o vnútornom riadení(EBA/GL/2021/05).“</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dôvodovej správy k príslušnému ustanoveniu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6b ods. 11 písm. b) (novelizačný bod 16)</w:t>
              <w:br/>
            </w:r>
            <w:r>
              <w:rPr>
                <w:b w:val="off"/>
                <w:color w:val="000000"/>
                <w:rFonts w:ascii="Times New Roman" w:hAnsi="Times New Roman" w:cs="Times New Roman" w:eastAsia="Times New Roman"/>
                <w:sz w:val="24"/>
              </w:rPr>
              <w:t>Odporúčame doplniť do dôvodovej správy k odôvodneniu § 6b ods. 11 písm. b) konkrétne príklady osôb, ktoré poskytujú služby,  špecifikovať oblasti, uviesť o aký druh služieb ide alebo akých zmlúv sa týka poskytovanie služieb týchto osôb.</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Z pohľadu aplikačnej praxe je toto ustanovenie veľmi všeobecné a výkladom je možné dospieť k širokej interpretácii vo vzťahu k okruhu subjektov alebo oblastí, v ktorých poskytujú služby bankám podľa § 6b ods. 11 písm. 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Smernica CRD VI v texte, ani v úvodných ustanoveniach bližšie nešpecifikuje „subjekty poskytujúce služby ktorémukoľvek zo subjektov uvedených v bode i“. Smernica CRD VI takisto nedáva členským štátom kompetenciu si uvedené subjekty špecifikovať. Z tohto dôvodu MF SR nemá ambíciu špecifikovať tento pojem z dôvodu, že podľa čl. 1 bod 4 smernice CRD VI (čl. 4a ods. 9 smernice CRD) má EBA do 10. júla 2026 vydať usmernenia určené príslušným orgánom o predchádzaní konfliktom záujmov v príslušných orgánoch a o ich nezávislosti, pričom zohľadní najlepšie medzinárodné postupy. Zadefinovanie pojmu v tejto chvíli by mohlo spôsobiť v budúcnosti problémy, ak by EBA vo svojich usmerneniach definovala tento pojem.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6b ods. 15 (novelizačný bod 16)</w:t>
              <w:br/>
            </w:r>
            <w:r>
              <w:rPr>
                <w:b w:val="off"/>
                <w:color w:val="000000"/>
                <w:rFonts w:ascii="Times New Roman" w:hAnsi="Times New Roman" w:cs="Times New Roman" w:eastAsia="Times New Roman"/>
                <w:sz w:val="24"/>
              </w:rPr>
              <w:t xml:space="preserve">Odporúčame doplniť do dôvodovej správy k odôvodneniu § 6b ods.15, kto sú „priami konkurenti osoby podľa odseku 11 písm.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Pojem „priamy konkurent“ nemá v našej zákonnej úprave legálnu definíciu, preto použitie tohto pojmu môže spôsobovať problémy v aplikačnej praxi.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MF SR nemá ambíciu zadefinovať tento pojem z dôvodu, že podľa čl. 1 bod 4 smernice CRD VI (čl. 4a ods. 9 smernice CRD) má EBA do 10. júla 2026 vydať usmernenia určené príslušným orgánom o predchádzaní konfliktom záujmov v príslušných orgánoch a o ich nezávislosti, pričom zohľadní najlepšie medzinárodné postupy. Zadefinovanie pojmu v tejto chvíli by mohlo spôsobiť v budúcnosti problémy, ak by EBA vo svojich usmerneniach definovala pojem priamy konkurent.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9 ods. 4 a 5 (novelizačný bod 31 a 32)</w:t>
              <w:br/>
            </w:r>
            <w:r>
              <w:rPr>
                <w:b w:val="off"/>
                <w:color w:val="000000"/>
                <w:rFonts w:ascii="Times New Roman" w:hAnsi="Times New Roman" w:cs="Times New Roman" w:eastAsia="Times New Roman"/>
                <w:sz w:val="24"/>
              </w:rPr>
              <w:t xml:space="preserve">Odporúčame poslednú vetu preformulovať takto: </w:t>
              <w:br/>
            </w:r>
            <w:r>
              <w:rPr>
                <w:b w:val="off"/>
                <w:color w:val="000000"/>
                <w:rFonts w:ascii="Times New Roman" w:hAnsi="Times New Roman" w:cs="Times New Roman" w:eastAsia="Times New Roman"/>
                <w:sz w:val="24"/>
              </w:rPr>
              <w:t>„V kontexte požiadaviek na pobočky zahraničnej banky so sídlom mimo územia členského štátu podľa čl. 1 body 13 smernice CRD VI (čl. 48g CRD) sa ustanovuje podmienka udelenia predchádzajúceho súhlasu aj pre osobu podľa § 8e ods. 1, člena riadiaceho výboru podľa § 8e ods. 3 a osobu zastávajúcu kľúčovú funkciu v takej pobočke.“.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dôvodovej správy k príslušnému ustanoveniu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9 ods. 7 až 20 (novelizačný bod 33)</w:t>
              <w:br/>
            </w:r>
            <w:r>
              <w:rPr>
                <w:b w:val="off"/>
                <w:color w:val="000000"/>
                <w:rFonts w:ascii="Times New Roman" w:hAnsi="Times New Roman" w:cs="Times New Roman" w:eastAsia="Times New Roman"/>
                <w:sz w:val="24"/>
              </w:rPr>
              <w:t>Odporúčame poslednú vetu druhého odseku preformulovať takto:</w:t>
              <w:br/>
            </w:r>
            <w:r>
              <w:rPr>
                <w:b w:val="off"/>
                <w:color w:val="000000"/>
                <w:rFonts w:ascii="Times New Roman" w:hAnsi="Times New Roman" w:cs="Times New Roman" w:eastAsia="Times New Roman"/>
                <w:sz w:val="24"/>
              </w:rPr>
              <w:t>„Preto v prípade, ak  sa má táto oblasť zmeniť, napr. z dôvodu organizačných alebo iných zmien, banka alebo pobočka zahraničnej banky musí požiadať o udelenie predchádzajúceho súhlasu na novú oblasť, v ktorej má daná osoba funkciu vykonávať.“.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dôvodovej správy k príslušnému ustanoveniu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23 ods. 11 a 12 (novelizačný bod 67)</w:t>
              <w:br/>
            </w:r>
            <w:r>
              <w:rPr>
                <w:b w:val="off"/>
                <w:color w:val="000000"/>
                <w:rFonts w:ascii="Times New Roman" w:hAnsi="Times New Roman" w:cs="Times New Roman" w:eastAsia="Times New Roman"/>
                <w:sz w:val="24"/>
              </w:rPr>
              <w:t xml:space="preserve">Odporúčame poslednú vetu preformulovať takto: </w:t>
              <w:br/>
            </w:r>
            <w:r>
              <w:rPr>
                <w:b w:val="off"/>
                <w:color w:val="000000"/>
                <w:rFonts w:ascii="Times New Roman" w:hAnsi="Times New Roman" w:cs="Times New Roman" w:eastAsia="Times New Roman"/>
                <w:sz w:val="24"/>
              </w:rPr>
              <w:t>„Vyžaduje sa, aby postupy, opatrenia  a vnútorné predpisy prijaté na splnenia požiadaviek podľa § 23 ods. 1 až 3 boli komplexné a primerané povahe, rozsahu a zložitosti rizík banky spojených s obchodným modelom a činnosťami príslušnej banky.“.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dôvodovej správy k príslušnému ustanoveniu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25a, § 26 ods. 1, § 27 ods. 3, 4 až 6 a 11 a 14 (novelizačný bod 85, 86, 89, 90, 92</w:t>
              <w:br/>
            </w:r>
            <w:r>
              <w:rPr>
                <w:b w:val="off"/>
                <w:color w:val="000000"/>
                <w:rFonts w:ascii="Times New Roman" w:hAnsi="Times New Roman" w:cs="Times New Roman" w:eastAsia="Times New Roman"/>
                <w:sz w:val="24"/>
              </w:rPr>
              <w:t>Odporúčame vypustiť odkaz na čl. 76 ods. 2 CRD a na čl. 1 bod 21 písm. b) smernice CRD6, keďže sa domnievame, že tieto sa týkajú povinností riadiacich orgánov, nie vnútornej kontroly.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dôvodovej správy k príslušným ustanoveniam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25a, § 26 ods. 1, § 27 ods. 3, 4 až 6 a 11 a 14 (novelizačný bod 85, 86, 89, 90, 92</w:t>
              <w:br/>
            </w:r>
            <w:r>
              <w:rPr>
                <w:b w:val="off"/>
                <w:color w:val="000000"/>
                <w:rFonts w:ascii="Times New Roman" w:hAnsi="Times New Roman" w:cs="Times New Roman" w:eastAsia="Times New Roman"/>
                <w:sz w:val="24"/>
              </w:rPr>
              <w:t xml:space="preserve">Odporúčame preformulovať tretiu a druhú vetu od konca takto: </w:t>
              <w:br/>
            </w:r>
            <w:r>
              <w:rPr>
                <w:b w:val="off"/>
                <w:color w:val="000000"/>
                <w:rFonts w:ascii="Times New Roman" w:hAnsi="Times New Roman" w:cs="Times New Roman" w:eastAsia="Times New Roman"/>
                <w:sz w:val="24"/>
              </w:rPr>
              <w:t>„Funkcie vnútornej kontroly poskytujú komplexný pohľad na celý systém riadenia rizík v banke s cieľom holistického náhľadu na riziká a ich riadenie. Funkcie vnútornej kontroly ďalej úzko spolupracujú s dozornou radou a majú k nej priamy prístup s cieľom upozorniť na nedostatky zistené pri výkone ich pôsobnosti.“.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dôvodovej správy k príslušným ustanoveniam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29a ods. 7, § 29b ods. 6 a 13 až 15 (novelizačný bod 104, 106 a 107)</w:t>
              <w:br/>
            </w:r>
            <w:r>
              <w:rPr>
                <w:b w:val="off"/>
                <w:color w:val="000000"/>
                <w:rFonts w:ascii="Times New Roman" w:hAnsi="Times New Roman" w:cs="Times New Roman" w:eastAsia="Times New Roman"/>
                <w:sz w:val="24"/>
              </w:rPr>
              <w:t xml:space="preserve">Odporúčame šiesty odsek nahradiť takto: </w:t>
              <w:br/>
            </w:r>
            <w:r>
              <w:rPr>
                <w:b w:val="off"/>
                <w:color w:val="000000"/>
                <w:rFonts w:ascii="Times New Roman" w:hAnsi="Times New Roman" w:cs="Times New Roman" w:eastAsia="Times New Roman"/>
                <w:sz w:val="24"/>
              </w:rPr>
              <w:t>„V odseku 14 písm. a) sa ustanovujú pravidlá, podľa ktorých, ak sa pre banku stane záväznou spodná hranica pre výstupné hodnoty, osobitná požiadavka na vlastné zdroje podľa § 29b, ktorá slúži na krytie rizík, iných ako riziko nadmerného využívania finančnej páky, sa nezvýši len v dôsledku toho, že sa pre banku stala záväznou spodná hranica pre výstupné hodnoty.“.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dôvodovej správy k príslušným ustanoveniam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29a ods. 7, § 29b ods. 6 a 13 až 15 (novelizačný bod 104, 106 a 107)</w:t>
              <w:br/>
            </w:r>
            <w:r>
              <w:rPr>
                <w:b w:val="off"/>
                <w:color w:val="000000"/>
                <w:rFonts w:ascii="Times New Roman" w:hAnsi="Times New Roman" w:cs="Times New Roman" w:eastAsia="Times New Roman"/>
                <w:sz w:val="24"/>
              </w:rPr>
              <w:t xml:space="preserve">Odporúčame poslednú vetu preformulovať takto: </w:t>
              <w:br/>
            </w:r>
            <w:r>
              <w:rPr>
                <w:b w:val="off"/>
                <w:color w:val="000000"/>
                <w:rFonts w:ascii="Times New Roman" w:hAnsi="Times New Roman" w:cs="Times New Roman" w:eastAsia="Times New Roman"/>
                <w:sz w:val="24"/>
              </w:rPr>
              <w:t>„Tieto usmernenia tak budú dôležitým nástrojom pri uplatňovaní ustanovení § 29b ods. 13 a 14.“.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dôvodovej správy k príslušným ustanoveniam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osobitnej časti dôvodovej správy k § 46 ods. 1 (novelizačný bod 128)</w:t>
              <w:br/>
            </w:r>
            <w:r>
              <w:rPr>
                <w:b w:val="off"/>
                <w:color w:val="000000"/>
                <w:rFonts w:ascii="Times New Roman" w:hAnsi="Times New Roman" w:cs="Times New Roman" w:eastAsia="Times New Roman"/>
                <w:sz w:val="24"/>
              </w:rPr>
              <w:t xml:space="preserve">Odporúčame odôvodnenie preformulovať takto: </w:t>
              <w:br/>
            </w:r>
            <w:r>
              <w:rPr>
                <w:b w:val="off"/>
                <w:color w:val="000000"/>
                <w:rFonts w:ascii="Times New Roman" w:hAnsi="Times New Roman" w:cs="Times New Roman" w:eastAsia="Times New Roman"/>
                <w:sz w:val="24"/>
              </w:rPr>
              <w:t>„Ide o spresnenie transpozície čl. 1 bod 36 smernice CRD V (čl. 109 ods. 2 smernice CRD), ktorého cieľom je zabezpečiť jednotné a účinné uplatňovanie požiadaviek v oblasti vnútorného riadenia a odmeňovania v celej skupine vrátane dcérskych spoločností mimo územia členského štátu a aby príslušné orgány dohľadu mali úplný prístup k relevantným informáciám.“.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dôvodovej správy k príslušnému ustanoveniu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všeobecnej časti dôvodovej správy</w:t>
              <w:br/>
            </w:r>
            <w:r>
              <w:rPr>
                <w:b w:val="off"/>
                <w:color w:val="000000"/>
                <w:rFonts w:ascii="Times New Roman" w:hAnsi="Times New Roman" w:cs="Times New Roman" w:eastAsia="Times New Roman"/>
                <w:sz w:val="24"/>
              </w:rPr>
              <w:t>Odporúčame slovo „spolupredkladateľom“ nahradiť slovom „spolugestorom“.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dôvodovej správy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V súvislosti s vykonanou transpozíciou smernice EP a Rady č. 2024/1174, ktorou sa mení smernica 2014/59/EÚ a nariadenie (EÚ) č. 806/2014, pokiaľ ide o určité aspekty minimálnej požiadavky na vlastné zdroje a oprávnené záväzky sa nám javí ako potrebné upraviť vybrané ustanovenia zákona č. 371/2014 Z. z o riešení krízových situácií na finančnom trhu a o zmene a doplnení niektorých zákonov tak, aby boli v súlade so znením smernice, napríklad § 31b ods. 4 písm. b), § 31b ods. 6 bod 1 a 2, § 31e ods. 4 úvodná veta, 31e ods. 4 písm. a), § 31e ods. 4, písm. a) bod 1, § 31e ods. 4 písm. a) bod 1) pododsek 1c), § 31e ods. 4 písm. a) bod 2, § 31e ods. 4 písm. b) druhý bod,  § 31e ods. 11 a § 31e ods. 12 písm. 2b).</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doplnením príslušných ustanovení do návrhu zákona v súlade s pripomienkou po odsúhlasení vecným odborom, ktorý má predmetný zákon vo vecnej pôsobnosti.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25a ods. 4 (novelizačný bod 85)</w:t>
              <w:br/>
            </w:r>
            <w:r>
              <w:rPr>
                <w:b w:val="off"/>
                <w:color w:val="000000"/>
                <w:rFonts w:ascii="Times New Roman" w:hAnsi="Times New Roman" w:cs="Times New Roman" w:eastAsia="Times New Roman"/>
                <w:sz w:val="24"/>
              </w:rPr>
              <w:t>Odporúčame v § 25a ods. 4 za slovo „pričom“ vložiť slovo „výkonom“, slovo „funkciou“ nahradiť slovom „funkcie“ a slovo „rozumie“ nahradiť slovom „zabezpečuje“.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Zabezpečenie súladu so smernicou CRD6.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 – k Čl. I</w:t>
              <w:br/>
            </w:r>
            <w:r>
              <w:rPr>
                <w:b w:val="off"/>
                <w:color w:val="000000"/>
                <w:rFonts w:ascii="Times New Roman" w:hAnsi="Times New Roman" w:cs="Times New Roman" w:eastAsia="Times New Roman"/>
                <w:sz w:val="24"/>
              </w:rPr>
              <w:t>Odporúčame zosúladiť 170. novelizačný bod s čl. 44 nariadenia Európskeho parlamentu a Rady (EÚ) č. 910/2014 z 23. júla 2014 o elektronickej identifikácii a dôveryhodných službách pre elektronické transakcie na vnútornom trhu a o zrušení smernice 1999/93/ES (Ú. v. EÚ L 257, 28. 8. 2014) v platnom znení (ďalej len „nariadenie (EÚ) č. 910/2014“) s cieľom ustanoviť, že za osobitný informačný systém sa považuje aj kvalifikovaná elektronická doručovacia služba pre registrované zásielky podľa osobitného predpisu s odkazom na vyššie citovaný článok nariadenia (EÚ) č. 910/2014.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zosúladiť predkladaný návrh s nariadením aj vzhľadom na schválenie implementačného aktu pre kvalifikovanú elektronickú doručovaciu službu pre registrované zásielky, ktorý je aktuálne v prekladacom procese a v mesiaci september 2025 sa predpokladá jeho publikovanie.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Už v súčasnosti platnom právnom stave je možné dohodou zmluvných strán implementovať akékoľvek bezpečnejšie riešenie, ako to existujúce. Z tohto dôvodu podľa nášho názoru, nie je nevyhnutné doplniť návrh zákona v súvislosti s touto pripomienkou, ktorá smeruje k tomu, aby popri existujúcemu zmluvne dohodnutému riešeniu bola možnosť zmluvne si dohodnúť aj iné riešenie napĺňajúce požiadavky eIDAS.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zákona</w:t>
              <w:br/>
            </w:r>
            <w:r>
              <w:rPr>
                <w:b w:val="off"/>
                <w:color w:val="000000"/>
                <w:rFonts w:ascii="Times New Roman" w:hAnsi="Times New Roman" w:cs="Times New Roman" w:eastAsia="Times New Roman"/>
                <w:sz w:val="24"/>
              </w:rPr>
              <w:t>-	V bode 4 prílohy k zákonu č. 483/2001 Z.z. v znení neskorších predpisov (transpozičná príloha) je uvedená smernica Európskeho parlamentu a Rady 2009/111/ES zo 16. septembra 2009, ktorou sa menia a dopĺňajú smernice 2006/48/ES, 2006/49/ES a 2007/64/ES, pokiaľ ide o banky pridružené k ústredným inštitúciám, niektoré položky vlastných zdrojov, veľkú majetkovú angažovanosť, mechanizmy dohľadu a krízové riadenie (Ú. v. EÚ L 302, 17.11.2009). Uvedená smernica už nie je účinná. V zmysle bodu 62.14 Prílohy č. 1 k Legislatívnym pravidlám vlády Slovenskej republiky  „právne záväzné akty Európskej únie, ktoré boli zrušené a nie sú účinné, sa vypustia.“ V zmysle uvedeného ustanovenia žiadame vypustiť bod 4 transpozičnej prílohy k zákonu 483/2001 Z.z.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doplnením nového novelizačného bodu do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zákona</w:t>
              <w:br/>
            </w:r>
            <w:r>
              <w:rPr>
                <w:b w:val="off"/>
                <w:color w:val="000000"/>
                <w:rFonts w:ascii="Times New Roman" w:hAnsi="Times New Roman" w:cs="Times New Roman" w:eastAsia="Times New Roman"/>
                <w:sz w:val="24"/>
              </w:rPr>
              <w:t>-	Žiadame doručiť tabuľku zhody k smernici Európskeho parlamentu a Rady 2011/89/EÚ zo 16. novembra 2011 , ktorou sa menia a dopĺňajú smernice 98/78/ES, 2002/87/ES, 2006/48/ES a 2009/138/ES, pokiaľ ide o doplnkový dohľad nad finančnými inštitúciami vo finančnom konglomeráte (Ú. v. EÚ L 326, 8.12.2011), nakoľko predkladanou novelou zákona 483/2001 Z.z. sa menia ustanovenia, ktorými bola transponovaná, napr. § 48 ods.9 a § 25 ods. 7 zákona 483/2001 Z.z.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Vypracovaním tabuľky zhody k smernici 2011/89/ES.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zákona</w:t>
              <w:br/>
            </w:r>
            <w:r>
              <w:rPr>
                <w:b w:val="off"/>
                <w:color w:val="000000"/>
                <w:rFonts w:ascii="Times New Roman" w:hAnsi="Times New Roman" w:cs="Times New Roman" w:eastAsia="Times New Roman"/>
                <w:sz w:val="24"/>
              </w:rPr>
              <w:t>-	Žiadame doručiť tabuľku zhody k smernici Európskeho parlamentu a Rady 2014/59/EÚ z  15. mája 2014 , ktorou sa stanovuje rámec pre ozdravenie a riešenie krízových situácií úverových inštitúcií a investičných spoločností a ktorou sa mení smernica Rady 82/891/EHS a smernice Európskeho parlamentu a Rady 2001/24/ES, 2002/47/ES, 2004/25/ES, 2005/56/ES, 2007/36/ES, 2011/35/EÚ, 2012/30/EÚ a 2013/36/EÚ a nariadenia Európskeho parlamentu a Rady (EÚ) č. 1093/2010 a (EÚ) č. 648/2012 (Ú. v. EÚ L 173, 12.6.2014), nakoľko predkladanou novelou zákona 483/2001 Z.z. sa menia ustanovenia, ktorými bola transponovaná, napr. § 48 ods.9, § 2 ods. 8, § 24 ods.1, § 50 ods.1 zákona 483/2001 Z.z.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Vypracovaním tabuľky zhody k smernici 2014/59/EÚ.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zákona</w:t>
              <w:br/>
            </w:r>
            <w:r>
              <w:rPr>
                <w:b w:val="off"/>
                <w:color w:val="000000"/>
                <w:rFonts w:ascii="Times New Roman" w:hAnsi="Times New Roman" w:cs="Times New Roman" w:eastAsia="Times New Roman"/>
                <w:sz w:val="24"/>
              </w:rPr>
              <w:t>-	Žiadame doručiť tabuľku zhody k smernici Európskeho Parlamentu a Rady (EÚ) 2019/2162 z 27. novembra 2019 o emisii krytých dlhopisov a verejnom dohľade nad krytými dlhopismi a ktorou sa menia smernice 2009/65/ES a 2014/59/EÚ (Ú. v. EÚ L 328, 18.12.2019),  nakoľko predkladanou novelou zákona 483/2001 Z.z. sa menia ustanovenia, ktorými bola transponovaná, napr. § 50 ods.1, § 50 ods.24, § 50 ods. 7, § 6 ods.13 zákona 483/2001 Z.z.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Vypracovaním tabuľky zhody k smernici (EÚ) 2019/2162.</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predkladaného zákona</w:t>
              <w:br/>
            </w:r>
            <w:r>
              <w:rPr>
                <w:b w:val="off"/>
                <w:color w:val="000000"/>
                <w:rFonts w:ascii="Times New Roman" w:hAnsi="Times New Roman" w:cs="Times New Roman" w:eastAsia="Times New Roman"/>
                <w:sz w:val="24"/>
              </w:rPr>
              <w:t>-	Navrhujeme novelizovať poznámku pod čiarou k odkazu 30x), ktorá odkazuje na nariadenie (EÚ) č. 575/2013 doplnením slov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V bode 3 písm. a) doložky zlučiteľnosti žiadame upraviť publikačný zdroj k Protokolu č. 4 o Štatúte Európskeho systému centrálnych bánk a Európskej centrálnej banky (Ú. v. EÚ C 310, 16.12.2004)</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Doložka zlučiteľnosti obsahuje aktuálny publikačný zdroj k Protokolu č. 4 o Štatúte Európskeho systému centrálnych bánk a Európskej centrálnej banky.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V bode 3 písm. b) doložky zlučiteľnosti žiadame upraviť názov nariadenia Európskeho parlamentu a Rady (EÚ) č. 575/2013 z  26. júna 2013 o prudenciálnych požiadavkách na úverové inštitúcie a investičné spoločnosti a o zmene nariadenia (EÚ) č. 648/2012 (Ú.v. EÚ L 176, 27.6.2013)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Doložka zlučiteľnosti obsahuje platný názov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	V bode 3 písm. b) doložky zlučiteľnosti žiadame upraviť názov nariadenia Komisie (EÚ) 2023/1803 z 13. augusta 2023, ktorým sa v súlade s nariadením Európskeho parlamentu a Rady (ES) č. 1606/2002 prijímajú určité medzinárodné účtovné štandardy (v doložke je uvedený dátum z 13. septembra)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Korigendom bol upravený mesiac v názve tohto nariadenia.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K čl. I bodu 12 a 16 : V poznámke pod čiarou k odkazu 21ah) a k odkazu 21 ap) žiadame upraviť názov nariadenia (EÚ) 2023/1803 – na „Nariadenie Komisie (EÚ) 2023/1803 z 13. augusta 2023, ktorým sa v súlade s nariadením Európskeho parlamentu a Rady (ES) č. 1606/2002 prijímajú určité medzinárodné účtovné štandardy (Ú. v. EÚ L 237, 26.9.2023)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poznámok pod čiarou k odkazom 21ah a 21ap v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K čl. I bod 34 : V § 16 sa nad slovo „terorizmu“ umiestňuje odkaz 13ne, ktorý odkazuje  na čl. 143 ods.1 nariadenia (EÚ) č. 575/2013, upravujúci výpočet rizikovo vážených expozícií, čo podľa nášho názoru nesúvisí s ochranou pred financovaním terorizmu. Dávame na zváženie nahradenie odkazu.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doplnením správneho odkazu 13nb nad slovo „terorizmu“ v § 16 (novelizačný bod 34) čl. I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K čl. I bodu 102:  V poznámke pod čiarou k odkazu 30aj) žiadame názov nariadenia upraviť nasledovne: 	„Nariadenie Rady (ES) č. 139/2004 z 20. januára 2004 o kontrole koncentrácií medzi podnikmi (Nariadenie ES o fúziách) (Mimoriadne vydanie Ú. v. EÚ kap. 08/zv. 003; Ú. v. EÚ L 24, 29.1.2004).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poznámky pod čiarou k odkazu 30aj v návrhu zákona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vlastnému materiálu</w:t>
              <w:br/>
            </w:r>
            <w:r>
              <w:rPr>
                <w:b w:val="off"/>
                <w:color w:val="000000"/>
                <w:rFonts w:ascii="Times New Roman" w:hAnsi="Times New Roman" w:cs="Times New Roman" w:eastAsia="Times New Roman"/>
                <w:sz w:val="24"/>
              </w:rPr>
              <w:t>-	K čl. I bod 16 : Navrhované znenie § 6b ods.19 uvádza, že „Peňažná náhrada podľa odseku 18 sa určí vo výške podľa osobitného predpisu.21at)“, pričom odkazuje na § 83a ods. 4 Zákonníka práce. V zmysle tohto ustanovenia zamestnávateľ poskytuje peňažnú náhradu v sume najmenej 50% priemerného mesačného zárobku. Vzhľadom na skutočnosť, že § 83a je stanovená iba minimálna výška náhrady, môže takáto úprava spôsobovať aplikačné problémy. Navrhujeme upresnenie § 6b ods. 19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Ustanovenie je v súlade so smernicou. Presnú výšku peňažnej náhrady určuje Národná banka Slovenska vo svojich vnútorných predpisoch a zamestnancom NBS je teda známa, pričom Zákonník práce, na ktorý sa ustanovenie odkazuje, určuje len minimálnu výšku tejto náhrady. Spresnenie preto nie je potrebné.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2024/1619</w:t>
              <w:br/>
            </w:r>
            <w:r>
              <w:rPr>
                <w:b w:val="off"/>
                <w:color w:val="000000"/>
                <w:rFonts w:ascii="Times New Roman" w:hAnsi="Times New Roman" w:cs="Times New Roman" w:eastAsia="Times New Roman"/>
                <w:sz w:val="24"/>
              </w:rPr>
              <w:t>-	Pri preukazovaní transpozície čl. 1, bod 1, pís. a), odsek iv) (bod 24 sa vypúšťa) žiadame v treťom stĺpci doplniť písmená 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tabuľky zhody k smernici (EÚ) 2024/1619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2024/1619</w:t>
              <w:br/>
            </w:r>
            <w:r>
              <w:rPr>
                <w:b w:val="off"/>
                <w:color w:val="000000"/>
                <w:rFonts w:ascii="Times New Roman" w:hAnsi="Times New Roman" w:cs="Times New Roman" w:eastAsia="Times New Roman"/>
                <w:sz w:val="24"/>
              </w:rPr>
              <w:t>-	Pri preukazovaní transpozície čl.1, bod 1 pís. b) žiadame v druhom stĺpci  nahradiť  číslo 5 číslom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tabuľky zhody k smernici (EÚ) 2024/1619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2024/1619</w:t>
              <w:br/>
            </w:r>
            <w:r>
              <w:rPr>
                <w:b w:val="off"/>
                <w:color w:val="000000"/>
                <w:rFonts w:ascii="Times New Roman" w:hAnsi="Times New Roman" w:cs="Times New Roman" w:eastAsia="Times New Roman"/>
                <w:sz w:val="24"/>
              </w:rPr>
              <w:t>-	Pri preukazovaní transpozície čl. 3 ods.1 bod 67 smernice (EÚ) 2024/1619 do § 50b ods. 1 dávame na zváženie zúženie výpočtu porušovaných alebo obchádzaných právnych predpisov vymenovaných v § 50b ods.1, keďže smernica v bode 67 uvádza výlučne vnútroštátne predpisy, ktorými sa transponuje smernica alebo nariadenie (EÚ) č. 575/2013.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Smernica v čl. 65 ods. 1 a čl. 66 ods. 1 umožňuje členským štátom udeliť pravidelné penále aj za iné porušenia, nielen za porušenie ustanovení, ktorými sa transponuje smernica (EÚ) 2024/1619, a porušenie ustanovení nariadenia (EÚ) č. 575/2013.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2024/1619</w:t>
              <w:br/>
            </w:r>
            <w:r>
              <w:rPr>
                <w:b w:val="off"/>
                <w:color w:val="000000"/>
                <w:rFonts w:ascii="Times New Roman" w:hAnsi="Times New Roman" w:cs="Times New Roman" w:eastAsia="Times New Roman"/>
                <w:sz w:val="24"/>
              </w:rPr>
              <w:t>-	Žiadame preukázať transpozíciu čl. 4a ods. 2 smernice (EÚ) 2024/1619 do slovenského právneho poriadku s ohľadom na povinnosť Národnej banky Slovenska zverejňovať svoje ciele  a zodpovednosť za plnenie svojich povinností v súvislosti s týmito cieľmi.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a doplnením tabuľky zhody k smernici (EÚ) 2024/1619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2024/1619</w:t>
              <w:br/>
            </w:r>
            <w:r>
              <w:rPr>
                <w:b w:val="off"/>
                <w:color w:val="000000"/>
                <w:rFonts w:ascii="Times New Roman" w:hAnsi="Times New Roman" w:cs="Times New Roman" w:eastAsia="Times New Roman"/>
                <w:sz w:val="24"/>
              </w:rPr>
              <w:t>-	Žiadame preukázať transpozíciu čl. 27c ods.1 písm. a) smernice (EÚ) 2024/1619 do §28c ods.1 písm. a) návrhu zákona s ohľadom na povolenie vymenovaných subjektov pôsobiť v inom sektore, než je sektor navrhovaného nadobúdateľa. Transpozíciu uvedeného ustanovenia nepovažujeme za dostatočnú.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NBS je orgánom dohľadu nielen nad bankami, ale nad celým finančným trhom. Z tohto dôvodu nie je potrebné v návrhu zákona doplniť ustanovenie § 28c ods. 1 písm. a) v takom zmysle, že má konzultovať „s orgánmi poverenými verejnou úlohou dohľadu nad inými dotknutými subjektmi finančného sektora pôsobiacimi v inom sektore, než je sektor navrhovaného nadobúdateľa“. V tejto súvislosti bola doplnená poznámka v stĺpci 8 k transpozícii čl. 27c ods. 1 písm. a) smernice (EÚ) 2024/1619.</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2024/1619</w:t>
              <w:br/>
            </w:r>
            <w:r>
              <w:rPr>
                <w:b w:val="off"/>
                <w:color w:val="000000"/>
                <w:rFonts w:ascii="Times New Roman" w:hAnsi="Times New Roman" w:cs="Times New Roman" w:eastAsia="Times New Roman"/>
                <w:sz w:val="24"/>
              </w:rPr>
              <w:t>-	Pri preukazovaní transpozície čl. 27h v  poznámke pod čiarou k odkazu 30aj) žiadame názov nariadenia upraviť nasledovne: „Nariadenie Rady (ES) č. 139/2004 z 20. januára 2004 o kontrole koncentrácií medzi podnikmi (Nariadenie ES o fúziách) (Mimoriadne vydanie Ú. v. EÚ kap. 08/zv. 003; Ú. v. EÚ L 24, 29.1.2004).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a doplnením tabuľky zhody k smernici (EÚ) 2024/1619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2024/1619</w:t>
              <w:br/>
            </w:r>
            <w:r>
              <w:rPr>
                <w:b w:val="off"/>
                <w:color w:val="000000"/>
                <w:rFonts w:ascii="Times New Roman" w:hAnsi="Times New Roman" w:cs="Times New Roman" w:eastAsia="Times New Roman"/>
                <w:sz w:val="24"/>
              </w:rPr>
              <w:t>-	Žiadame preukázanie transpozície čl. 48g) ods. 1 smernice (EÚ) 2024/1619 do § 8e ods. 1 návrhu zákona s ohľadom na povinnosť pobočiek tretích krajín mať aspoň dve osoby v danom členskom štáte, ktoré riadia ich obchodnú činnosť. V navrhovanom transpozičnom opatrení povinnosť byť v danom členskom štáte chýba.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definície pobočky zahraničnej banky so sídlom mimo územia členského štátu uvedenej v § 2 ods. 8 písm. b) návrhu zákona je zrejmé, že táto pobočka musí byť umiestnená na území Slovenskej republiky. Z toho potom vyplýva, že aj povinnosť podľa smernice mať dve osoby, ktoré riadia obchodnú činnosť v danom členskom štáte, sa teda vzťahuje na Slovenskú republiku. Z tohto dôvodu nie je potrebné opäť to opakovať, uvádzať v § 8e ods. 1.</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2024/1619</w:t>
              <w:br/>
            </w:r>
            <w:r>
              <w:rPr>
                <w:b w:val="off"/>
                <w:color w:val="000000"/>
                <w:rFonts w:ascii="Times New Roman" w:hAnsi="Times New Roman" w:cs="Times New Roman" w:eastAsia="Times New Roman"/>
                <w:sz w:val="24"/>
              </w:rPr>
              <w:t>-	Pri preukazovaní transpozície čl.78 ods. 1 smernice (EÚ) 2024/1619 žiadame upraviť  v poznámke pod čiarou k odkazu 21ah) názov nariadenia (EÚ) 2023/1803 – na „Nariadenie Komisie (EÚ) 2023/1803 z 13. augusta 2023, ktorým sa v súlade s nariadením Európskeho parlamentu a Rady (ES) č. 1606/2002 prijímajú určité medzinárodné účtovné štandardy (Ú. v. EÚ L 237, 26.9.2023)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a doplnením tabuľky zhody k smernici (EÚ) 2024/1619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2024/1619</w:t>
              <w:br/>
            </w:r>
            <w:r>
              <w:rPr>
                <w:b w:val="off"/>
                <w:color w:val="000000"/>
                <w:rFonts w:ascii="Times New Roman" w:hAnsi="Times New Roman" w:cs="Times New Roman" w:eastAsia="Times New Roman"/>
                <w:sz w:val="24"/>
              </w:rPr>
              <w:t>-	Pri preukazovaní transpozície čl.4a ods. 3 písm. a) smernice (EÚ) 2024/1619 žiadame upraviť  v poznámke pod čiarou k odkazu 21ap) názov nariadenia (EÚ) 2023/1803 – na „Nariadenie Komisie (EÚ) 2023/1803 z 13. augusta 2023, ktorým sa v súlade s nariadením Európskeho parlamentu a Rady (ES) č. 1606/2002 prijímajú určité medzinárodné účtovné štandardy (Ú. v. EÚ L 237, 26.9.2023)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a doplnením tabuľky zhody k smernici (EÚ) 2024/1619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2024/1619</w:t>
              <w:br/>
            </w:r>
            <w:r>
              <w:rPr>
                <w:b w:val="off"/>
                <w:color w:val="000000"/>
                <w:rFonts w:ascii="Times New Roman" w:hAnsi="Times New Roman" w:cs="Times New Roman" w:eastAsia="Times New Roman"/>
                <w:sz w:val="24"/>
              </w:rPr>
              <w:t>-	Pri preukazovaní transpozície Čl. 91 ods.1e) smernice (EÚ) 2024/1619 do § 9 ods. 20 pís. b) návrh zákona žiadame zosúladiť text v tabuľke zhody s vlastným materiálom – je potrebné doplniť odkaz 24 bad).</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a doplnením tabuľky zhody k smernici (EÚ) 2024/1619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2024/2994</w:t>
              <w:br/>
            </w:r>
            <w:r>
              <w:rPr>
                <w:b w:val="off"/>
                <w:color w:val="000000"/>
                <w:rFonts w:ascii="Times New Roman" w:hAnsi="Times New Roman" w:cs="Times New Roman" w:eastAsia="Times New Roman"/>
                <w:sz w:val="24"/>
              </w:rPr>
              <w:t>- V celej tabuľke zhody žiadame označenie článku návrhu zákona uvádzať v piatom stĺpci tabuľky zhody (namiesto štvrtého stĺpca)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vhodnou úpravou tabuľky zhody k smernici (EÚ) 2024/2994 v súlade s pripomienkou tak, aby bola zaistená prehľadnosť a zrozumiteľnosť.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2024/2994</w:t>
              <w:br/>
            </w:r>
            <w:r>
              <w:rPr>
                <w:b w:val="off"/>
                <w:color w:val="000000"/>
                <w:rFonts w:ascii="Times New Roman" w:hAnsi="Times New Roman" w:cs="Times New Roman" w:eastAsia="Times New Roman"/>
                <w:sz w:val="24"/>
              </w:rPr>
              <w:t>- V prvom riadku tabuľky v druhom stĺpci žiadame upraviť skrátenú citáciu smernice nasledovne: „smernica 2013/36/EÚ“ prvom riadku tabuľky v druhom stĺpci žiadame upraviť skrátenú citáciu smernice nasledovne: „smernica 2013/36/EÚ“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a doplnením tabuľky zhody k smernici (EÚ) 2024/2994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2019/878</w:t>
              <w:br/>
            </w:r>
            <w:r>
              <w:rPr>
                <w:b w:val="off"/>
                <w:color w:val="000000"/>
                <w:rFonts w:ascii="Times New Roman" w:hAnsi="Times New Roman" w:cs="Times New Roman" w:eastAsia="Times New Roman"/>
                <w:sz w:val="24"/>
              </w:rPr>
              <w:t>V celej tabuľke zhody žiadame označenie článku návrhu zákona uvádzať v piatom stĺpci tabuľky zhody (namiesto štvrtého stĺpca)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vhodnou úpravou tabuľky zhody k smernici (EÚ) 2019/878 v súlade s pripomienkou tak, aby bola zaistená prehľadnosť a zrozumiteľnosť.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2019/878</w:t>
              <w:br/>
            </w:r>
            <w:r>
              <w:rPr>
                <w:b w:val="off"/>
                <w:color w:val="000000"/>
                <w:rFonts w:ascii="Times New Roman" w:hAnsi="Times New Roman" w:cs="Times New Roman" w:eastAsia="Times New Roman"/>
                <w:sz w:val="24"/>
              </w:rPr>
              <w:t>-	V prvom riadku tabuľky zhody žiadame uviesť text „Článok 1, Zmeny smernice 2013/36/EÚ, Smernica 2013/36/EÚ sa mení takto:“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a doplnením tabuľky zhody k smernici (EÚ) 2019/878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2019/878</w:t>
              <w:br/>
            </w:r>
            <w:r>
              <w:rPr>
                <w:b w:val="off"/>
                <w:color w:val="000000"/>
                <w:rFonts w:ascii="Times New Roman" w:hAnsi="Times New Roman" w:cs="Times New Roman" w:eastAsia="Times New Roman"/>
                <w:sz w:val="24"/>
              </w:rPr>
              <w:t>-	Pri preukazovaní transpozície čl. 67 ods. 1 písm. q) smernice (EÚ) 2024/2994 do § 50 ods.20 návrhu zákona žiadame v druhom stĺpci pred písmeno q) doplniť úvodnú vetu odseku 1 : “Tento článok sa uplatňuje aspoň za jednej z týchto okolností:“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tabuľky zhody k smernici (EÚ) 2019/878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tabuľke zhody so smernicou (EÚ) 2019/878</w:t>
              <w:br/>
            </w:r>
            <w:r>
              <w:rPr>
                <w:b w:val="off"/>
                <w:color w:val="000000"/>
                <w:rFonts w:ascii="Times New Roman" w:hAnsi="Times New Roman" w:cs="Times New Roman" w:eastAsia="Times New Roman"/>
                <w:sz w:val="24"/>
              </w:rPr>
              <w:t>-	Preukázanie transpozície § 91 odsek 7 smernice (EÚ) 2019/878 žiadame vypustiť, nakoľko uvedené ustanovenie bolo novelizované a jeho transpozícia je preukázaná v tabuľke zhody so smernicou (EÚ) 2024/2994.</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tabuľky zhody k smernici (EÚ) 2019/878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V zozname transponovaných a implementovaných právnych predpisov žiadame ku všetkým predpisom uviesť publikačný zdroj.</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doložky vybraných vplyvov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všeobecnej časti dôvodovej správy</w:t>
              <w:br/>
            </w:r>
            <w:r>
              <w:rPr>
                <w:b w:val="off"/>
                <w:color w:val="000000"/>
                <w:rFonts w:ascii="Times New Roman" w:hAnsi="Times New Roman" w:cs="Times New Roman" w:eastAsia="Times New Roman"/>
                <w:sz w:val="24"/>
              </w:rPr>
              <w:t>V poslednom odseku dôvodovej správy na strane 2 žiadame nahradiť odkaz na Legislatívne pravidlá vlády Slovenskej republiky – namiesto čl. 15 ods.1 žiadame uviesť čl.17 ods.1.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všeobecnej časti dôvodovej správy v súlade s pripomienkou.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Body 31 a 32 návrhu zákona</w:t>
              <w:br/>
            </w:r>
            <w:r>
              <w:rPr>
                <w:b w:val="off"/>
                <w:color w:val="000000"/>
                <w:rFonts w:ascii="Times New Roman" w:hAnsi="Times New Roman" w:cs="Times New Roman" w:eastAsia="Times New Roman"/>
                <w:sz w:val="24"/>
              </w:rPr>
              <w:t>1)	Čl. I bod 31 a 32:</w:t>
              <w:br/>
            </w:r>
            <w:r>
              <w:rPr>
                <w:b w:val="off"/>
                <w:color w:val="000000"/>
                <w:rFonts w:ascii="Times New Roman" w:hAnsi="Times New Roman" w:cs="Times New Roman" w:eastAsia="Times New Roman"/>
                <w:sz w:val="24"/>
              </w:rPr>
              <w:t>Navrhujeme upraviť znenie § 9 ods. 4 a 5 zákona o bankách a primerane aj ostatné súvisiace ustanovenia zákona tým spôsobom, aby režim „predchádzajúceho súhlasu“ pokrýval len osoby doteraz uvedené v zákone a na základe implementácie smernice len vedúceho útvaru vnútornej kontroly a finančného riaditeľa, napr. ods. 4 nasledovne: „Banka je povinná vopred písomne informovať Národnú banku Slovenska o zmenách podmienok, ktoré boli podkladom na udelenie bankového povolenia podľa § 7; na voľbu alebo vymenovanie osôb navrhovaných za členov štatutárneho orgánu, členov dozornej rady, na menovanie prokuristu, na ustanovenie vedúceho zamestnanca, finančného riaditeľa, vedúceho útvaru vnútornej kontroly a osoby zabezpečujúcej plnenie úloh pri ochrane pred legalizáciou príjmov z trestnej činnosti a pred financovaním terorizmu a zmenu sídla banky je potrebný predchádzajúci súhlas Národnej banky Slovenska, inak je toto zvolenie, ustanovenie, menovanie alebo zmena neplatná.“</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definícia osoby zastávajúcej kľúčovú funkciu (§ 5 písm. am) zákona o bankách) neobsahuje taxatívne vymedzenie. Okruh osôb vymenovaný v definícii (za slovom „vrátane“) je demonštratívny. Pri takto nastavenej definícii a v spojení s navrhovaným znením § 9 ods. 4 a 5 zákona sa tým podľa nášho názoru neprimerane rozširuje okruh osôb, na ktoré sa vzťahuje režim predchádzajúceho súhlasu NBS.</w:t>
              <w:br/>
            </w:r>
            <w:r>
              <w:rPr>
                <w:b w:val="off"/>
                <w:color w:val="000000"/>
                <w:rFonts w:ascii="Times New Roman" w:hAnsi="Times New Roman" w:cs="Times New Roman" w:eastAsia="Times New Roman"/>
                <w:sz w:val="24"/>
              </w:rPr>
              <w:t>Rozumieme snahe zachovať doterajší „lokálny“ rozsah posudzovaných osôb - vedúci zamestnanec, prokurista, vedúci útvaru vnútornej kontroly (doteraz vedúci útvaru vnútornej kontroly a vnútorného auditu) a osoba zabezpečujúca plnenie úloh pri ochrane pred legalizáciou príjmov z trestnej činnosti a pred financovaním terorizmu. Namietame však implementáciu, ktorou sa okruh osôb povinne posudzovaných zo strany regulátora rozširuje nad rámec, ktorý vyžaduje smernica 2024/1619. Článok 91a ods. 5 smernice vyžaduje, aby členské štáty zabezpečili požiadavku posúdenia zo strany príslušných orgánov len v prípade vedúcich pracovníkov na čele funkcií vnútornej kontroly a finančného riaditeľa a nie všetkých osôb zastávajúcich kľúčové funkcie.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nie je možné akceptovať. Keďže navrhovanú úpravu dotknutých ustanovení návrhu zákona, konkrétne teda § 9 ods. 4, 5, 8 a 9 sme formulovali aj s NBS, ako orgánom dohľadu a spolugestorom návrhu zákona, uvádzame spoločne dôvody neakceptovania pripomienky:</w:t>
              <w:br/>
            </w:r>
            <w:r>
              <w:rPr>
                <w:b w:val="off"/>
                <w:color w:val="000000"/>
                <w:rFonts w:ascii="Times New Roman" w:hAnsi="Times New Roman" w:cs="Times New Roman" w:eastAsia="Times New Roman"/>
                <w:sz w:val="24"/>
              </w:rPr>
              <w:t>-	Máme za to, že cieľom smernice CRD VI je posilniť právomoci orgánov dohľadov v prípade zabezpečenia vhodnosti príslušných osôb v bankách, a to s cieľom ich obozretného a zdravého riadenia. Tento cieľ je vyjadrený nie len v samotnom znení CRD VI (najmä čl. 88 a 91 a nasl. CRD VI), ktoré poskytuje orgánom dohľadu nové nástroje v oblasti posudzovania vhodnosti a rozširuje okruh osôb, ktoré požiadavke vhodnosti podliehajú, ale aj v recitáli 54 k CRD VI. Tento recitál zároveň explicitne predpokladá možnosť členských štátov prijať prísnejšie požiadavky v oblasti posudzovania vhodnosti. Úprava nových ustanovení v oblasti posudzovania vhodnosti v zákone o bankách je preto v plnom súlade so smernicou a neprekračuje jej legálny rámec.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Cieľom NBS nie je neobmedzene a svojvoľne subsumovať rôznych zamestnancov pod osoby zastávajúce kľúčovú funkciu a vymáhať ich posúdenie v konaní. Naopak, NBS upraví svoje metodické usmernenie č. 4/2024 v oblasti posudzovania vhodnosti a transparentne oznámi, ktoré osoby považuje za osoby zastávajúce kľúčové funkcie na účely udelenia predchádzajúceho súhlasu (posúdenie vhodnosti). Tým budú mať banky právnu istotu u akých osôb je potrebné očakávať ich posúdenie v konaní. Na účely udelenia predchádzajúceho súhlasu (posúdenie vhodnosti) NBS plánuje zachovať okruh osôb zastávajúcich kľúčové funkcie na tie osoby, ktoré sú tak explicitne označené v novelizovanom zákone o bankách, takže vecne nedôjde k zmene nad rámec CRD 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Pre úplnosť uvádzame, že banky ustanovujú rôzne organizačné štruktúry a rôzne funkcie, kedy by uzavretý okruh osôb zastávajúcich kľúčové funkcie bol z hľadiska napĺňania úloh orgánu dohľadu (a to aj tých nových vyplývajúcich zo smernice CRD VI) neobozretný a neprijateľný.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MF SR ako gestor návrhu zákona vyjadruje názor, že akceptovaním zásadných pripomienok SBA by sa oslabila funkcia orgánu dohľadu pokiaľ ide o posudzovanie vhodnosti relevantných osôb v bankách, čo považujeme za neprijateľné a taktiež v rozpore so zmyslom, požiadavkami a cieľmi CRD 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SBA akceptovala vyjadrenia MF SR a netrvá na svojej zásadnej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33 návrhu zákona</w:t>
              <w:br/>
            </w:r>
            <w:r>
              <w:rPr>
                <w:b w:val="off"/>
                <w:color w:val="000000"/>
                <w:rFonts w:ascii="Times New Roman" w:hAnsi="Times New Roman" w:cs="Times New Roman" w:eastAsia="Times New Roman"/>
                <w:sz w:val="24"/>
              </w:rPr>
              <w:t>2)	Čl. I bod 33:</w:t>
              <w:br/>
            </w:r>
            <w:r>
              <w:rPr>
                <w:b w:val="off"/>
                <w:color w:val="000000"/>
                <w:rFonts w:ascii="Times New Roman" w:hAnsi="Times New Roman" w:cs="Times New Roman" w:eastAsia="Times New Roman"/>
                <w:sz w:val="24"/>
              </w:rPr>
              <w:t>Navrhujeme upraviť znenie § 9 ods. 8 a 9 zákona o bankách tým spôsobom, aby sa povinnosť „automatického“ predkladania záznamu o internom posúdení nevzťahovala na všetky osoby zastávajúce kľúčovú funkciu, ale len na osoby, ktorých ustanovenie do funkcie doteraz podliehalo zákonnému režimu „predchádzajúceho“ súhlasu, a na osoby, v prípade ktorých to vyžaduje smernica 2024/1619. Zároveň navrhujeme, aby sa povinnosť predloženia vzťahovala len na tie záznamy o internom posúdení osoby, ktoré banka uskutočnila pred začiatkom vykonávania jej funkcie, alebo pri zmene informácií, ktoré by mohli ovplyvniť odbornú spôsobilosť alebo dôveryhodnosť osoby. Uvedené nemá vplyv na všeobecnú povinnosť poskytnutia informácií o vhodnosti členov štatutárneho orgánu a dozornej rady a osôb zastávajúcich kľúčovú funkciu na požiadanie príslušnému orgánu (predpokladanú v čl. 91a ods. 4 smernice 2024/1619), ktorá by mala zostať zachovaná.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Nespochybňujeme implementáciu ustanovení smernice 2024/1619, ktorá vyžaduje interné posúdenie pre každú osobu zastávajúcu kľúčovú funkciu (čl. 91a ods. 2 smernice 2024/1619) a povinnosť poskytnúť informácie o vhodnosti osôb zastávajúcich kľúčovú funkciu na požiadanie príslušnému orgánu (čl. 91a ods. 2 smernice 2024/1619). Podľa čl. 91a ods. 6 smernice sa však záznam o internom posúdení osôb zastávajúcich kľúčové funkcie, resp. informácie, ktoré by mohli ovplyvniť ich odbornú spôsobilosť alebo dôveryhodnosť, majú príslušnému orgánu „automaticky“ predložiť iba v prípade vedúcich pracovníkov na čele funkcií vnútornej kontroly a finančného riaditeľa. V prípade ostatných osôb zastávajúcich kľúčové funkcie je predloženie týchto podkladov relevantné len na požiadanie príslušného orgánu. Zároveň smernica 2024/1619 nepredpokladá zasielanie informácií a záznamov o internom posúdení v prípade pravidelného posudzovania členov štatutárneho orgánu a dozornej rady a osôb zastávajúcich kľúčové funkcie.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Pripomienku nie je možné akceptovať. Keďže navrhovanú úpravu dotknutých ustanovení návrhu zákona, konkrétne teda § 9 ods. 4, 5, 8 a 9 sme formulovali aj s NBS, ako orgánom dohľadu a spolugestorom návrhu zákona, uvádzame spoločne dôvody neakceptovania pripomienky:</w:t>
              <w:br/>
            </w:r>
            <w:r>
              <w:rPr>
                <w:b w:val="off"/>
                <w:color w:val="000000"/>
                <w:rFonts w:ascii="Times New Roman" w:hAnsi="Times New Roman" w:cs="Times New Roman" w:eastAsia="Times New Roman"/>
                <w:sz w:val="24"/>
              </w:rPr>
              <w:t>-	Máme za to, že cieľom smernice CRD VI je posilniť právomoci orgánov dohľadov v prípade zabezpečenia vhodnosti príslušných osôb v bankách, a to s cieľom ich obozretného a zdravého riadenia. Tento cieľ je vyjadrený nie len v samotnom znení CRD VI (najmä čl. 88 a 91 a nasl. CRD VI), ktoré poskytuje orgánom dohľadu nové nástroje v oblasti posudzovania vhodnosti a rozširuje okruh osôb, ktoré požiadavke vhodnosti podliehajú, ale aj v recitáli 54 k CRD VI. Tento recitál zároveň explicitne predpokladá možnosť členských štátov prijať prísnejšie požiadavky v oblasti posudzovania vhodnosti. Úprava nových ustanovení v oblasti posudzovania vhodnosti v zákone o bankách je preto v plnom súlade so smernicou a neprekračuje jej legálny rámec.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Cieľom NBS nie je neobmedzene a svojvoľne subsumovať rôznych zamestnancov pod osoby zastávajúce kľúčovú funkciu a vymáhať ich posúdenie v konaní. Naopak, NBS upraví svoje metodické usmernenie č. 4/2024 v oblasti posudzovania vhodnosti a transparentne oznámi, ktoré osoby považuje za osoby zastávajúce kľúčové funkcie na účely udelenia predchádzajúceho súhlasu (posúdenie vhodnosti). Tým budú mať banky právnu istotu u akých osôb je potrebné očakávať ich posúdenie v konaní. Na účely udelenia predchádzajúceho súhlasu (posúdenie vhodnosti) NBS plánuje zachovať okruh osôb zastávajúcich kľúčové funkcie na tie osoby, ktoré sú tak explicitne označené v novelizovanom zákone o bankách, takže vecne nedôjde k zmene nad rámec CRD VI.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Pre úplnosť uvádzame, že banky ustanovujú rôzne organizačné štruktúry a rôzne funkcie, kedy by uzavretý okruh osôb zastávajúcich kľúčové funkcie bol z hľadiska napĺňania úloh orgánu dohľadu (a to aj tých nových vyplývajúcich zo smernice CRD VI) neobozretný a neprijateľný.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vyššie uvedené MF SR ako gestor návrhu zákona vyjadruje názor, že akceptovaním zásadných pripomienok SBA by sa oslabila funkcia orgánu dohľadu pokiaľ ide o posudzovanie vhodnosti relevantných osôb v bankách, čo považujeme za neprijateľné a taktiež v rozpore so zmyslom, požiadavkami a cieľmi CRD VI.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SBA akceptovala vyjadrenia MF SR a netrvá na svojej zásadnej pripomienke.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SBA</w:t>
              <w:br/>
            </w:r>
            <w:r>
              <w:rPr>
                <w:b w:val="off"/>
                <w:color w:val="000000"/>
                <w:rFonts w:ascii="Times New Roman" w:hAnsi="Times New Roman" w:cs="Times New Roman" w:eastAsia="Times New Roman"/>
                <w:sz w:val="24"/>
              </w:rPr>
              <w:t>Slovenská banková asociácia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2 písm. a) a g)</w:t>
              <w:br/>
            </w:r>
            <w:r>
              <w:rPr>
                <w:b w:val="off"/>
                <w:color w:val="000000"/>
                <w:rFonts w:ascii="Times New Roman" w:hAnsi="Times New Roman" w:cs="Times New Roman" w:eastAsia="Times New Roman"/>
                <w:sz w:val="24"/>
              </w:rPr>
              <w:t>3)	§ 2 ods. 2) písm. a) a g) zákona č. 483/2001 Z. z. o bankách v znení neskorších predpisov:</w:t>
              <w:br/>
            </w:r>
            <w:r>
              <w:rPr>
                <w:b w:val="off"/>
                <w:color w:val="000000"/>
                <w:rFonts w:ascii="Times New Roman" w:hAnsi="Times New Roman" w:cs="Times New Roman" w:eastAsia="Times New Roman"/>
                <w:sz w:val="24"/>
              </w:rPr>
              <w:t>V § 2 ods. 2) navrhujeme nahradiť existujúce znenia písm. a) a g)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1:</w:t>
              <w:br/>
            </w:r>
            <w:r>
              <w:rPr>
                <w:b w:val="off"/>
                <w:color w:val="000000"/>
                <w:rFonts w:ascii="Times New Roman" w:hAnsi="Times New Roman" w:cs="Times New Roman" w:eastAsia="Times New Roman"/>
                <w:sz w:val="24"/>
              </w:rPr>
              <w:t>a) poskytovanie platobných služieb,  1aa) zúčtovanie a služby na ne nadväzujúce,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Alternatíva 2:</w:t>
              <w:br/>
            </w:r>
            <w:r>
              <w:rPr>
                <w:b w:val="off"/>
                <w:color w:val="000000"/>
                <w:rFonts w:ascii="Times New Roman" w:hAnsi="Times New Roman" w:cs="Times New Roman" w:eastAsia="Times New Roman"/>
                <w:sz w:val="24"/>
              </w:rPr>
              <w:t xml:space="preserve">a) poskytovanie platobných služieb,  1aa) zúčtovanie a s nimi súvisiace služby,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g) poskytovanie poradenských služieb v oblasti podnikania vrátane odporúčaní a návrhov na zlepšenie podnikateľských procesov,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Banky a pobočky zahraničných bánk by mali záujem poskytovať v čoraz silnejšej konkurencii nebankových poskytovateľov platobných služieb, zahraničných bánk a FinTech spoločností čo najkomplexnejšie služby, tak aby vedeli uspokojiť potreby klientov v najvyššej možnej racionálnej miere. Nevedie ich k tomu len snaha vyjsť v maximálnej možnej miere v ústrety požiadavkám klientov a obstáť v konkurencii subjektov, vykonávajúcich svoju činnosť na základe inej ako slovenskej bankovej licencie, ale aj zásadné know-how, ktoré banky získavajú a zdokonaľujú pri kontakte s klientmi a rozsiahle technologické zázemie vytvárajúce bezpečnú a funkčnú platformu na poskytovanie služieb súvisiacich s historicky klasickými bankovými činnosťami. </w:t>
              <w:br/>
            </w:r>
            <w:r>
              <w:rPr>
                <w:b w:val="off"/>
                <w:color w:val="000000"/>
                <w:rFonts w:ascii="Times New Roman" w:hAnsi="Times New Roman" w:cs="Times New Roman" w:eastAsia="Times New Roman"/>
                <w:sz w:val="24"/>
              </w:rPr>
              <w:t xml:space="preserve">Banky majú napríklad podrobne zmapované jednotlivé okolnosti, ktoré viedli alebo mohli viesť k platobnej neschopnosti klientov, alebo kroky, ktoré funkčne ochránili iných klientov od hrozby úpadku. Vedeli by uvedené skúsenosti abstrahovať a poskytovať ako empiricky získané best practice na zlepšenie podnikateľského prostredia, spolu s odporúčaniami postupov, procesov či partnerov. </w:t>
              <w:br/>
            </w:r>
            <w:r>
              <w:rPr>
                <w:b w:val="off"/>
                <w:color w:val="000000"/>
                <w:rFonts w:ascii="Times New Roman" w:hAnsi="Times New Roman" w:cs="Times New Roman" w:eastAsia="Times New Roman"/>
                <w:sz w:val="24"/>
              </w:rPr>
              <w:t>Rovnako tak by banky mohli klientom obohatiť štandardné platobné služby o doplnkové aktivity, ktoré im už v súčasnosti môžu poskytovať poskytovatelia platobných služieb alebo FinTech spoločnosti a vyrovnať sa konkurencií týchto spoločností.</w:t>
              <w:br/>
            </w:r>
            <w:r>
              <w:rPr>
                <w:b w:val="off"/>
                <w:color w:val="000000"/>
                <w:rFonts w:ascii="Times New Roman" w:hAnsi="Times New Roman" w:cs="Times New Roman" w:eastAsia="Times New Roman"/>
                <w:sz w:val="24"/>
              </w:rPr>
              <w:t>Takéto snahy však môžu vzhľadom na existujúci právny stav viesť k riziku prekročenia poskytnutej bankovej licencie.</w:t>
              <w:br/>
            </w:r>
            <w:r>
              <w:rPr>
                <w:b w:val="off"/>
                <w:color w:val="000000"/>
                <w:rFonts w:ascii="Times New Roman" w:hAnsi="Times New Roman" w:cs="Times New Roman" w:eastAsia="Times New Roman"/>
                <w:sz w:val="24"/>
              </w:rPr>
              <w:t>Navrhovanú právnu úpravu preto považujeme za vhodnú a to tak z pohľadu zvýšenia právnej istoty na strane bánk, ako aj z pohľadu zlepšenia kvality poskytovaných služieb, rozšírenia konkurencie na trhu finančných služieb ako vyrovnania možností slovenských poskytovateľov služieb voči zahraničným subjektom.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2 ods. 2 písm. a) zákona č. 483/2001 Z. z. je úplnou transpozíciou bodu 4 prílohy I smernice CRD, ktorý sa odkazuje na čl. 4 bod 3 smernice Európskeho parlamentu a Rady (EÚ) 2015/2366 (smernica o platobných službách – PSD 2). Túto pripomienku nad rámec návrhu zákona neakceptujeme, pretože rozšírenie by bolo nad rámec oboch smerníc – CRD aj PSD.</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Ustanovenie § 2 ods. 2 písm. g) zákona č. 483/2001 Z. z. je úplnou transpozíciou bodu 9 prílohy I smernice CRD. Podľa nášho názoru je znenie § 2 ods. 2 písm. g) dostatočne široké a poskytovanie poradenských služieb v oblasti podnikania subsumuje v sebe aj odporúčanie a návrhy na zlepšenie podnikateľských procesov, preto nevidíme dôvod na novelizáciu tohto ustanovenia.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všeobecne a nad rámec návrhu</w:t>
              <w:br/>
            </w:r>
            <w:r>
              <w:rPr>
                <w:b w:val="off"/>
                <w:color w:val="000000"/>
                <w:rFonts w:ascii="Times New Roman" w:hAnsi="Times New Roman" w:cs="Times New Roman" w:eastAsia="Times New Roman"/>
                <w:sz w:val="24"/>
              </w:rPr>
              <w:t>Navrhujeme samostatnými novelizačnými bodmi:</w:t>
              <w:br/>
            </w:r>
            <w:r>
              <w:rPr>
                <w:b w:val="off"/>
                <w:color w:val="000000"/>
                <w:rFonts w:ascii="Times New Roman" w:hAnsi="Times New Roman" w:cs="Times New Roman" w:eastAsia="Times New Roman"/>
                <w:sz w:val="24"/>
              </w:rPr>
              <w:t xml:space="preserve">– v §  6 ods. 2 zákona č. 483/2001 Z. z. v znení neskorších predpisov za slová "Európsky orgán dohľadu (Európsky orgán pre bankovníctvo)" vložiť slová (ďalej len "Európsky orgán pre bankovníctvo") a </w:t>
              <w:br/>
            </w:r>
            <w:r>
              <w:rPr>
                <w:b w:val="off"/>
                <w:color w:val="000000"/>
                <w:rFonts w:ascii="Times New Roman" w:hAnsi="Times New Roman" w:cs="Times New Roman" w:eastAsia="Times New Roman"/>
                <w:sz w:val="24"/>
              </w:rPr>
              <w:t>– nahradiť názov orgánu EÚ navrhovanou legislatívnou skratkou v celom zákone a návrhu novely.</w:t>
              <w:br/>
            </w:r>
            <w:r>
              <w:rPr>
                <w:b w:val="off"/>
                <w:color w:val="000000"/>
                <w:rFonts w:ascii="Times New Roman" w:hAnsi="Times New Roman" w:cs="Times New Roman" w:eastAsia="Times New Roman"/>
                <w:sz w:val="24"/>
              </w:rPr>
              <w:t>Odôvodnenie: Hoci nariadenie  Európskeho parlamentu a Rady (EÚ) č. 1093/2010 z 24. novembra 2010, ktorým sa zriaďuje Európsky orgán dohľadu (Európsky orgán pre bankovníctvo) zavádza v čl. 1 dvojaký názov pre uvedený orgán EÚ, je potrebné dodržať pravidlo stručnosti legislatívneho textu, čo je možné docieliť zavedením legislatívnej skratky. V súčasnosti je názov Európsky orgán pre bankovníctvo frekventovanejší aj v oficiálnych dokumentoch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Pripomienka je v rozpore s používanými pojmami v zákone o bankách a v ostatných zákonoch finančného trhu.</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novelizačný bod 6 (§ 6 ods. 13)</w:t>
              <w:br/>
            </w:r>
            <w:r>
              <w:rPr>
                <w:b w:val="off"/>
                <w:color w:val="000000"/>
                <w:rFonts w:ascii="Times New Roman" w:hAnsi="Times New Roman" w:cs="Times New Roman" w:eastAsia="Times New Roman"/>
                <w:sz w:val="24"/>
              </w:rPr>
              <w:t>Odporúčame slovo "Orgánom" nahradiť slovom "Úradom" v súlade s oficiálnym názvom orgánu EÚ v slovenskom jazyku.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Akceptované úpravou príslušného ustanovenia návrhu zákona v súlade s pripomienkou.</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FOV</w:t>
            </w:r>
            <w:r>
              <w:rPr>
                <w:b w:val="off"/>
                <w:color w:val="000000"/>
                <w:rFonts w:ascii="Times New Roman" w:hAnsi="Times New Roman" w:cs="Times New Roman" w:eastAsia="Times New Roman"/>
                <w:sz w:val="24"/>
              </w:rPr>
              <w:t xml:space="preserve"> – Fond ochrany vkladov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29 (29o,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10 (9o,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57 (57o,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30 (30o,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SBA</w:t>
            </w:r>
            <w:r>
              <w:rPr>
                <w:b w:val="off"/>
                <w:color w:val="000000"/>
                <w:rFonts w:ascii="Times New Roman" w:hAnsi="Times New Roman" w:cs="Times New Roman" w:eastAsia="Times New Roman"/>
                <w:sz w:val="24"/>
              </w:rPr>
              <w:t xml:space="preserve"> – Slovenská banková asociácia</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141 (138o, 3z)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15</w:t>
            </w:r>
          </w:p>
        </w:tc>
        <w:tc>
          <w:tcPr>
            <w:vAlign w:val="center"/>
          </w:tcPr>
          <w:p>
            <w:pPr>
              <w:spacing w:after="0"/>
              <w:jc w:val="center"/>
            </w:pPr>
            <w:r>
              <w:rPr>
                <w:b w:val="on"/>
                <w:color w:val="000000"/>
                <w:rFonts w:ascii="Times New Roman" w:hAnsi="Times New Roman" w:cs="Times New Roman" w:eastAsia="Times New Roman"/>
                <w:sz w:val="24"/>
              </w:rPr>
              <w:t>31</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