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14:paraId="0FC13B7C" w14:textId="77777777" w:rsidTr="00BE389C">
        <w:trPr>
          <w:trHeight w:val="534"/>
          <w:jc w:val="center"/>
        </w:trPr>
        <w:tc>
          <w:tcPr>
            <w:tcW w:w="5000" w:type="pct"/>
            <w:gridSpan w:val="3"/>
            <w:tcBorders>
              <w:bottom w:val="single" w:sz="4" w:space="0" w:color="auto"/>
            </w:tcBorders>
            <w:shd w:val="clear" w:color="auto" w:fill="808080" w:themeFill="background1" w:themeFillShade="80"/>
          </w:tcPr>
          <w:p w14:paraId="441E9AAE" w14:textId="77777777"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r w:rsidRPr="002644DE">
              <w:rPr>
                <w:rFonts w:ascii="Times New Roman" w:eastAsia="Calibri" w:hAnsi="Times New Roman" w:cs="Times New Roman"/>
                <w:b/>
                <w:sz w:val="28"/>
                <w:lang w:eastAsia="sk-SK"/>
              </w:rPr>
              <w:t>Analýza sociálnych vplyvov</w:t>
            </w:r>
          </w:p>
          <w:p w14:paraId="6520D3CF" w14:textId="77777777"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376A9ACB" w14:textId="77777777"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14:paraId="27CA71F7" w14:textId="77777777" w:rsidTr="00BE389C">
        <w:trPr>
          <w:jc w:val="center"/>
        </w:trPr>
        <w:tc>
          <w:tcPr>
            <w:tcW w:w="5000" w:type="pct"/>
            <w:gridSpan w:val="3"/>
            <w:tcBorders>
              <w:bottom w:val="single" w:sz="4" w:space="0" w:color="auto"/>
            </w:tcBorders>
            <w:shd w:val="clear" w:color="auto" w:fill="A6A6A6" w:themeFill="background1" w:themeFillShade="A6"/>
          </w:tcPr>
          <w:p w14:paraId="0313C071"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14:paraId="49A454F6" w14:textId="77777777" w:rsidTr="00BE389C">
        <w:trPr>
          <w:jc w:val="center"/>
        </w:trPr>
        <w:tc>
          <w:tcPr>
            <w:tcW w:w="5000" w:type="pct"/>
            <w:gridSpan w:val="3"/>
            <w:tcBorders>
              <w:bottom w:val="single" w:sz="4" w:space="0" w:color="auto"/>
            </w:tcBorders>
            <w:shd w:val="clear" w:color="auto" w:fill="F2F2F2"/>
          </w:tcPr>
          <w:p w14:paraId="1C82CC14"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14:paraId="60DBE059"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14:paraId="6E3AA24D"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14:paraId="5A715A5C" w14:textId="77777777"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14:paraId="0606FD1A" w14:textId="77777777" w:rsidTr="00BE389C">
        <w:trPr>
          <w:trHeight w:val="170"/>
          <w:jc w:val="center"/>
        </w:trPr>
        <w:tc>
          <w:tcPr>
            <w:tcW w:w="129" w:type="pct"/>
            <w:tcBorders>
              <w:top w:val="single" w:sz="4" w:space="0" w:color="auto"/>
              <w:bottom w:val="single" w:sz="4" w:space="0" w:color="auto"/>
            </w:tcBorders>
            <w:shd w:val="clear" w:color="auto" w:fill="DDDDDD"/>
            <w:vAlign w:val="center"/>
          </w:tcPr>
          <w:p w14:paraId="405C3D8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2DB14DEB" w14:textId="77777777"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14:paraId="4AFC2536" w14:textId="77777777" w:rsidTr="00BE389C">
        <w:trPr>
          <w:trHeight w:val="759"/>
          <w:jc w:val="center"/>
        </w:trPr>
        <w:tc>
          <w:tcPr>
            <w:tcW w:w="129" w:type="pct"/>
            <w:tcBorders>
              <w:top w:val="single" w:sz="4" w:space="0" w:color="auto"/>
              <w:bottom w:val="single" w:sz="4" w:space="0" w:color="auto"/>
            </w:tcBorders>
            <w:shd w:val="clear" w:color="auto" w:fill="auto"/>
            <w:vAlign w:val="center"/>
          </w:tcPr>
          <w:p w14:paraId="552881EC"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14:paraId="0E0D0C69" w14:textId="77777777" w:rsidR="002644DE" w:rsidRPr="002644DE" w:rsidRDefault="002644DE" w:rsidP="00C52EAA">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77B69D04" w14:textId="177FEC5B" w:rsidR="00BE1871" w:rsidRPr="00AD6951" w:rsidRDefault="00BE1871" w:rsidP="00C52EAA">
            <w:pPr>
              <w:spacing w:after="0" w:line="240" w:lineRule="auto"/>
              <w:contextualSpacing/>
              <w:jc w:val="both"/>
              <w:rPr>
                <w:rFonts w:ascii="Times New Roman" w:eastAsia="Calibri" w:hAnsi="Times New Roman" w:cs="Times New Roman"/>
                <w:sz w:val="20"/>
                <w:szCs w:val="20"/>
                <w:lang w:eastAsia="sk-SK"/>
              </w:rPr>
            </w:pPr>
            <w:r w:rsidRPr="00AD6951">
              <w:rPr>
                <w:rFonts w:ascii="Times New Roman" w:eastAsia="Calibri" w:hAnsi="Times New Roman" w:cs="Times New Roman"/>
                <w:sz w:val="20"/>
                <w:szCs w:val="20"/>
                <w:lang w:eastAsia="sk-SK"/>
              </w:rPr>
              <w:t>Návrh zákona zakazuje poskytovať spotrebiteľský úver spotrebiteľovi bez jeho predchádzajúcej žiadosti o spotrebiteľský úver a bez jeho výslovného súhlasu.</w:t>
            </w:r>
            <w:r w:rsidR="00E8540E">
              <w:rPr>
                <w:rFonts w:ascii="Times New Roman" w:eastAsia="Calibri" w:hAnsi="Times New Roman" w:cs="Times New Roman"/>
                <w:sz w:val="20"/>
                <w:szCs w:val="20"/>
                <w:lang w:eastAsia="sk-SK"/>
              </w:rPr>
              <w:t xml:space="preserve"> </w:t>
            </w:r>
            <w:r w:rsidRPr="00AD6951">
              <w:rPr>
                <w:rFonts w:ascii="Times New Roman" w:eastAsia="Calibri" w:hAnsi="Times New Roman" w:cs="Times New Roman"/>
                <w:sz w:val="20"/>
                <w:szCs w:val="20"/>
                <w:lang w:eastAsia="sk-SK"/>
              </w:rPr>
              <w:t xml:space="preserve">Návrh zákona </w:t>
            </w:r>
            <w:r w:rsidRPr="00E8540E">
              <w:rPr>
                <w:rFonts w:ascii="Times New Roman" w:eastAsia="Calibri" w:hAnsi="Times New Roman" w:cs="Times New Roman"/>
                <w:sz w:val="20"/>
                <w:szCs w:val="20"/>
                <w:lang w:eastAsia="sk-SK"/>
              </w:rPr>
              <w:t>zakazuje aj využívať štandardné možnosti na vyvodenie súhlasu, najmä vo forme vopred označených polí, a obchádzať ustanovenia zákona spôsobom formulácie zmluvy o spotrebiteľskom úvere, r</w:t>
            </w:r>
            <w:r w:rsidRPr="00AD6951">
              <w:rPr>
                <w:rFonts w:ascii="Times New Roman" w:eastAsia="Calibri" w:hAnsi="Times New Roman" w:cs="Times New Roman"/>
                <w:sz w:val="20"/>
                <w:szCs w:val="20"/>
                <w:lang w:eastAsia="sk-SK"/>
              </w:rPr>
              <w:t>esp. predkladať spotrebiteľovi návrhy zmlúv, ktorých zrejmým účelom je obchádzanie ustanovení zákona.</w:t>
            </w:r>
            <w:r w:rsidR="00E8540E" w:rsidRPr="00AD6951">
              <w:rPr>
                <w:rFonts w:ascii="Times New Roman" w:eastAsia="Calibri" w:hAnsi="Times New Roman" w:cs="Times New Roman"/>
                <w:sz w:val="20"/>
                <w:szCs w:val="20"/>
                <w:lang w:eastAsia="sk-SK"/>
              </w:rPr>
              <w:t xml:space="preserve"> Uvedené ustanovenia majú zabrániť tomu, aby spotrebiteľ podpísal zmluvu o spotrebiteľskom úvere, keď oň neprejavil záujem, resp. aby podpísal nevýhodnú zmluvu o spotrebiteľskom úvere. </w:t>
            </w:r>
          </w:p>
          <w:p w14:paraId="0DE696CB" w14:textId="77777777" w:rsidR="00B479AC" w:rsidRPr="000912C3" w:rsidRDefault="00B479AC" w:rsidP="00AD6951">
            <w:pPr>
              <w:spacing w:after="0" w:line="240" w:lineRule="auto"/>
              <w:contextualSpacing/>
              <w:jc w:val="both"/>
              <w:rPr>
                <w:rFonts w:ascii="Times New Roman" w:eastAsia="Calibri" w:hAnsi="Times New Roman" w:cs="Times New Roman"/>
                <w:sz w:val="20"/>
                <w:szCs w:val="20"/>
                <w:lang w:eastAsia="sk-SK"/>
              </w:rPr>
            </w:pPr>
          </w:p>
          <w:p w14:paraId="28552145" w14:textId="5DC1C56E" w:rsidR="00916446" w:rsidRDefault="00630F3E" w:rsidP="00C52EAA">
            <w:pPr>
              <w:spacing w:after="0" w:line="240" w:lineRule="auto"/>
              <w:contextualSpacing/>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Vplyv na zníženie výdavkov môže mať aj zákaz pre veriteľa </w:t>
            </w:r>
            <w:r w:rsidR="001D6ED0">
              <w:rPr>
                <w:rFonts w:ascii="Times New Roman" w:eastAsia="Calibri" w:hAnsi="Times New Roman" w:cs="Times New Roman"/>
                <w:sz w:val="20"/>
                <w:szCs w:val="20"/>
                <w:lang w:eastAsia="sk-SK"/>
              </w:rPr>
              <w:t xml:space="preserve">dojednávať so </w:t>
            </w:r>
            <w:r>
              <w:rPr>
                <w:rFonts w:ascii="Times New Roman" w:eastAsia="Calibri" w:hAnsi="Times New Roman" w:cs="Times New Roman"/>
                <w:sz w:val="20"/>
                <w:szCs w:val="20"/>
                <w:lang w:eastAsia="sk-SK"/>
              </w:rPr>
              <w:t xml:space="preserve">spotrebiteľom </w:t>
            </w:r>
            <w:r w:rsidR="001D6ED0">
              <w:rPr>
                <w:rFonts w:ascii="Times New Roman" w:eastAsia="Calibri" w:hAnsi="Times New Roman" w:cs="Times New Roman"/>
                <w:sz w:val="20"/>
                <w:szCs w:val="20"/>
                <w:lang w:eastAsia="sk-SK"/>
              </w:rPr>
              <w:t xml:space="preserve">platenie poplatkov okrem poplatkov súvisiacich s </w:t>
            </w:r>
            <w:r w:rsidRPr="00630F3E">
              <w:rPr>
                <w:rFonts w:ascii="Times New Roman" w:eastAsia="Calibri" w:hAnsi="Times New Roman" w:cs="Times New Roman"/>
                <w:sz w:val="20"/>
                <w:szCs w:val="20"/>
                <w:lang w:eastAsia="sk-SK"/>
              </w:rPr>
              <w:t xml:space="preserve">poskytovaním </w:t>
            </w:r>
            <w:r w:rsidR="001D6ED0">
              <w:rPr>
                <w:rFonts w:ascii="Times New Roman" w:eastAsia="Calibri" w:hAnsi="Times New Roman" w:cs="Times New Roman"/>
                <w:sz w:val="20"/>
                <w:szCs w:val="20"/>
                <w:lang w:eastAsia="sk-SK"/>
              </w:rPr>
              <w:t>spotrebiteľského</w:t>
            </w:r>
            <w:r w:rsidRPr="00630F3E">
              <w:rPr>
                <w:rFonts w:ascii="Times New Roman" w:eastAsia="Calibri" w:hAnsi="Times New Roman" w:cs="Times New Roman"/>
                <w:sz w:val="20"/>
                <w:szCs w:val="20"/>
                <w:lang w:eastAsia="sk-SK"/>
              </w:rPr>
              <w:t xml:space="preserve"> </w:t>
            </w:r>
            <w:r w:rsidR="001D6ED0">
              <w:rPr>
                <w:rFonts w:ascii="Times New Roman" w:eastAsia="Calibri" w:hAnsi="Times New Roman" w:cs="Times New Roman"/>
                <w:sz w:val="20"/>
                <w:szCs w:val="20"/>
                <w:lang w:eastAsia="sk-SK"/>
              </w:rPr>
              <w:t>úveru, s vedením platobného účtu alebo sporiaceho účtu, ak veriteľ požaduje jeho zriadenie, s poistením, ktoré súvisí so zmluvou o spotrebiteľskom úvere, s dodatočnými nákladmi veriteľa v súvislosti s omeškaním spotrebiteľa alebo predčasným splatením spotrebiteľského úveru</w:t>
            </w:r>
            <w:r w:rsidR="00107A58">
              <w:rPr>
                <w:rFonts w:ascii="Times New Roman" w:eastAsia="Calibri" w:hAnsi="Times New Roman" w:cs="Times New Roman"/>
                <w:sz w:val="20"/>
                <w:szCs w:val="20"/>
                <w:lang w:eastAsia="sk-SK"/>
              </w:rPr>
              <w:t>, ako aj to, že registre údajov o spotrebiteľských úveroch obsahujú viaceré informácie, ktoré v konečnom dôsledku m</w:t>
            </w:r>
            <w:r w:rsidR="00DD4C51">
              <w:rPr>
                <w:rFonts w:ascii="Times New Roman" w:eastAsia="Calibri" w:hAnsi="Times New Roman" w:cs="Times New Roman"/>
                <w:sz w:val="20"/>
                <w:szCs w:val="20"/>
                <w:lang w:eastAsia="sk-SK"/>
              </w:rPr>
              <w:t>ôžu</w:t>
            </w:r>
            <w:r w:rsidR="00107A58">
              <w:rPr>
                <w:rFonts w:ascii="Times New Roman" w:eastAsia="Calibri" w:hAnsi="Times New Roman" w:cs="Times New Roman"/>
                <w:sz w:val="20"/>
                <w:szCs w:val="20"/>
                <w:lang w:eastAsia="sk-SK"/>
              </w:rPr>
              <w:t xml:space="preserve"> zabrániť ďalšiemu nadmernému zadlžovaniu spotrebiteľov. </w:t>
            </w:r>
            <w:r w:rsidR="00DD4C51">
              <w:rPr>
                <w:rFonts w:ascii="Times New Roman" w:eastAsia="Calibri" w:hAnsi="Times New Roman" w:cs="Times New Roman"/>
                <w:sz w:val="20"/>
                <w:szCs w:val="20"/>
                <w:lang w:eastAsia="sk-SK"/>
              </w:rPr>
              <w:t xml:space="preserve">Pozitívny vplyv na zníženie výdavkov predstavuje aj zákaz pre finančného agenta </w:t>
            </w:r>
            <w:r w:rsidR="00DD4C51" w:rsidRPr="00DD4C51">
              <w:rPr>
                <w:rFonts w:ascii="Times New Roman" w:eastAsia="Calibri" w:hAnsi="Times New Roman" w:cs="Times New Roman"/>
                <w:sz w:val="20"/>
                <w:szCs w:val="20"/>
                <w:lang w:eastAsia="sk-SK"/>
              </w:rPr>
              <w:t>v súvislosti s vykonávaním finančného sprostredkovania prijímať od neprofesionálneho klienta akékoľvek peňažné plnenie alebo nepeňažné plnenie</w:t>
            </w:r>
            <w:r w:rsidR="001D6ED0">
              <w:rPr>
                <w:rFonts w:ascii="Times New Roman" w:eastAsia="Calibri" w:hAnsi="Times New Roman" w:cs="Times New Roman"/>
                <w:sz w:val="20"/>
                <w:szCs w:val="20"/>
                <w:lang w:eastAsia="sk-SK"/>
              </w:rPr>
              <w:t xml:space="preserve"> (okrem prípadu poskytovania poradenských služieb)</w:t>
            </w:r>
            <w:r w:rsidR="00DD4C51">
              <w:rPr>
                <w:rFonts w:ascii="Times New Roman" w:eastAsia="Calibri" w:hAnsi="Times New Roman" w:cs="Times New Roman"/>
                <w:sz w:val="20"/>
                <w:szCs w:val="20"/>
                <w:lang w:eastAsia="sk-SK"/>
              </w:rPr>
              <w:t xml:space="preserve">, a úprava mechanizmu výpočtu </w:t>
            </w:r>
            <w:r w:rsidR="00DD4C51" w:rsidRPr="00DD4C51">
              <w:rPr>
                <w:rFonts w:ascii="Times New Roman" w:eastAsia="Calibri" w:hAnsi="Times New Roman" w:cs="Times New Roman"/>
                <w:sz w:val="20"/>
                <w:szCs w:val="20"/>
                <w:lang w:eastAsia="sk-SK"/>
              </w:rPr>
              <w:t xml:space="preserve">poplatkov a dodatočných poplatkov v prípade omeškania. </w:t>
            </w:r>
            <w:r w:rsidR="00DD4C51">
              <w:rPr>
                <w:rFonts w:ascii="Times New Roman" w:eastAsia="Calibri" w:hAnsi="Times New Roman" w:cs="Times New Roman"/>
                <w:sz w:val="20"/>
                <w:szCs w:val="20"/>
                <w:lang w:eastAsia="sk-SK"/>
              </w:rPr>
              <w:t xml:space="preserve"> </w:t>
            </w:r>
          </w:p>
          <w:p w14:paraId="24B28CC2" w14:textId="77777777" w:rsidR="00031E1C" w:rsidRDefault="00031E1C" w:rsidP="00C52EAA">
            <w:pPr>
              <w:spacing w:after="0" w:line="240" w:lineRule="auto"/>
              <w:contextualSpacing/>
              <w:jc w:val="both"/>
              <w:rPr>
                <w:rFonts w:ascii="Times New Roman" w:eastAsia="Calibri" w:hAnsi="Times New Roman" w:cs="Times New Roman"/>
                <w:sz w:val="20"/>
                <w:szCs w:val="20"/>
                <w:lang w:eastAsia="sk-SK"/>
              </w:rPr>
            </w:pPr>
          </w:p>
          <w:p w14:paraId="39C7FEA0" w14:textId="77777777" w:rsidR="00031E1C" w:rsidRDefault="00031E1C" w:rsidP="00031E1C">
            <w:pPr>
              <w:spacing w:after="0" w:line="240" w:lineRule="auto"/>
              <w:contextualSpacing/>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Rovnako k lepším finančným rozhodnutiam spotrebiteľov, a tým aj k zníženiu výdavkov domácností môže viesť:</w:t>
            </w:r>
          </w:p>
          <w:p w14:paraId="48800E93" w14:textId="77777777" w:rsidR="00031E1C" w:rsidRDefault="00031E1C" w:rsidP="00031E1C">
            <w:pPr>
              <w:pStyle w:val="Odsekzoznamu"/>
              <w:numPr>
                <w:ilvl w:val="0"/>
                <w:numId w:val="15"/>
              </w:num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Zákaz reklamnej a marketingovej komunikácie, ktorá je klamlivá, vytvára nepravdivé očakávania spotrebiteľa a nie je čestná a jasná.</w:t>
            </w:r>
          </w:p>
          <w:p w14:paraId="73BBFE0F" w14:textId="77777777" w:rsidR="00031E1C" w:rsidRDefault="00031E1C" w:rsidP="00031E1C">
            <w:pPr>
              <w:pStyle w:val="Odsekzoznamu"/>
              <w:numPr>
                <w:ilvl w:val="0"/>
                <w:numId w:val="15"/>
              </w:num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Upozornenie, že požičanie peňazí stojí peniaze.</w:t>
            </w:r>
          </w:p>
          <w:p w14:paraId="25A1CB2C" w14:textId="038466E5" w:rsidR="00D04C1A" w:rsidRPr="00AD6951" w:rsidRDefault="00031E1C" w:rsidP="00AD6951">
            <w:pPr>
              <w:pStyle w:val="Odsekzoznamu"/>
              <w:numPr>
                <w:ilvl w:val="0"/>
                <w:numId w:val="15"/>
              </w:num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Povinnosť bezplatného poskytovania informácií</w:t>
            </w:r>
            <w:r w:rsidR="0002659C">
              <w:rPr>
                <w:rFonts w:ascii="Times New Roman" w:eastAsia="Calibri" w:hAnsi="Times New Roman" w:cs="Times New Roman"/>
                <w:sz w:val="20"/>
                <w:szCs w:val="20"/>
                <w:lang w:eastAsia="sk-SK"/>
              </w:rPr>
              <w:t xml:space="preserve"> (spotrebiteľovi so zdravotným postihnutím sa informácie poskytnú vo vhodnom a prístupnom formáte)</w:t>
            </w:r>
            <w:r>
              <w:rPr>
                <w:rFonts w:ascii="Times New Roman" w:eastAsia="Calibri" w:hAnsi="Times New Roman" w:cs="Times New Roman"/>
                <w:sz w:val="20"/>
                <w:szCs w:val="20"/>
                <w:lang w:eastAsia="sk-SK"/>
              </w:rPr>
              <w:t>.</w:t>
            </w:r>
          </w:p>
        </w:tc>
      </w:tr>
      <w:tr w:rsidR="002644DE" w:rsidRPr="002644DE" w14:paraId="185AA9C5" w14:textId="77777777" w:rsidTr="00BE389C">
        <w:trPr>
          <w:trHeight w:val="397"/>
          <w:jc w:val="center"/>
        </w:trPr>
        <w:tc>
          <w:tcPr>
            <w:tcW w:w="129" w:type="pct"/>
            <w:vMerge w:val="restart"/>
            <w:tcBorders>
              <w:top w:val="single" w:sz="4" w:space="0" w:color="auto"/>
            </w:tcBorders>
            <w:shd w:val="clear" w:color="auto" w:fill="auto"/>
            <w:vAlign w:val="center"/>
          </w:tcPr>
          <w:p w14:paraId="462C545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2DAD8C7E"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75F3784A" w14:textId="77777777" w:rsidR="002644DE" w:rsidRPr="00825833" w:rsidRDefault="00825833" w:rsidP="002644DE">
            <w:pPr>
              <w:spacing w:after="0" w:line="240" w:lineRule="auto"/>
              <w:rPr>
                <w:rFonts w:ascii="Times New Roman" w:eastAsia="Calibri" w:hAnsi="Times New Roman" w:cs="Times New Roman"/>
                <w:sz w:val="20"/>
                <w:szCs w:val="20"/>
                <w:lang w:eastAsia="sk-SK"/>
              </w:rPr>
            </w:pPr>
            <w:r w:rsidRPr="00AE4C7A">
              <w:rPr>
                <w:rFonts w:ascii="Times New Roman" w:eastAsia="Calibri" w:hAnsi="Times New Roman" w:cs="Times New Roman"/>
                <w:sz w:val="20"/>
                <w:szCs w:val="20"/>
                <w:lang w:eastAsia="sk-SK"/>
              </w:rPr>
              <w:t>Finanční spotrebitelia</w:t>
            </w:r>
          </w:p>
        </w:tc>
      </w:tr>
      <w:tr w:rsidR="002644DE" w:rsidRPr="002644DE" w14:paraId="25F35E76" w14:textId="77777777" w:rsidTr="00BE389C">
        <w:trPr>
          <w:trHeight w:val="397"/>
          <w:jc w:val="center"/>
        </w:trPr>
        <w:tc>
          <w:tcPr>
            <w:tcW w:w="129" w:type="pct"/>
            <w:vMerge/>
            <w:shd w:val="clear" w:color="auto" w:fill="auto"/>
            <w:vAlign w:val="center"/>
          </w:tcPr>
          <w:p w14:paraId="692F99D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622DE4E9"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15B398A3"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150F5EAC" w14:textId="77777777" w:rsidTr="00BE389C">
        <w:trPr>
          <w:trHeight w:val="454"/>
          <w:jc w:val="center"/>
        </w:trPr>
        <w:tc>
          <w:tcPr>
            <w:tcW w:w="129" w:type="pct"/>
            <w:tcBorders>
              <w:top w:val="dotted" w:sz="4" w:space="0" w:color="auto"/>
            </w:tcBorders>
            <w:shd w:val="clear" w:color="auto" w:fill="F2F2F2"/>
            <w:vAlign w:val="center"/>
          </w:tcPr>
          <w:p w14:paraId="047BA60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14:paraId="169CB66E"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3765022D" w14:textId="77777777" w:rsidTr="00BE389C">
        <w:trPr>
          <w:trHeight w:val="680"/>
          <w:jc w:val="center"/>
        </w:trPr>
        <w:tc>
          <w:tcPr>
            <w:tcW w:w="129" w:type="pct"/>
            <w:vMerge w:val="restart"/>
            <w:tcBorders>
              <w:top w:val="dotted" w:sz="4" w:space="0" w:color="auto"/>
            </w:tcBorders>
            <w:shd w:val="clear" w:color="auto" w:fill="auto"/>
            <w:vAlign w:val="center"/>
          </w:tcPr>
          <w:p w14:paraId="09AFB59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34D72CAA"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3DD94D6D"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547C1601"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1BDB59B6" w14:textId="77777777" w:rsidTr="00BE389C">
        <w:trPr>
          <w:trHeight w:val="680"/>
          <w:jc w:val="center"/>
        </w:trPr>
        <w:tc>
          <w:tcPr>
            <w:tcW w:w="129" w:type="pct"/>
            <w:vMerge/>
            <w:shd w:val="clear" w:color="auto" w:fill="auto"/>
            <w:vAlign w:val="center"/>
          </w:tcPr>
          <w:p w14:paraId="39113BB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652C73E8"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75676D5C"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325A166A" w14:textId="77777777" w:rsidTr="00BE389C">
        <w:trPr>
          <w:trHeight w:val="397"/>
          <w:jc w:val="center"/>
        </w:trPr>
        <w:tc>
          <w:tcPr>
            <w:tcW w:w="129" w:type="pct"/>
            <w:tcBorders>
              <w:top w:val="dotted" w:sz="4" w:space="0" w:color="auto"/>
            </w:tcBorders>
            <w:shd w:val="clear" w:color="auto" w:fill="auto"/>
            <w:vAlign w:val="center"/>
          </w:tcPr>
          <w:p w14:paraId="490D553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1F89E383"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07E9E09A" w14:textId="2C7A5FAF" w:rsidR="002644DE" w:rsidRPr="002644DE" w:rsidRDefault="004729A1" w:rsidP="00C52EAA">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Nie je možné kvanti</w:t>
            </w:r>
            <w:r w:rsidR="00825833" w:rsidRPr="00825833">
              <w:rPr>
                <w:rFonts w:ascii="Times New Roman" w:eastAsia="Calibri" w:hAnsi="Times New Roman" w:cs="Times New Roman"/>
                <w:sz w:val="20"/>
                <w:szCs w:val="20"/>
                <w:lang w:eastAsia="sk-SK"/>
              </w:rPr>
              <w:t>fikovať</w:t>
            </w:r>
            <w:r w:rsidR="00630F3E">
              <w:rPr>
                <w:rFonts w:ascii="Times New Roman" w:eastAsia="Calibri" w:hAnsi="Times New Roman" w:cs="Times New Roman"/>
                <w:sz w:val="20"/>
                <w:szCs w:val="20"/>
                <w:lang w:eastAsia="sk-SK"/>
              </w:rPr>
              <w:t xml:space="preserve"> z dôvodu, že nie sú k dispozícii žiadne údaje</w:t>
            </w:r>
            <w:r w:rsidR="00C52EAA">
              <w:rPr>
                <w:rFonts w:ascii="Times New Roman" w:eastAsia="Calibri" w:hAnsi="Times New Roman" w:cs="Times New Roman"/>
                <w:sz w:val="20"/>
                <w:szCs w:val="20"/>
                <w:lang w:eastAsia="sk-SK"/>
              </w:rPr>
              <w:t>,</w:t>
            </w:r>
            <w:r w:rsidR="00630F3E">
              <w:rPr>
                <w:rFonts w:ascii="Times New Roman" w:eastAsia="Calibri" w:hAnsi="Times New Roman" w:cs="Times New Roman"/>
                <w:sz w:val="20"/>
                <w:szCs w:val="20"/>
                <w:lang w:eastAsia="sk-SK"/>
              </w:rPr>
              <w:t xml:space="preserve"> na základe ktorých by bolo možné kvantifikáciu vykonať</w:t>
            </w:r>
            <w:r w:rsidR="00825833" w:rsidRPr="00825833">
              <w:rPr>
                <w:rFonts w:ascii="Times New Roman" w:eastAsia="Calibri" w:hAnsi="Times New Roman" w:cs="Times New Roman"/>
                <w:sz w:val="20"/>
                <w:szCs w:val="20"/>
                <w:lang w:eastAsia="sk-SK"/>
              </w:rPr>
              <w:t>.</w:t>
            </w:r>
            <w:r w:rsidR="00653687">
              <w:rPr>
                <w:rFonts w:ascii="Times New Roman" w:eastAsia="Calibri" w:hAnsi="Times New Roman" w:cs="Times New Roman"/>
                <w:sz w:val="20"/>
                <w:szCs w:val="20"/>
                <w:lang w:eastAsia="sk-SK"/>
              </w:rPr>
              <w:t xml:space="preserve"> Najmä nie je možné </w:t>
            </w:r>
            <w:r w:rsidR="00653687">
              <w:rPr>
                <w:rFonts w:ascii="Times New Roman" w:eastAsia="Calibri" w:hAnsi="Times New Roman" w:cs="Times New Roman"/>
                <w:sz w:val="20"/>
                <w:szCs w:val="20"/>
                <w:lang w:eastAsia="sk-SK"/>
              </w:rPr>
              <w:lastRenderedPageBreak/>
              <w:t xml:space="preserve">momentálne určiť do akej miery budú mať jednotlivé opatrenia vplyv na spotrebiteľov. </w:t>
            </w:r>
          </w:p>
        </w:tc>
      </w:tr>
      <w:tr w:rsidR="002644DE" w:rsidRPr="002644DE" w14:paraId="64ABF91B" w14:textId="77777777" w:rsidTr="00BE389C">
        <w:trPr>
          <w:trHeight w:val="170"/>
          <w:jc w:val="center"/>
        </w:trPr>
        <w:tc>
          <w:tcPr>
            <w:tcW w:w="129" w:type="pct"/>
            <w:tcBorders>
              <w:top w:val="nil"/>
              <w:bottom w:val="single" w:sz="4" w:space="0" w:color="auto"/>
            </w:tcBorders>
            <w:shd w:val="clear" w:color="auto" w:fill="F2F2F2"/>
            <w:vAlign w:val="center"/>
          </w:tcPr>
          <w:p w14:paraId="451AA94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g)</w:t>
            </w:r>
          </w:p>
        </w:tc>
        <w:tc>
          <w:tcPr>
            <w:tcW w:w="4871" w:type="pct"/>
            <w:gridSpan w:val="2"/>
            <w:tcBorders>
              <w:top w:val="nil"/>
              <w:bottom w:val="single" w:sz="4" w:space="0" w:color="auto"/>
            </w:tcBorders>
            <w:shd w:val="clear" w:color="auto" w:fill="F2F2F2"/>
            <w:vAlign w:val="center"/>
          </w:tcPr>
          <w:p w14:paraId="2ADC577E" w14:textId="77777777"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14:paraId="621542AE"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14:paraId="582CEB3D" w14:textId="77777777" w:rsidTr="00BE389C">
        <w:trPr>
          <w:trHeight w:val="759"/>
          <w:jc w:val="center"/>
        </w:trPr>
        <w:tc>
          <w:tcPr>
            <w:tcW w:w="129" w:type="pct"/>
            <w:tcBorders>
              <w:top w:val="single" w:sz="4" w:space="0" w:color="auto"/>
              <w:bottom w:val="single" w:sz="4" w:space="0" w:color="auto"/>
            </w:tcBorders>
            <w:shd w:val="clear" w:color="auto" w:fill="auto"/>
            <w:vAlign w:val="center"/>
          </w:tcPr>
          <w:p w14:paraId="3480703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3E5E3EBB"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409967B9" w14:textId="46153524" w:rsidR="002644DE" w:rsidRPr="002644DE" w:rsidRDefault="00031E1C"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V</w:t>
            </w:r>
            <w:r w:rsidRPr="00031E1C">
              <w:rPr>
                <w:rFonts w:ascii="Times New Roman" w:eastAsia="Calibri" w:hAnsi="Times New Roman" w:cs="Times New Roman"/>
                <w:sz w:val="20"/>
                <w:szCs w:val="20"/>
                <w:lang w:eastAsia="sk-SK"/>
              </w:rPr>
              <w:t>plyv je rovnaký ako v bode 4.1.1</w:t>
            </w:r>
          </w:p>
        </w:tc>
      </w:tr>
      <w:tr w:rsidR="002644DE" w:rsidRPr="002644DE" w14:paraId="1F1360F4" w14:textId="77777777" w:rsidTr="00BE389C">
        <w:trPr>
          <w:trHeight w:val="397"/>
          <w:jc w:val="center"/>
        </w:trPr>
        <w:tc>
          <w:tcPr>
            <w:tcW w:w="129" w:type="pct"/>
            <w:vMerge w:val="restart"/>
            <w:tcBorders>
              <w:top w:val="single" w:sz="4" w:space="0" w:color="auto"/>
            </w:tcBorders>
            <w:shd w:val="clear" w:color="auto" w:fill="auto"/>
            <w:vAlign w:val="center"/>
          </w:tcPr>
          <w:p w14:paraId="4E49647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70A10DBD"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6D98EEF0" w14:textId="77777777" w:rsidR="002644DE" w:rsidRPr="00AE4C7A" w:rsidRDefault="00825833" w:rsidP="002644DE">
            <w:pPr>
              <w:spacing w:after="0" w:line="240" w:lineRule="auto"/>
              <w:rPr>
                <w:rFonts w:ascii="Times New Roman" w:eastAsia="Calibri" w:hAnsi="Times New Roman" w:cs="Times New Roman"/>
                <w:i/>
                <w:sz w:val="20"/>
                <w:szCs w:val="20"/>
                <w:lang w:eastAsia="sk-SK"/>
              </w:rPr>
            </w:pPr>
            <w:r w:rsidRPr="00AE4C7A">
              <w:rPr>
                <w:rFonts w:ascii="Times New Roman" w:eastAsia="Calibri" w:hAnsi="Times New Roman" w:cs="Times New Roman"/>
                <w:sz w:val="20"/>
                <w:szCs w:val="20"/>
                <w:lang w:eastAsia="sk-SK"/>
              </w:rPr>
              <w:t>Finanční spotrebitelia</w:t>
            </w:r>
          </w:p>
        </w:tc>
      </w:tr>
      <w:tr w:rsidR="002644DE" w:rsidRPr="002644DE" w14:paraId="45B4824A" w14:textId="77777777" w:rsidTr="00BE389C">
        <w:trPr>
          <w:trHeight w:val="397"/>
          <w:jc w:val="center"/>
        </w:trPr>
        <w:tc>
          <w:tcPr>
            <w:tcW w:w="129" w:type="pct"/>
            <w:vMerge/>
            <w:shd w:val="clear" w:color="auto" w:fill="auto"/>
            <w:vAlign w:val="center"/>
          </w:tcPr>
          <w:p w14:paraId="457B3C8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23CE7A69"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433AE6C9"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6A34A187" w14:textId="77777777" w:rsidTr="00BE389C">
        <w:trPr>
          <w:trHeight w:val="397"/>
          <w:jc w:val="center"/>
        </w:trPr>
        <w:tc>
          <w:tcPr>
            <w:tcW w:w="129" w:type="pct"/>
            <w:tcBorders>
              <w:top w:val="dotted" w:sz="4" w:space="0" w:color="auto"/>
            </w:tcBorders>
            <w:shd w:val="clear" w:color="auto" w:fill="F2F2F2"/>
            <w:vAlign w:val="center"/>
          </w:tcPr>
          <w:p w14:paraId="38F71F7C"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14:paraId="7B7FA046"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577F31A7" w14:textId="77777777" w:rsidTr="00BE389C">
        <w:trPr>
          <w:trHeight w:val="680"/>
          <w:jc w:val="center"/>
        </w:trPr>
        <w:tc>
          <w:tcPr>
            <w:tcW w:w="129" w:type="pct"/>
            <w:vMerge w:val="restart"/>
            <w:tcBorders>
              <w:top w:val="dotted" w:sz="4" w:space="0" w:color="auto"/>
            </w:tcBorders>
            <w:shd w:val="clear" w:color="auto" w:fill="auto"/>
            <w:vAlign w:val="center"/>
          </w:tcPr>
          <w:p w14:paraId="00259AE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3DB34D41"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22A79434"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11ED4BBC"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06921956" w14:textId="77777777" w:rsidTr="00BE389C">
        <w:trPr>
          <w:trHeight w:val="680"/>
          <w:jc w:val="center"/>
        </w:trPr>
        <w:tc>
          <w:tcPr>
            <w:tcW w:w="129" w:type="pct"/>
            <w:vMerge/>
            <w:shd w:val="clear" w:color="auto" w:fill="auto"/>
            <w:vAlign w:val="center"/>
          </w:tcPr>
          <w:p w14:paraId="45A0C30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436620C8"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40047891"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5F3C6400" w14:textId="77777777" w:rsidTr="00BE389C">
        <w:trPr>
          <w:trHeight w:val="350"/>
          <w:jc w:val="center"/>
        </w:trPr>
        <w:tc>
          <w:tcPr>
            <w:tcW w:w="129" w:type="pct"/>
            <w:tcBorders>
              <w:top w:val="dotted" w:sz="4" w:space="0" w:color="auto"/>
              <w:bottom w:val="single" w:sz="4" w:space="0" w:color="auto"/>
            </w:tcBorders>
            <w:shd w:val="clear" w:color="auto" w:fill="auto"/>
            <w:vAlign w:val="center"/>
          </w:tcPr>
          <w:p w14:paraId="2DE2B6B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6D891081"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3E4B0645" w14:textId="0A15B8DE" w:rsidR="002644DE" w:rsidRPr="002644DE" w:rsidRDefault="00653687" w:rsidP="00C52EAA">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Nie je možné kvanti</w:t>
            </w:r>
            <w:r w:rsidRPr="00825833">
              <w:rPr>
                <w:rFonts w:ascii="Times New Roman" w:eastAsia="Calibri" w:hAnsi="Times New Roman" w:cs="Times New Roman"/>
                <w:sz w:val="20"/>
                <w:szCs w:val="20"/>
                <w:lang w:eastAsia="sk-SK"/>
              </w:rPr>
              <w:t>fikovať</w:t>
            </w:r>
            <w:r>
              <w:rPr>
                <w:rFonts w:ascii="Times New Roman" w:eastAsia="Calibri" w:hAnsi="Times New Roman" w:cs="Times New Roman"/>
                <w:sz w:val="20"/>
                <w:szCs w:val="20"/>
                <w:lang w:eastAsia="sk-SK"/>
              </w:rPr>
              <w:t xml:space="preserve"> z dôvodu, že nie sú k dispozícii žiadne údaje</w:t>
            </w:r>
            <w:r w:rsidR="00C52EAA">
              <w:rPr>
                <w:rFonts w:ascii="Times New Roman" w:eastAsia="Calibri" w:hAnsi="Times New Roman" w:cs="Times New Roman"/>
                <w:sz w:val="20"/>
                <w:szCs w:val="20"/>
                <w:lang w:eastAsia="sk-SK"/>
              </w:rPr>
              <w:t>,</w:t>
            </w:r>
            <w:r>
              <w:rPr>
                <w:rFonts w:ascii="Times New Roman" w:eastAsia="Calibri" w:hAnsi="Times New Roman" w:cs="Times New Roman"/>
                <w:sz w:val="20"/>
                <w:szCs w:val="20"/>
                <w:lang w:eastAsia="sk-SK"/>
              </w:rPr>
              <w:t xml:space="preserve"> na základe ktorých by bolo možné kvantifikáciu vykonať</w:t>
            </w:r>
            <w:r w:rsidRPr="00825833">
              <w:rPr>
                <w:rFonts w:ascii="Times New Roman" w:eastAsia="Calibri" w:hAnsi="Times New Roman" w:cs="Times New Roman"/>
                <w:sz w:val="20"/>
                <w:szCs w:val="20"/>
                <w:lang w:eastAsia="sk-SK"/>
              </w:rPr>
              <w:t>.</w:t>
            </w:r>
            <w:r>
              <w:rPr>
                <w:rFonts w:ascii="Times New Roman" w:eastAsia="Calibri" w:hAnsi="Times New Roman" w:cs="Times New Roman"/>
                <w:sz w:val="20"/>
                <w:szCs w:val="20"/>
                <w:lang w:eastAsia="sk-SK"/>
              </w:rPr>
              <w:t xml:space="preserve"> Najmä nie je možné momentálne určiť do akej miery budú mať jednotlivé opatrenia vplyv na spotrebiteľov.</w:t>
            </w:r>
          </w:p>
        </w:tc>
      </w:tr>
      <w:tr w:rsidR="002644DE" w:rsidRPr="002644DE" w14:paraId="55FDA3EB" w14:textId="77777777" w:rsidTr="00BE389C">
        <w:trPr>
          <w:trHeight w:val="170"/>
          <w:jc w:val="center"/>
        </w:trPr>
        <w:tc>
          <w:tcPr>
            <w:tcW w:w="129" w:type="pct"/>
            <w:tcBorders>
              <w:top w:val="single" w:sz="4" w:space="0" w:color="auto"/>
              <w:bottom w:val="single" w:sz="4" w:space="0" w:color="auto"/>
            </w:tcBorders>
            <w:shd w:val="clear" w:color="auto" w:fill="DDDDDD"/>
            <w:vAlign w:val="center"/>
          </w:tcPr>
          <w:p w14:paraId="2AD5332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50187998" w14:textId="77777777"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14:paraId="2EF8295E" w14:textId="77777777" w:rsidTr="00BE389C">
        <w:trPr>
          <w:trHeight w:val="759"/>
          <w:jc w:val="center"/>
        </w:trPr>
        <w:tc>
          <w:tcPr>
            <w:tcW w:w="129" w:type="pct"/>
            <w:tcBorders>
              <w:top w:val="single" w:sz="4" w:space="0" w:color="auto"/>
              <w:bottom w:val="single" w:sz="4" w:space="0" w:color="auto"/>
            </w:tcBorders>
            <w:shd w:val="clear" w:color="auto" w:fill="auto"/>
            <w:vAlign w:val="center"/>
          </w:tcPr>
          <w:p w14:paraId="7E865731"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14:paraId="02CBF76E" w14:textId="77777777"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14:paraId="65DFD78E"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4898FBD5" w14:textId="0B6F1807" w:rsidR="0089000C" w:rsidRDefault="00CF5D28" w:rsidP="00C52EAA">
            <w:pPr>
              <w:spacing w:after="0" w:line="240" w:lineRule="auto"/>
              <w:contextualSpacing/>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Veriteľ môže </w:t>
            </w:r>
            <w:r w:rsidRPr="00CF5D28">
              <w:rPr>
                <w:rFonts w:ascii="Times New Roman" w:eastAsia="Calibri" w:hAnsi="Times New Roman" w:cs="Times New Roman"/>
                <w:sz w:val="20"/>
                <w:szCs w:val="20"/>
                <w:lang w:eastAsia="sk-SK"/>
              </w:rPr>
              <w:t>požadovať od spotrebiteľa otvorenie alebo ponechanie si platobného účtu alebo sporiaceho účtu</w:t>
            </w:r>
            <w:r>
              <w:rPr>
                <w:rFonts w:ascii="Times New Roman" w:eastAsia="Calibri" w:hAnsi="Times New Roman" w:cs="Times New Roman"/>
                <w:sz w:val="20"/>
                <w:szCs w:val="20"/>
                <w:lang w:eastAsia="sk-SK"/>
              </w:rPr>
              <w:t>, čo môže viesť k zvýšeniu výdavkov v zmysle povinnosti platiť poplatky za vedenie alebo otvorenie si takéhoto účtu pre spotrebiteľa.</w:t>
            </w:r>
          </w:p>
          <w:p w14:paraId="575D3CF3" w14:textId="7B85EF8F" w:rsidR="00CF5D28" w:rsidRPr="002644DE" w:rsidRDefault="00CF5D28" w:rsidP="00AD6951">
            <w:pPr>
              <w:spacing w:after="0" w:line="240" w:lineRule="auto"/>
              <w:contextualSpacing/>
              <w:jc w:val="both"/>
              <w:rPr>
                <w:rFonts w:ascii="Times New Roman" w:eastAsia="Calibri" w:hAnsi="Times New Roman" w:cs="Times New Roman"/>
                <w:sz w:val="20"/>
                <w:szCs w:val="20"/>
                <w:lang w:eastAsia="sk-SK"/>
              </w:rPr>
            </w:pPr>
          </w:p>
        </w:tc>
      </w:tr>
      <w:tr w:rsidR="002644DE" w:rsidRPr="002644DE" w14:paraId="63D1180B" w14:textId="77777777" w:rsidTr="00BE389C">
        <w:trPr>
          <w:trHeight w:val="397"/>
          <w:jc w:val="center"/>
        </w:trPr>
        <w:tc>
          <w:tcPr>
            <w:tcW w:w="129" w:type="pct"/>
            <w:vMerge w:val="restart"/>
            <w:tcBorders>
              <w:top w:val="single" w:sz="4" w:space="0" w:color="auto"/>
            </w:tcBorders>
            <w:shd w:val="clear" w:color="auto" w:fill="auto"/>
            <w:vAlign w:val="center"/>
          </w:tcPr>
          <w:p w14:paraId="0157D4F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2192BF96"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14:paraId="15CC9086" w14:textId="55A87934" w:rsidR="002644DE" w:rsidRPr="002644DE" w:rsidRDefault="00C52EAA" w:rsidP="002644DE">
            <w:pPr>
              <w:spacing w:after="0" w:line="240" w:lineRule="auto"/>
              <w:rPr>
                <w:rFonts w:ascii="Times New Roman" w:eastAsia="Calibri" w:hAnsi="Times New Roman" w:cs="Times New Roman"/>
                <w:i/>
                <w:sz w:val="20"/>
                <w:szCs w:val="20"/>
                <w:lang w:eastAsia="sk-SK"/>
              </w:rPr>
            </w:pPr>
            <w:r w:rsidRPr="00AE4C7A">
              <w:rPr>
                <w:rFonts w:ascii="Times New Roman" w:eastAsia="Calibri" w:hAnsi="Times New Roman" w:cs="Times New Roman"/>
                <w:sz w:val="20"/>
                <w:szCs w:val="20"/>
                <w:lang w:eastAsia="sk-SK"/>
              </w:rPr>
              <w:t>Finanční spotrebitelia</w:t>
            </w:r>
          </w:p>
        </w:tc>
      </w:tr>
      <w:tr w:rsidR="002644DE" w:rsidRPr="002644DE" w14:paraId="44F3113F" w14:textId="77777777" w:rsidTr="00BE389C">
        <w:trPr>
          <w:trHeight w:val="397"/>
          <w:jc w:val="center"/>
        </w:trPr>
        <w:tc>
          <w:tcPr>
            <w:tcW w:w="129" w:type="pct"/>
            <w:vMerge/>
            <w:tcBorders>
              <w:bottom w:val="single" w:sz="4" w:space="0" w:color="auto"/>
            </w:tcBorders>
            <w:shd w:val="clear" w:color="auto" w:fill="auto"/>
            <w:vAlign w:val="center"/>
          </w:tcPr>
          <w:p w14:paraId="6794386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shd w:val="clear" w:color="auto" w:fill="auto"/>
          </w:tcPr>
          <w:p w14:paraId="3C446D7B"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shd w:val="clear" w:color="auto" w:fill="auto"/>
          </w:tcPr>
          <w:p w14:paraId="2828EC04"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00271EC3" w14:textId="77777777" w:rsidTr="00BE389C">
        <w:trPr>
          <w:trHeight w:val="397"/>
          <w:jc w:val="center"/>
        </w:trPr>
        <w:tc>
          <w:tcPr>
            <w:tcW w:w="129" w:type="pct"/>
            <w:tcBorders>
              <w:top w:val="single" w:sz="4" w:space="0" w:color="auto"/>
            </w:tcBorders>
            <w:shd w:val="clear" w:color="auto" w:fill="F2F2F2"/>
            <w:vAlign w:val="center"/>
          </w:tcPr>
          <w:p w14:paraId="3BE975C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single" w:sz="4" w:space="0" w:color="auto"/>
            </w:tcBorders>
            <w:shd w:val="clear" w:color="auto" w:fill="F2F2F2"/>
            <w:vAlign w:val="center"/>
          </w:tcPr>
          <w:p w14:paraId="06582F9C"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7A87AA8F" w14:textId="77777777" w:rsidTr="00BE389C">
        <w:trPr>
          <w:trHeight w:val="680"/>
          <w:jc w:val="center"/>
        </w:trPr>
        <w:tc>
          <w:tcPr>
            <w:tcW w:w="129" w:type="pct"/>
            <w:vMerge w:val="restart"/>
            <w:tcBorders>
              <w:top w:val="dotted" w:sz="4" w:space="0" w:color="auto"/>
            </w:tcBorders>
            <w:shd w:val="clear" w:color="auto" w:fill="auto"/>
            <w:vAlign w:val="center"/>
          </w:tcPr>
          <w:p w14:paraId="77D3BCF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110503F6"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0875A719"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692EB439" w14:textId="0BEFB0FF" w:rsidR="002644DE" w:rsidRDefault="00717ECA" w:rsidP="00773A6E">
            <w:pPr>
              <w:spacing w:after="0" w:line="240" w:lineRule="auto"/>
              <w:jc w:val="both"/>
              <w:rPr>
                <w:rFonts w:ascii="Times New Roman" w:eastAsia="Calibri" w:hAnsi="Times New Roman" w:cs="Times New Roman"/>
                <w:sz w:val="18"/>
                <w:szCs w:val="20"/>
                <w:lang w:eastAsia="sk-SK"/>
              </w:rPr>
            </w:pPr>
            <w:r w:rsidRPr="00AD6951">
              <w:rPr>
                <w:rFonts w:ascii="Times New Roman" w:eastAsia="Calibri" w:hAnsi="Times New Roman" w:cs="Times New Roman"/>
                <w:sz w:val="18"/>
                <w:szCs w:val="20"/>
                <w:lang w:eastAsia="sk-SK"/>
              </w:rPr>
              <w:t xml:space="preserve">Modelový príklad sa týka možnosti veriteľa požadovať od finančného spotrebiteľa poplatok za vedenie platobného účtu alebo sporiaceho účtu. </w:t>
            </w:r>
            <w:r>
              <w:rPr>
                <w:rFonts w:ascii="Times New Roman" w:eastAsia="Calibri" w:hAnsi="Times New Roman" w:cs="Times New Roman"/>
                <w:sz w:val="18"/>
                <w:szCs w:val="20"/>
                <w:lang w:eastAsia="sk-SK"/>
              </w:rPr>
              <w:t>Veľkosť skupiny f</w:t>
            </w:r>
            <w:r w:rsidR="00B32419">
              <w:rPr>
                <w:rFonts w:ascii="Times New Roman" w:eastAsia="Calibri" w:hAnsi="Times New Roman" w:cs="Times New Roman"/>
                <w:sz w:val="18"/>
                <w:szCs w:val="20"/>
                <w:lang w:eastAsia="sk-SK"/>
              </w:rPr>
              <w:t xml:space="preserve">inančných spotrebiteľov nie je </w:t>
            </w:r>
            <w:r>
              <w:rPr>
                <w:rFonts w:ascii="Times New Roman" w:eastAsia="Calibri" w:hAnsi="Times New Roman" w:cs="Times New Roman"/>
                <w:sz w:val="18"/>
                <w:szCs w:val="20"/>
                <w:lang w:eastAsia="sk-SK"/>
              </w:rPr>
              <w:t>možné priamo vyčísliť, keďže sa jedná o</w:t>
            </w:r>
            <w:r w:rsidR="00B32419">
              <w:rPr>
                <w:rFonts w:ascii="Times New Roman" w:eastAsia="Calibri" w:hAnsi="Times New Roman" w:cs="Times New Roman"/>
                <w:sz w:val="18"/>
                <w:szCs w:val="20"/>
                <w:lang w:eastAsia="sk-SK"/>
              </w:rPr>
              <w:t> </w:t>
            </w:r>
            <w:r>
              <w:rPr>
                <w:rFonts w:ascii="Times New Roman" w:eastAsia="Calibri" w:hAnsi="Times New Roman" w:cs="Times New Roman"/>
                <w:sz w:val="18"/>
                <w:szCs w:val="20"/>
                <w:lang w:eastAsia="sk-SK"/>
              </w:rPr>
              <w:t>možnosť</w:t>
            </w:r>
            <w:r w:rsidR="00B32419">
              <w:rPr>
                <w:rFonts w:ascii="Times New Roman" w:eastAsia="Calibri" w:hAnsi="Times New Roman" w:cs="Times New Roman"/>
                <w:sz w:val="18"/>
                <w:szCs w:val="20"/>
                <w:lang w:eastAsia="sk-SK"/>
              </w:rPr>
              <w:t>,</w:t>
            </w:r>
            <w:r>
              <w:rPr>
                <w:rFonts w:ascii="Times New Roman" w:eastAsia="Calibri" w:hAnsi="Times New Roman" w:cs="Times New Roman"/>
                <w:sz w:val="18"/>
                <w:szCs w:val="20"/>
                <w:lang w:eastAsia="sk-SK"/>
              </w:rPr>
              <w:t xml:space="preserve"> </w:t>
            </w:r>
            <w:r w:rsidR="00B32419">
              <w:rPr>
                <w:rFonts w:ascii="Times New Roman" w:eastAsia="Calibri" w:hAnsi="Times New Roman" w:cs="Times New Roman"/>
                <w:sz w:val="18"/>
                <w:szCs w:val="20"/>
                <w:lang w:eastAsia="sk-SK"/>
              </w:rPr>
              <w:t xml:space="preserve">nie povinnosť, </w:t>
            </w:r>
            <w:r>
              <w:rPr>
                <w:rFonts w:ascii="Times New Roman" w:eastAsia="Calibri" w:hAnsi="Times New Roman" w:cs="Times New Roman"/>
                <w:sz w:val="18"/>
                <w:szCs w:val="20"/>
                <w:lang w:eastAsia="sk-SK"/>
              </w:rPr>
              <w:t>stanovenú zákonom</w:t>
            </w:r>
            <w:r w:rsidR="00B32419">
              <w:rPr>
                <w:rFonts w:ascii="Times New Roman" w:eastAsia="Calibri" w:hAnsi="Times New Roman" w:cs="Times New Roman"/>
                <w:sz w:val="18"/>
                <w:szCs w:val="20"/>
                <w:lang w:eastAsia="sk-SK"/>
              </w:rPr>
              <w:t>.</w:t>
            </w:r>
          </w:p>
          <w:p w14:paraId="24981C70" w14:textId="7A8A367B" w:rsidR="00717ECA" w:rsidRPr="00AD6951" w:rsidRDefault="00717ECA" w:rsidP="00773A6E">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18"/>
                <w:szCs w:val="20"/>
                <w:lang w:eastAsia="sk-SK"/>
              </w:rPr>
              <w:t xml:space="preserve">Priemerný rast výdavkov finančných spotrebiteľov </w:t>
            </w:r>
            <w:r w:rsidR="00B32419">
              <w:rPr>
                <w:rFonts w:ascii="Times New Roman" w:eastAsia="Calibri" w:hAnsi="Times New Roman" w:cs="Times New Roman"/>
                <w:sz w:val="18"/>
                <w:szCs w:val="20"/>
                <w:lang w:eastAsia="sk-SK"/>
              </w:rPr>
              <w:t xml:space="preserve">pri vedení platobného účtu </w:t>
            </w:r>
            <w:r>
              <w:rPr>
                <w:rFonts w:ascii="Times New Roman" w:eastAsia="Calibri" w:hAnsi="Times New Roman" w:cs="Times New Roman"/>
                <w:sz w:val="18"/>
                <w:szCs w:val="20"/>
                <w:lang w:eastAsia="sk-SK"/>
              </w:rPr>
              <w:t xml:space="preserve">je možné vypočítať na základe dostupných údajov </w:t>
            </w:r>
            <w:r w:rsidR="00B32419">
              <w:rPr>
                <w:rFonts w:ascii="Times New Roman" w:eastAsia="Calibri" w:hAnsi="Times New Roman" w:cs="Times New Roman"/>
                <w:sz w:val="18"/>
                <w:szCs w:val="20"/>
                <w:lang w:eastAsia="sk-SK"/>
              </w:rPr>
              <w:t xml:space="preserve">z webovej stránky Národnej banky Slovenska </w:t>
            </w:r>
            <w:r w:rsidR="00B32419" w:rsidRPr="00773A6E">
              <w:rPr>
                <w:rFonts w:ascii="Times New Roman" w:eastAsia="Calibri" w:hAnsi="Times New Roman" w:cs="Times New Roman"/>
                <w:sz w:val="18"/>
                <w:szCs w:val="20"/>
                <w:lang w:eastAsia="sk-SK"/>
              </w:rPr>
              <w:t>https://registre.nbs.sk/pad/</w:t>
            </w:r>
            <w:r w:rsidR="00B32419">
              <w:rPr>
                <w:rFonts w:ascii="Times New Roman" w:eastAsia="Calibri" w:hAnsi="Times New Roman" w:cs="Times New Roman"/>
                <w:sz w:val="18"/>
                <w:szCs w:val="20"/>
                <w:lang w:eastAsia="sk-SK"/>
              </w:rPr>
              <w:t>, a to vypočítaného z priemeru maximálnej hodnoty za vedenie účtu (t. j. 80,75 eur), vydeleného počtom poskytovateľov (16 subjektov), t. j. 80, 75 eur : 16 = 5, 05 eur. Priemerný rast výdavkov jedného finančného spotrebiteľa predstavuje teda 5,05 eur mesačne, ak bude</w:t>
            </w:r>
            <w:r w:rsidR="006915D3">
              <w:rPr>
                <w:rFonts w:ascii="Times New Roman" w:eastAsia="Calibri" w:hAnsi="Times New Roman" w:cs="Times New Roman"/>
                <w:sz w:val="18"/>
                <w:szCs w:val="20"/>
                <w:lang w:eastAsia="sk-SK"/>
              </w:rPr>
              <w:t xml:space="preserve"> veriteľ požadovať zriadenie platobného účtu v súvislosti so spotrebiteľským úverom. </w:t>
            </w:r>
            <w:r w:rsidR="00B32419">
              <w:rPr>
                <w:rFonts w:ascii="Times New Roman" w:eastAsia="Calibri" w:hAnsi="Times New Roman" w:cs="Times New Roman"/>
                <w:sz w:val="18"/>
                <w:szCs w:val="20"/>
                <w:lang w:eastAsia="sk-SK"/>
              </w:rPr>
              <w:t xml:space="preserve"> </w:t>
            </w:r>
          </w:p>
        </w:tc>
      </w:tr>
      <w:tr w:rsidR="002644DE" w:rsidRPr="002644DE" w14:paraId="78A53E93" w14:textId="77777777" w:rsidTr="00BE389C">
        <w:trPr>
          <w:trHeight w:val="680"/>
          <w:jc w:val="center"/>
        </w:trPr>
        <w:tc>
          <w:tcPr>
            <w:tcW w:w="129" w:type="pct"/>
            <w:vMerge/>
            <w:shd w:val="clear" w:color="auto" w:fill="auto"/>
            <w:vAlign w:val="center"/>
          </w:tcPr>
          <w:p w14:paraId="41A720C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43A1D480"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32621AA7"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01A2108D" w14:textId="77777777" w:rsidTr="00BE389C">
        <w:trPr>
          <w:trHeight w:val="397"/>
          <w:jc w:val="center"/>
        </w:trPr>
        <w:tc>
          <w:tcPr>
            <w:tcW w:w="129" w:type="pct"/>
            <w:tcBorders>
              <w:top w:val="dotted" w:sz="4" w:space="0" w:color="auto"/>
            </w:tcBorders>
            <w:shd w:val="clear" w:color="auto" w:fill="auto"/>
            <w:vAlign w:val="center"/>
          </w:tcPr>
          <w:p w14:paraId="765E794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21604808"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05B81248" w14:textId="7A96A478" w:rsidR="002644DE" w:rsidRPr="00F26207" w:rsidRDefault="002644DE" w:rsidP="00C52EAA">
            <w:pPr>
              <w:spacing w:after="0" w:line="240" w:lineRule="auto"/>
              <w:jc w:val="both"/>
              <w:rPr>
                <w:rFonts w:ascii="Times New Roman" w:eastAsia="Calibri" w:hAnsi="Times New Roman" w:cs="Times New Roman"/>
                <w:sz w:val="20"/>
                <w:szCs w:val="20"/>
                <w:highlight w:val="yellow"/>
                <w:lang w:eastAsia="sk-SK"/>
              </w:rPr>
            </w:pPr>
          </w:p>
        </w:tc>
      </w:tr>
      <w:tr w:rsidR="002644DE" w:rsidRPr="002644DE" w14:paraId="326AA115" w14:textId="77777777" w:rsidTr="00BE389C">
        <w:trPr>
          <w:trHeight w:val="227"/>
          <w:jc w:val="center"/>
        </w:trPr>
        <w:tc>
          <w:tcPr>
            <w:tcW w:w="129" w:type="pct"/>
            <w:tcBorders>
              <w:top w:val="nil"/>
              <w:bottom w:val="single" w:sz="4" w:space="0" w:color="auto"/>
            </w:tcBorders>
            <w:shd w:val="clear" w:color="auto" w:fill="F2F2F2"/>
            <w:vAlign w:val="center"/>
          </w:tcPr>
          <w:p w14:paraId="4161B42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14:paraId="5C485E0F"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14:paraId="5F4D455B"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2644DE" w:rsidRPr="002644DE" w14:paraId="09010FF0" w14:textId="77777777" w:rsidTr="00BE389C">
        <w:trPr>
          <w:trHeight w:val="759"/>
          <w:jc w:val="center"/>
        </w:trPr>
        <w:tc>
          <w:tcPr>
            <w:tcW w:w="129" w:type="pct"/>
            <w:tcBorders>
              <w:top w:val="single" w:sz="4" w:space="0" w:color="auto"/>
              <w:bottom w:val="single" w:sz="4" w:space="0" w:color="auto"/>
            </w:tcBorders>
            <w:shd w:val="clear" w:color="auto" w:fill="auto"/>
            <w:vAlign w:val="center"/>
          </w:tcPr>
          <w:p w14:paraId="3FB2611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3944A878"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19FFE501" w14:textId="77777777" w:rsidR="002644DE" w:rsidRPr="002644DE" w:rsidRDefault="00134CDA" w:rsidP="002644DE">
            <w:pPr>
              <w:spacing w:after="0" w:line="240" w:lineRule="auto"/>
              <w:rPr>
                <w:rFonts w:ascii="Times New Roman" w:eastAsia="Calibri" w:hAnsi="Times New Roman" w:cs="Times New Roman"/>
                <w:sz w:val="20"/>
                <w:szCs w:val="20"/>
                <w:lang w:eastAsia="sk-SK"/>
              </w:rPr>
            </w:pPr>
            <w:r w:rsidRPr="00134CDA">
              <w:rPr>
                <w:rFonts w:ascii="Times New Roman" w:eastAsia="Calibri" w:hAnsi="Times New Roman" w:cs="Times New Roman"/>
                <w:sz w:val="20"/>
                <w:szCs w:val="20"/>
                <w:lang w:eastAsia="sk-SK"/>
              </w:rPr>
              <w:t>Bez negatívneho vplyvu.</w:t>
            </w:r>
          </w:p>
        </w:tc>
      </w:tr>
      <w:tr w:rsidR="002644DE" w:rsidRPr="002644DE" w14:paraId="16A3DE52" w14:textId="77777777" w:rsidTr="00BE389C">
        <w:trPr>
          <w:trHeight w:val="397"/>
          <w:jc w:val="center"/>
        </w:trPr>
        <w:tc>
          <w:tcPr>
            <w:tcW w:w="129" w:type="pct"/>
            <w:vMerge w:val="restart"/>
            <w:tcBorders>
              <w:top w:val="single" w:sz="4" w:space="0" w:color="auto"/>
            </w:tcBorders>
            <w:shd w:val="clear" w:color="auto" w:fill="auto"/>
            <w:vAlign w:val="center"/>
          </w:tcPr>
          <w:p w14:paraId="08CD22F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40C3EB3F"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3724B797" w14:textId="77777777"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3F4407E4" w14:textId="77777777" w:rsidTr="00BE389C">
        <w:trPr>
          <w:trHeight w:val="397"/>
          <w:jc w:val="center"/>
        </w:trPr>
        <w:tc>
          <w:tcPr>
            <w:tcW w:w="129" w:type="pct"/>
            <w:vMerge/>
            <w:shd w:val="clear" w:color="auto" w:fill="auto"/>
            <w:vAlign w:val="center"/>
          </w:tcPr>
          <w:p w14:paraId="2794A7B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0CF1D1C0"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340858D1"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2E1A8300" w14:textId="77777777" w:rsidTr="00BE389C">
        <w:trPr>
          <w:trHeight w:val="454"/>
          <w:jc w:val="center"/>
        </w:trPr>
        <w:tc>
          <w:tcPr>
            <w:tcW w:w="129" w:type="pct"/>
            <w:tcBorders>
              <w:top w:val="dotted" w:sz="4" w:space="0" w:color="auto"/>
            </w:tcBorders>
            <w:shd w:val="clear" w:color="auto" w:fill="F2F2F2"/>
            <w:vAlign w:val="center"/>
          </w:tcPr>
          <w:p w14:paraId="2FEF97FC"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lastRenderedPageBreak/>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14:paraId="15A67671"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7A38B5E5" w14:textId="77777777" w:rsidTr="00BE389C">
        <w:trPr>
          <w:trHeight w:val="680"/>
          <w:jc w:val="center"/>
        </w:trPr>
        <w:tc>
          <w:tcPr>
            <w:tcW w:w="129" w:type="pct"/>
            <w:vMerge w:val="restart"/>
            <w:tcBorders>
              <w:top w:val="dotted" w:sz="4" w:space="0" w:color="auto"/>
            </w:tcBorders>
            <w:shd w:val="clear" w:color="auto" w:fill="auto"/>
            <w:vAlign w:val="center"/>
          </w:tcPr>
          <w:p w14:paraId="4A20687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5853C843"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21368CEE"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44C95117"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63514DEF" w14:textId="77777777" w:rsidTr="00BE389C">
        <w:trPr>
          <w:trHeight w:val="680"/>
          <w:jc w:val="center"/>
        </w:trPr>
        <w:tc>
          <w:tcPr>
            <w:tcW w:w="129" w:type="pct"/>
            <w:vMerge/>
            <w:shd w:val="clear" w:color="auto" w:fill="auto"/>
            <w:vAlign w:val="center"/>
          </w:tcPr>
          <w:p w14:paraId="6CA70A8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5F4BAC17"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7515E078"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2D8C5163" w14:textId="77777777" w:rsidTr="00BE389C">
        <w:trPr>
          <w:trHeight w:val="454"/>
          <w:jc w:val="center"/>
        </w:trPr>
        <w:tc>
          <w:tcPr>
            <w:tcW w:w="129" w:type="pct"/>
            <w:tcBorders>
              <w:top w:val="dotted" w:sz="4" w:space="0" w:color="auto"/>
              <w:bottom w:val="single" w:sz="4" w:space="0" w:color="auto"/>
            </w:tcBorders>
            <w:shd w:val="clear" w:color="auto" w:fill="auto"/>
            <w:vAlign w:val="center"/>
          </w:tcPr>
          <w:p w14:paraId="4127AAD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29D27604"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0A0644DC" w14:textId="2442693F" w:rsidR="002644DE" w:rsidRPr="002644DE" w:rsidRDefault="0080535F" w:rsidP="002644DE">
            <w:pPr>
              <w:spacing w:after="0" w:line="240" w:lineRule="auto"/>
              <w:rPr>
                <w:rFonts w:ascii="Times New Roman" w:eastAsia="Calibri" w:hAnsi="Times New Roman" w:cs="Times New Roman"/>
                <w:sz w:val="20"/>
                <w:szCs w:val="20"/>
                <w:lang w:eastAsia="sk-SK"/>
              </w:rPr>
            </w:pPr>
            <w:r w:rsidRPr="0080535F">
              <w:rPr>
                <w:rFonts w:ascii="Times New Roman" w:eastAsia="Calibri" w:hAnsi="Times New Roman" w:cs="Times New Roman"/>
                <w:sz w:val="20"/>
                <w:szCs w:val="20"/>
                <w:lang w:eastAsia="sk-SK"/>
              </w:rPr>
              <w:t xml:space="preserve">Návrh zákona nemá žiadny negatívny vplyv </w:t>
            </w:r>
            <w:r w:rsidR="003815EE">
              <w:rPr>
                <w:rFonts w:ascii="Times New Roman" w:eastAsia="Calibri" w:hAnsi="Times New Roman" w:cs="Times New Roman"/>
                <w:sz w:val="20"/>
                <w:szCs w:val="20"/>
                <w:lang w:eastAsia="sk-SK"/>
              </w:rPr>
              <w:t>v tejto oblasti.</w:t>
            </w:r>
          </w:p>
        </w:tc>
      </w:tr>
    </w:tbl>
    <w:p w14:paraId="15C86412" w14:textId="1434C325" w:rsidR="00CB4505" w:rsidRDefault="00CB4505">
      <w:pPr>
        <w:sectPr w:rsidR="00CB4505" w:rsidSect="00BE389C">
          <w:headerReference w:type="default" r:id="rId8"/>
          <w:footerReference w:type="default" r:id="rId9"/>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14:paraId="2298A8B6" w14:textId="77777777" w:rsidTr="00BE389C">
        <w:trPr>
          <w:trHeight w:val="339"/>
          <w:jc w:val="center"/>
        </w:trPr>
        <w:tc>
          <w:tcPr>
            <w:tcW w:w="4998" w:type="pct"/>
            <w:gridSpan w:val="4"/>
            <w:tcBorders>
              <w:bottom w:val="single" w:sz="4" w:space="0" w:color="auto"/>
            </w:tcBorders>
            <w:shd w:val="clear" w:color="auto" w:fill="D9D9D9"/>
          </w:tcPr>
          <w:p w14:paraId="64C632D3" w14:textId="77777777"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14:paraId="29B2D8E4" w14:textId="77777777" w:rsidTr="00BE389C">
        <w:trPr>
          <w:trHeight w:val="290"/>
          <w:jc w:val="center"/>
        </w:trPr>
        <w:tc>
          <w:tcPr>
            <w:tcW w:w="4998" w:type="pct"/>
            <w:gridSpan w:val="4"/>
            <w:tcBorders>
              <w:bottom w:val="single" w:sz="4" w:space="0" w:color="auto"/>
            </w:tcBorders>
            <w:shd w:val="clear" w:color="auto" w:fill="F2F2F2"/>
            <w:vAlign w:val="center"/>
          </w:tcPr>
          <w:p w14:paraId="558D22B6" w14:textId="77777777"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14:paraId="22797CBB" w14:textId="77777777"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14:paraId="76398354" w14:textId="77777777" w:rsidTr="00BE389C">
        <w:tblPrEx>
          <w:tblBorders>
            <w:top w:val="none" w:sz="0" w:space="0" w:color="auto"/>
            <w:bottom w:val="none" w:sz="0" w:space="0" w:color="auto"/>
          </w:tblBorders>
        </w:tblPrEx>
        <w:trPr>
          <w:trHeight w:val="557"/>
          <w:jc w:val="center"/>
        </w:trPr>
        <w:tc>
          <w:tcPr>
            <w:tcW w:w="180" w:type="pct"/>
            <w:shd w:val="clear" w:color="auto" w:fill="auto"/>
            <w:vAlign w:val="center"/>
          </w:tcPr>
          <w:p w14:paraId="4D377D3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shd w:val="clear" w:color="auto" w:fill="auto"/>
          </w:tcPr>
          <w:p w14:paraId="64CA9CE3"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14:paraId="4BF1935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0DAF745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1F0FC6E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14:paraId="3B4DC7A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31F16607"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14E3E6E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14:paraId="061DBC8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14:paraId="3DD7538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14:paraId="08AB2D05"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14:paraId="29EAD24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14:paraId="3092209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14:paraId="70F86A03" w14:textId="77777777"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shd w:val="clear" w:color="auto" w:fill="auto"/>
          </w:tcPr>
          <w:p w14:paraId="3CE115F4" w14:textId="77777777" w:rsidR="00E8540E" w:rsidRDefault="00E8540E" w:rsidP="00E8540E">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Návrh zákona zakazuje manipuláciu alebo zavádzanie prostredníctvom reklamnej a marketingovej komunikácie. </w:t>
            </w:r>
          </w:p>
          <w:p w14:paraId="0507E14A" w14:textId="54293F64" w:rsidR="002644DE" w:rsidRDefault="00BE389C" w:rsidP="003F1FFA">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Návrh zákona upravuje </w:t>
            </w:r>
            <w:r w:rsidR="00E8540E">
              <w:rPr>
                <w:rFonts w:ascii="Times New Roman" w:eastAsia="Calibri" w:hAnsi="Times New Roman" w:cs="Times New Roman"/>
                <w:sz w:val="20"/>
                <w:szCs w:val="20"/>
                <w:lang w:eastAsia="sk-SK"/>
              </w:rPr>
              <w:t xml:space="preserve">taktiež </w:t>
            </w:r>
            <w:r>
              <w:rPr>
                <w:rFonts w:ascii="Times New Roman" w:eastAsia="Calibri" w:hAnsi="Times New Roman" w:cs="Times New Roman"/>
                <w:sz w:val="20"/>
                <w:szCs w:val="20"/>
                <w:lang w:eastAsia="sk-SK"/>
              </w:rPr>
              <w:t>ustanovenia s cieľom</w:t>
            </w:r>
            <w:r>
              <w:t xml:space="preserve"> </w:t>
            </w:r>
            <w:r w:rsidRPr="00BE389C">
              <w:rPr>
                <w:rFonts w:ascii="Times New Roman" w:eastAsia="Calibri" w:hAnsi="Times New Roman" w:cs="Times New Roman"/>
                <w:sz w:val="20"/>
                <w:szCs w:val="20"/>
                <w:lang w:eastAsia="sk-SK"/>
              </w:rPr>
              <w:t>zvýšiť schopnosť spotrebiteľov uskutočňovať informované rozhodnutia, ktoré sa týkajú zodpovedného prijímania úverov a riadeni</w:t>
            </w:r>
            <w:r>
              <w:rPr>
                <w:rFonts w:ascii="Times New Roman" w:eastAsia="Calibri" w:hAnsi="Times New Roman" w:cs="Times New Roman"/>
                <w:sz w:val="20"/>
                <w:szCs w:val="20"/>
                <w:lang w:eastAsia="sk-SK"/>
              </w:rPr>
              <w:t xml:space="preserve">a dlhu. Tým sa podporuje finančné vzdelávanie spotrebiteľov. </w:t>
            </w:r>
            <w:r w:rsidR="00160B41">
              <w:rPr>
                <w:rFonts w:ascii="Times New Roman" w:eastAsia="Calibri" w:hAnsi="Times New Roman" w:cs="Times New Roman"/>
                <w:sz w:val="20"/>
                <w:szCs w:val="20"/>
                <w:lang w:eastAsia="sk-SK"/>
              </w:rPr>
              <w:t>Zavádza sa aj lepší prístup k dlhovému poradenstvu pre spotrebiteľov, ktorí majú problém so splácaním dlhu</w:t>
            </w:r>
            <w:r w:rsidR="00C52EAA">
              <w:rPr>
                <w:rFonts w:ascii="Times New Roman" w:eastAsia="Calibri" w:hAnsi="Times New Roman" w:cs="Times New Roman"/>
                <w:sz w:val="20"/>
                <w:szCs w:val="20"/>
                <w:lang w:eastAsia="sk-SK"/>
              </w:rPr>
              <w:t>,</w:t>
            </w:r>
            <w:r w:rsidR="00160B41">
              <w:rPr>
                <w:rFonts w:ascii="Times New Roman" w:eastAsia="Calibri" w:hAnsi="Times New Roman" w:cs="Times New Roman"/>
                <w:sz w:val="20"/>
                <w:szCs w:val="20"/>
                <w:lang w:eastAsia="sk-SK"/>
              </w:rPr>
              <w:t xml:space="preserve"> ako aj k nezávislému poradenstvu pre spotrebiteľov, ktorí úver ešte len plánujú.</w:t>
            </w:r>
          </w:p>
          <w:p w14:paraId="0464E3BC" w14:textId="2BFE7D55" w:rsidR="00031E1C" w:rsidRDefault="00031E1C" w:rsidP="003F1FFA">
            <w:pPr>
              <w:spacing w:after="0" w:line="240" w:lineRule="auto"/>
              <w:jc w:val="both"/>
              <w:rPr>
                <w:rFonts w:ascii="Times New Roman" w:eastAsia="Calibri" w:hAnsi="Times New Roman" w:cs="Times New Roman"/>
                <w:sz w:val="20"/>
                <w:szCs w:val="20"/>
                <w:lang w:eastAsia="sk-SK"/>
              </w:rPr>
            </w:pPr>
          </w:p>
          <w:p w14:paraId="53097A84" w14:textId="700C1788" w:rsidR="00031E1C" w:rsidRDefault="00031E1C" w:rsidP="003F1FFA">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Návrh zákona </w:t>
            </w:r>
            <w:r w:rsidR="00E8540E">
              <w:rPr>
                <w:rFonts w:ascii="Times New Roman" w:eastAsia="Calibri" w:hAnsi="Times New Roman" w:cs="Times New Roman"/>
                <w:sz w:val="20"/>
                <w:szCs w:val="20"/>
                <w:lang w:eastAsia="sk-SK"/>
              </w:rPr>
              <w:t xml:space="preserve">teda </w:t>
            </w:r>
            <w:r>
              <w:rPr>
                <w:rFonts w:ascii="Times New Roman" w:eastAsia="Calibri" w:hAnsi="Times New Roman" w:cs="Times New Roman"/>
                <w:sz w:val="20"/>
                <w:szCs w:val="20"/>
                <w:lang w:eastAsia="sk-SK"/>
              </w:rPr>
              <w:t xml:space="preserve">zavádza poradenskú službu ako samostatnú službu, na základe ktorej môžu byť spotrebiteľovi poskytnuté individuálne odporúčania v oblasti spravovania úverov. Taktiež sa zavádzajú podmienky na dlhové poradenstvo, ktoré môže spotrebiteľ využiť v prípade, ak má </w:t>
            </w:r>
            <w:r w:rsidRPr="0030541C">
              <w:rPr>
                <w:rFonts w:ascii="Times New Roman" w:eastAsia="Calibri" w:hAnsi="Times New Roman" w:cs="Times New Roman"/>
                <w:sz w:val="20"/>
                <w:szCs w:val="20"/>
                <w:lang w:eastAsia="sk-SK"/>
              </w:rPr>
              <w:t>problémy s plnením svojich finančných záväzkov</w:t>
            </w:r>
            <w:r>
              <w:rPr>
                <w:rFonts w:ascii="Times New Roman" w:eastAsia="Calibri" w:hAnsi="Times New Roman" w:cs="Times New Roman"/>
                <w:sz w:val="20"/>
                <w:szCs w:val="20"/>
                <w:lang w:eastAsia="sk-SK"/>
              </w:rPr>
              <w:t>. S</w:t>
            </w:r>
            <w:r w:rsidRPr="00031E1C">
              <w:rPr>
                <w:rFonts w:ascii="Times New Roman" w:eastAsia="Calibri" w:hAnsi="Times New Roman" w:cs="Times New Roman"/>
                <w:sz w:val="20"/>
                <w:szCs w:val="20"/>
                <w:lang w:eastAsia="sk-SK"/>
              </w:rPr>
              <w:t>potrebiteľovi sa umožňuje využiť odbornú pomoc</w:t>
            </w:r>
            <w:r>
              <w:rPr>
                <w:rFonts w:ascii="Times New Roman" w:eastAsia="Calibri" w:hAnsi="Times New Roman" w:cs="Times New Roman"/>
                <w:sz w:val="20"/>
                <w:szCs w:val="20"/>
                <w:lang w:eastAsia="sk-SK"/>
              </w:rPr>
              <w:t>,</w:t>
            </w:r>
            <w:r w:rsidRPr="00031E1C">
              <w:rPr>
                <w:rFonts w:ascii="Times New Roman" w:eastAsia="Calibri" w:hAnsi="Times New Roman" w:cs="Times New Roman"/>
                <w:sz w:val="20"/>
                <w:szCs w:val="20"/>
                <w:lang w:eastAsia="sk-SK"/>
              </w:rPr>
              <w:t xml:space="preserve"> a to môže viesť k jeho finančne efektívnejším rozhodnutiam.</w:t>
            </w:r>
          </w:p>
          <w:p w14:paraId="24EFD2ED" w14:textId="77777777" w:rsidR="00031E1C" w:rsidRDefault="00031E1C" w:rsidP="003F1FFA">
            <w:pPr>
              <w:spacing w:after="0" w:line="240" w:lineRule="auto"/>
              <w:jc w:val="both"/>
              <w:rPr>
                <w:rFonts w:ascii="Times New Roman" w:eastAsia="Calibri" w:hAnsi="Times New Roman" w:cs="Times New Roman"/>
                <w:sz w:val="20"/>
                <w:szCs w:val="20"/>
                <w:lang w:eastAsia="sk-SK"/>
              </w:rPr>
            </w:pPr>
          </w:p>
          <w:p w14:paraId="1F2F576C" w14:textId="6085C508" w:rsidR="00031E1C" w:rsidRPr="002644DE" w:rsidRDefault="00031E1C" w:rsidP="003F1FFA">
            <w:pPr>
              <w:spacing w:after="0" w:line="240" w:lineRule="auto"/>
              <w:jc w:val="both"/>
              <w:rPr>
                <w:rFonts w:ascii="Times New Roman" w:eastAsia="Calibri" w:hAnsi="Times New Roman" w:cs="Times New Roman"/>
                <w:sz w:val="20"/>
                <w:szCs w:val="20"/>
                <w:lang w:eastAsia="sk-SK"/>
              </w:rPr>
            </w:pPr>
          </w:p>
        </w:tc>
      </w:tr>
      <w:tr w:rsidR="002644DE" w:rsidRPr="002644DE" w14:paraId="47FDACD9" w14:textId="77777777" w:rsidTr="00BE389C">
        <w:trPr>
          <w:jc w:val="center"/>
        </w:trPr>
        <w:tc>
          <w:tcPr>
            <w:tcW w:w="180" w:type="pct"/>
            <w:tcBorders>
              <w:bottom w:val="single" w:sz="4" w:space="0" w:color="auto"/>
            </w:tcBorders>
            <w:shd w:val="clear" w:color="auto" w:fill="F2F2F2"/>
            <w:vAlign w:val="center"/>
          </w:tcPr>
          <w:p w14:paraId="17701718" w14:textId="77777777"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14:paraId="4232A4A6"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2BE33F3C" w14:textId="77777777"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 xml:space="preserve">Špecifikujte ovplyvnené skupiny v riziku chudoby a sociálneho vylúčenia a popíšte vplyv na </w:t>
            </w:r>
            <w:proofErr w:type="spellStart"/>
            <w:r w:rsidRPr="002644DE">
              <w:rPr>
                <w:rFonts w:ascii="Times New Roman" w:eastAsia="Calibri" w:hAnsi="Times New Roman" w:cs="Times New Roman"/>
                <w:i/>
                <w:sz w:val="20"/>
                <w:szCs w:val="20"/>
                <w:lang w:eastAsia="sk-SK"/>
              </w:rPr>
              <w:t>ne</w:t>
            </w:r>
            <w:proofErr w:type="spellEnd"/>
            <w:r w:rsidRPr="002644DE">
              <w:rPr>
                <w:rFonts w:ascii="Times New Roman" w:eastAsia="Calibri" w:hAnsi="Times New Roman" w:cs="Times New Roman"/>
                <w:i/>
                <w:sz w:val="20"/>
                <w:szCs w:val="20"/>
                <w:lang w:eastAsia="sk-SK"/>
              </w:rPr>
              <w:t>. Je tento vplyv väčší ako vplyv na iné skupiny či subjekty? Uveďte veľkosť jednotlivých ovplyvnených skupín.</w:t>
            </w:r>
          </w:p>
        </w:tc>
      </w:tr>
      <w:tr w:rsidR="002644DE" w:rsidRPr="002644DE" w14:paraId="29ACA4C5" w14:textId="77777777" w:rsidTr="00BE389C">
        <w:tblPrEx>
          <w:tblBorders>
            <w:top w:val="none" w:sz="0" w:space="0" w:color="auto"/>
          </w:tblBorders>
        </w:tblPrEx>
        <w:trPr>
          <w:trHeight w:val="677"/>
          <w:jc w:val="center"/>
        </w:trPr>
        <w:tc>
          <w:tcPr>
            <w:tcW w:w="179" w:type="pct"/>
            <w:shd w:val="clear" w:color="auto" w:fill="auto"/>
            <w:vAlign w:val="center"/>
          </w:tcPr>
          <w:p w14:paraId="69DCE8AE"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shd w:val="clear" w:color="auto" w:fill="auto"/>
          </w:tcPr>
          <w:p w14:paraId="5AD751F9"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14:paraId="1170937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26D676E1"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14:paraId="0C9B5B2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14:paraId="3F0395B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14:paraId="07947FE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14:paraId="66FC8222"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14:paraId="001946C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14:paraId="64BD978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14:paraId="586C438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14:paraId="4C67A62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14:paraId="3F5EEA2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shd w:val="clear" w:color="auto" w:fill="auto"/>
          </w:tcPr>
          <w:p w14:paraId="3749EA42" w14:textId="3086A2D4" w:rsidR="00B75171" w:rsidRPr="002644DE" w:rsidRDefault="00160B41" w:rsidP="00160B41">
            <w:pPr>
              <w:spacing w:after="0" w:line="240" w:lineRule="auto"/>
              <w:rPr>
                <w:rFonts w:ascii="Times New Roman" w:eastAsia="Calibri" w:hAnsi="Times New Roman" w:cs="Times New Roman"/>
                <w:sz w:val="20"/>
                <w:lang w:eastAsia="sk-SK"/>
              </w:rPr>
            </w:pPr>
            <w:r>
              <w:rPr>
                <w:rFonts w:ascii="Times New Roman" w:eastAsia="Calibri" w:hAnsi="Times New Roman" w:cs="Times New Roman"/>
                <w:sz w:val="20"/>
                <w:lang w:eastAsia="sk-SK"/>
              </w:rPr>
              <w:t>Bez vplyvu.</w:t>
            </w:r>
          </w:p>
        </w:tc>
      </w:tr>
    </w:tbl>
    <w:p w14:paraId="5F39D548" w14:textId="13A0C179" w:rsidR="00E8540E" w:rsidRDefault="00E8540E" w:rsidP="002644DE"/>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14:paraId="495A4B1E" w14:textId="77777777" w:rsidTr="00BE389C">
        <w:trPr>
          <w:jc w:val="center"/>
        </w:trPr>
        <w:tc>
          <w:tcPr>
            <w:tcW w:w="5000" w:type="pct"/>
            <w:gridSpan w:val="3"/>
            <w:shd w:val="clear" w:color="auto" w:fill="D9D9D9"/>
          </w:tcPr>
          <w:p w14:paraId="48B82271" w14:textId="77777777"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14:paraId="5B0E297B" w14:textId="77777777"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14:paraId="1CB28F50" w14:textId="77777777" w:rsidTr="00BE389C">
        <w:trPr>
          <w:jc w:val="center"/>
        </w:trPr>
        <w:tc>
          <w:tcPr>
            <w:tcW w:w="132" w:type="pct"/>
            <w:tcBorders>
              <w:bottom w:val="single" w:sz="4" w:space="0" w:color="auto"/>
            </w:tcBorders>
            <w:shd w:val="clear" w:color="auto" w:fill="F2F2F2"/>
            <w:vAlign w:val="center"/>
          </w:tcPr>
          <w:p w14:paraId="2800AC45" w14:textId="77777777"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14:paraId="3CDD9BE6" w14:textId="77777777"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14:paraId="048858F9" w14:textId="77777777" w:rsidTr="00BE389C">
        <w:trPr>
          <w:trHeight w:val="928"/>
          <w:jc w:val="center"/>
        </w:trPr>
        <w:tc>
          <w:tcPr>
            <w:tcW w:w="132" w:type="pct"/>
            <w:tcBorders>
              <w:top w:val="nil"/>
              <w:bottom w:val="nil"/>
            </w:tcBorders>
            <w:shd w:val="clear" w:color="auto" w:fill="auto"/>
          </w:tcPr>
          <w:p w14:paraId="0930B1DA" w14:textId="77777777" w:rsidR="002644DE" w:rsidRPr="002644DE" w:rsidRDefault="002644DE" w:rsidP="002644DE">
            <w:pPr>
              <w:spacing w:after="0" w:line="240" w:lineRule="auto"/>
              <w:rPr>
                <w:rFonts w:ascii="Times New Roman" w:eastAsia="Calibri" w:hAnsi="Times New Roman" w:cs="Times New Roman"/>
                <w:sz w:val="20"/>
              </w:rPr>
            </w:pPr>
          </w:p>
          <w:p w14:paraId="2C23BE1B" w14:textId="77777777" w:rsidR="002644DE" w:rsidRPr="002644DE" w:rsidRDefault="002644DE" w:rsidP="002644DE">
            <w:pPr>
              <w:spacing w:after="0" w:line="240" w:lineRule="auto"/>
              <w:rPr>
                <w:rFonts w:ascii="Times New Roman" w:eastAsia="Calibri" w:hAnsi="Times New Roman" w:cs="Times New Roman"/>
                <w:i/>
                <w:sz w:val="20"/>
              </w:rPr>
            </w:pPr>
          </w:p>
          <w:p w14:paraId="7240D757" w14:textId="77777777" w:rsidR="002644DE" w:rsidRPr="002644DE" w:rsidRDefault="002644DE" w:rsidP="002644DE">
            <w:pPr>
              <w:spacing w:after="0" w:line="240" w:lineRule="auto"/>
              <w:rPr>
                <w:rFonts w:ascii="Times New Roman" w:eastAsia="Calibri" w:hAnsi="Times New Roman" w:cs="Times New Roman"/>
                <w:i/>
                <w:sz w:val="20"/>
              </w:rPr>
            </w:pPr>
          </w:p>
          <w:p w14:paraId="3C921406" w14:textId="77777777"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14:paraId="4B1707EA" w14:textId="77777777" w:rsidR="002644DE" w:rsidRPr="002644DE" w:rsidRDefault="002644DE" w:rsidP="002644DE">
            <w:pPr>
              <w:spacing w:after="0" w:line="240" w:lineRule="auto"/>
              <w:rPr>
                <w:rFonts w:ascii="Times New Roman" w:eastAsia="Calibri" w:hAnsi="Times New Roman" w:cs="Times New Roman"/>
                <w:i/>
                <w:sz w:val="20"/>
              </w:rPr>
            </w:pPr>
          </w:p>
          <w:p w14:paraId="4D977EC3" w14:textId="77777777" w:rsidR="002644DE" w:rsidRPr="002644DE" w:rsidRDefault="002644DE" w:rsidP="002644DE">
            <w:pPr>
              <w:spacing w:after="0" w:line="240" w:lineRule="auto"/>
              <w:rPr>
                <w:rFonts w:ascii="Times New Roman" w:eastAsia="Calibri" w:hAnsi="Times New Roman" w:cs="Times New Roman"/>
                <w:i/>
                <w:sz w:val="20"/>
              </w:rPr>
            </w:pPr>
          </w:p>
          <w:p w14:paraId="47E6E81D" w14:textId="77777777"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14:paraId="0063823F" w14:textId="3239F4B6" w:rsidR="002644DE" w:rsidRPr="005C397A" w:rsidRDefault="005C397A" w:rsidP="003F1FFA">
            <w:pPr>
              <w:jc w:val="both"/>
              <w:rPr>
                <w:rFonts w:ascii="Times New Roman" w:eastAsia="Calibri" w:hAnsi="Times New Roman" w:cs="Times New Roman"/>
                <w:sz w:val="20"/>
              </w:rPr>
            </w:pPr>
            <w:r w:rsidRPr="005C397A">
              <w:rPr>
                <w:rFonts w:ascii="Times New Roman" w:eastAsia="Calibri" w:hAnsi="Times New Roman" w:cs="Times New Roman"/>
                <w:sz w:val="20"/>
              </w:rPr>
              <w:t>Návrh zákona upravuje povinnosť pre veriteľa, aby rovnako a spravodlivo zaobchádzal so spotrebiteľmi zo SR</w:t>
            </w:r>
            <w:r>
              <w:rPr>
                <w:rFonts w:ascii="Times New Roman" w:eastAsia="Calibri" w:hAnsi="Times New Roman" w:cs="Times New Roman"/>
                <w:sz w:val="20"/>
              </w:rPr>
              <w:t>,</w:t>
            </w:r>
            <w:r w:rsidRPr="005C397A">
              <w:rPr>
                <w:rFonts w:ascii="Times New Roman" w:eastAsia="Calibri" w:hAnsi="Times New Roman" w:cs="Times New Roman"/>
                <w:sz w:val="20"/>
              </w:rPr>
              <w:t xml:space="preserve"> a</w:t>
            </w:r>
            <w:r>
              <w:rPr>
                <w:rFonts w:ascii="Times New Roman" w:eastAsia="Calibri" w:hAnsi="Times New Roman" w:cs="Times New Roman"/>
                <w:sz w:val="20"/>
              </w:rPr>
              <w:t>ko</w:t>
            </w:r>
            <w:r w:rsidRPr="005C397A">
              <w:rPr>
                <w:rFonts w:ascii="Times New Roman" w:eastAsia="Calibri" w:hAnsi="Times New Roman" w:cs="Times New Roman"/>
                <w:sz w:val="20"/>
              </w:rPr>
              <w:t xml:space="preserve"> aj </w:t>
            </w:r>
            <w:r>
              <w:rPr>
                <w:rFonts w:ascii="Times New Roman" w:eastAsia="Calibri" w:hAnsi="Times New Roman" w:cs="Times New Roman"/>
                <w:sz w:val="20"/>
              </w:rPr>
              <w:t xml:space="preserve">so spotrebiteľmi </w:t>
            </w:r>
            <w:r w:rsidRPr="005C397A">
              <w:rPr>
                <w:rFonts w:ascii="Times New Roman" w:eastAsia="Calibri" w:hAnsi="Times New Roman" w:cs="Times New Roman"/>
                <w:sz w:val="20"/>
              </w:rPr>
              <w:t>z iného členského štátu EÚ</w:t>
            </w:r>
            <w:r>
              <w:rPr>
                <w:rFonts w:ascii="Times New Roman" w:eastAsia="Calibri" w:hAnsi="Times New Roman" w:cs="Times New Roman"/>
                <w:sz w:val="20"/>
              </w:rPr>
              <w:t>,</w:t>
            </w:r>
            <w:r w:rsidRPr="005C397A">
              <w:t xml:space="preserve"> </w:t>
            </w:r>
            <w:r w:rsidRPr="005C397A">
              <w:rPr>
                <w:rFonts w:ascii="Times New Roman" w:eastAsia="Calibri" w:hAnsi="Times New Roman" w:cs="Times New Roman"/>
                <w:sz w:val="20"/>
              </w:rPr>
              <w:t>pri žiadosti o spotrebiteľský úver a pri jeho poskytovaní.</w:t>
            </w:r>
            <w:r>
              <w:rPr>
                <w:rFonts w:ascii="Times New Roman" w:eastAsia="Calibri" w:hAnsi="Times New Roman" w:cs="Times New Roman"/>
                <w:sz w:val="20"/>
              </w:rPr>
              <w:t xml:space="preserve"> Tým sa zabezpečuje rovnaké zaobchádzanie </w:t>
            </w:r>
            <w:r w:rsidR="003F1FFA">
              <w:rPr>
                <w:rFonts w:ascii="Times New Roman" w:eastAsia="Calibri" w:hAnsi="Times New Roman" w:cs="Times New Roman"/>
                <w:sz w:val="20"/>
              </w:rPr>
              <w:t>z dôvodu štátnej príslušnosti, miesta pobytu,</w:t>
            </w:r>
            <w:r w:rsidRPr="005C397A">
              <w:rPr>
                <w:rFonts w:ascii="Times New Roman" w:eastAsia="Calibri" w:hAnsi="Times New Roman" w:cs="Times New Roman"/>
                <w:sz w:val="20"/>
              </w:rPr>
              <w:t xml:space="preserve"> pohlavia, rasy, etnicity, náboženstva alebo viery, zdravotného postihnutia, veku, sexuálnej orientácie alebo iného statusu</w:t>
            </w:r>
            <w:r>
              <w:rPr>
                <w:rFonts w:ascii="Times New Roman" w:eastAsia="Calibri" w:hAnsi="Times New Roman" w:cs="Times New Roman"/>
                <w:sz w:val="20"/>
              </w:rPr>
              <w:t xml:space="preserve"> v oblasti poskytovania spotrebiteľských úverov.</w:t>
            </w:r>
          </w:p>
        </w:tc>
      </w:tr>
      <w:tr w:rsidR="002644DE" w:rsidRPr="002644DE" w14:paraId="2DE78A0C" w14:textId="77777777" w:rsidTr="00BE389C">
        <w:trPr>
          <w:trHeight w:val="345"/>
          <w:jc w:val="center"/>
        </w:trPr>
        <w:tc>
          <w:tcPr>
            <w:tcW w:w="132" w:type="pct"/>
            <w:tcBorders>
              <w:bottom w:val="single" w:sz="4" w:space="0" w:color="auto"/>
            </w:tcBorders>
            <w:shd w:val="clear" w:color="auto" w:fill="F2F2F2"/>
            <w:vAlign w:val="center"/>
          </w:tcPr>
          <w:p w14:paraId="7DC9F0C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14:paraId="47269323"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14:paraId="675B5B49" w14:textId="77777777" w:rsidTr="00BE389C">
        <w:tblPrEx>
          <w:tblBorders>
            <w:top w:val="none" w:sz="0" w:space="0" w:color="auto"/>
            <w:bottom w:val="none" w:sz="0" w:space="0" w:color="auto"/>
          </w:tblBorders>
        </w:tblPrEx>
        <w:trPr>
          <w:trHeight w:val="372"/>
          <w:jc w:val="center"/>
        </w:trPr>
        <w:tc>
          <w:tcPr>
            <w:tcW w:w="132" w:type="pct"/>
            <w:shd w:val="clear" w:color="auto" w:fill="auto"/>
            <w:vAlign w:val="center"/>
          </w:tcPr>
          <w:p w14:paraId="26A7AA27"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shd w:val="clear" w:color="auto" w:fill="auto"/>
          </w:tcPr>
          <w:p w14:paraId="09377210"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shd w:val="clear" w:color="auto" w:fill="auto"/>
          </w:tcPr>
          <w:p w14:paraId="2F1F85C3" w14:textId="77777777" w:rsidR="002644DE" w:rsidRPr="002644DE" w:rsidRDefault="00676247" w:rsidP="002644DE">
            <w:pPr>
              <w:spacing w:after="0" w:line="240" w:lineRule="auto"/>
              <w:jc w:val="both"/>
              <w:rPr>
                <w:rFonts w:ascii="Times New Roman" w:eastAsia="Calibri" w:hAnsi="Times New Roman" w:cs="Times New Roman"/>
                <w:sz w:val="20"/>
              </w:rPr>
            </w:pPr>
            <w:r>
              <w:rPr>
                <w:rFonts w:ascii="Times New Roman" w:eastAsia="Calibri" w:hAnsi="Times New Roman" w:cs="Times New Roman"/>
                <w:sz w:val="20"/>
                <w:lang w:eastAsia="sk-SK"/>
              </w:rPr>
              <w:t>Bez vplyvu.</w:t>
            </w:r>
          </w:p>
        </w:tc>
      </w:tr>
      <w:tr w:rsidR="002644DE" w:rsidRPr="002644DE" w14:paraId="7D6D786C" w14:textId="77777777" w:rsidTr="00BE389C">
        <w:tblPrEx>
          <w:tblBorders>
            <w:top w:val="none" w:sz="0" w:space="0" w:color="auto"/>
            <w:bottom w:val="none" w:sz="0" w:space="0" w:color="auto"/>
          </w:tblBorders>
        </w:tblPrEx>
        <w:trPr>
          <w:trHeight w:val="371"/>
          <w:jc w:val="center"/>
        </w:trPr>
        <w:tc>
          <w:tcPr>
            <w:tcW w:w="132" w:type="pct"/>
            <w:shd w:val="clear" w:color="auto" w:fill="auto"/>
            <w:vAlign w:val="center"/>
          </w:tcPr>
          <w:p w14:paraId="36C9EA5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shd w:val="clear" w:color="auto" w:fill="auto"/>
          </w:tcPr>
          <w:p w14:paraId="7B30F2BC"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14:paraId="1FDD074B" w14:textId="77777777" w:rsidR="002644DE" w:rsidRPr="002644DE" w:rsidRDefault="00676247" w:rsidP="002644DE">
            <w:pPr>
              <w:spacing w:after="0" w:line="240" w:lineRule="auto"/>
              <w:jc w:val="both"/>
              <w:rPr>
                <w:rFonts w:ascii="Times New Roman" w:eastAsia="Calibri" w:hAnsi="Times New Roman" w:cs="Times New Roman"/>
                <w:i/>
                <w:sz w:val="18"/>
                <w:szCs w:val="18"/>
              </w:rPr>
            </w:pPr>
            <w:r>
              <w:rPr>
                <w:rFonts w:ascii="Times New Roman" w:eastAsia="Calibri" w:hAnsi="Times New Roman" w:cs="Times New Roman"/>
                <w:sz w:val="20"/>
                <w:lang w:eastAsia="sk-SK"/>
              </w:rPr>
              <w:t>Bez vplyvu.</w:t>
            </w:r>
          </w:p>
        </w:tc>
      </w:tr>
      <w:tr w:rsidR="002644DE" w:rsidRPr="002644DE" w14:paraId="78086F25" w14:textId="77777777" w:rsidTr="00BE389C">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14:paraId="6BB1BF9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shd w:val="clear" w:color="auto" w:fill="auto"/>
          </w:tcPr>
          <w:p w14:paraId="1D0F1317"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14:paraId="665C251B" w14:textId="77777777" w:rsidR="002644DE" w:rsidRPr="002644DE" w:rsidRDefault="00676247" w:rsidP="002644DE">
            <w:pPr>
              <w:spacing w:after="0" w:line="240" w:lineRule="auto"/>
              <w:jc w:val="both"/>
              <w:rPr>
                <w:rFonts w:ascii="Times New Roman" w:eastAsia="Calibri" w:hAnsi="Times New Roman" w:cs="Times New Roman"/>
                <w:i/>
                <w:sz w:val="18"/>
                <w:szCs w:val="18"/>
              </w:rPr>
            </w:pPr>
            <w:r>
              <w:rPr>
                <w:rFonts w:ascii="Times New Roman" w:eastAsia="Calibri" w:hAnsi="Times New Roman" w:cs="Times New Roman"/>
                <w:sz w:val="20"/>
                <w:lang w:eastAsia="sk-SK"/>
              </w:rPr>
              <w:t>Bez vplyvu.</w:t>
            </w:r>
          </w:p>
        </w:tc>
      </w:tr>
      <w:tr w:rsidR="002644DE" w:rsidRPr="002644DE" w14:paraId="0444574E" w14:textId="77777777" w:rsidTr="00BE389C">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14:paraId="769CE5AF"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shd w:val="clear" w:color="auto" w:fill="auto"/>
          </w:tcPr>
          <w:p w14:paraId="7C246587"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1B57EF18" w14:textId="77777777"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14:paraId="177C39B9"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14:paraId="13BF250F"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14:paraId="26FD626E"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14:paraId="61B5CF5B"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14:paraId="16E0B525"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14:paraId="4592132C"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0FF66ACF"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14:paraId="7B6C4948" w14:textId="77777777" w:rsidR="002644DE" w:rsidRPr="002644DE" w:rsidRDefault="00676247" w:rsidP="002644DE">
            <w:pPr>
              <w:spacing w:after="0" w:line="240" w:lineRule="auto"/>
              <w:rPr>
                <w:rFonts w:ascii="Times New Roman" w:eastAsia="Calibri" w:hAnsi="Times New Roman" w:cs="Times New Roman"/>
                <w:sz w:val="20"/>
              </w:rPr>
            </w:pPr>
            <w:r>
              <w:rPr>
                <w:rFonts w:ascii="Times New Roman" w:eastAsia="Calibri" w:hAnsi="Times New Roman" w:cs="Times New Roman"/>
                <w:sz w:val="20"/>
                <w:lang w:eastAsia="sk-SK"/>
              </w:rPr>
              <w:t>Bez vplyvu.</w:t>
            </w:r>
          </w:p>
        </w:tc>
      </w:tr>
    </w:tbl>
    <w:p w14:paraId="4CD60076" w14:textId="77777777"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BE389C">
          <w:headerReference w:type="default" r:id="rId10"/>
          <w:footerReference w:type="default" r:id="rId11"/>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2644DE" w:rsidRPr="002644DE" w14:paraId="136C9A20" w14:textId="77777777" w:rsidTr="00BE389C">
        <w:trPr>
          <w:jc w:val="center"/>
        </w:trPr>
        <w:tc>
          <w:tcPr>
            <w:tcW w:w="5000" w:type="pct"/>
            <w:gridSpan w:val="3"/>
            <w:shd w:val="clear" w:color="auto" w:fill="D9D9D9"/>
          </w:tcPr>
          <w:p w14:paraId="48DC8064"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14:paraId="4E3647C8" w14:textId="77777777"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14:paraId="419A6DF5" w14:textId="77777777" w:rsidTr="00BE389C">
        <w:trPr>
          <w:trHeight w:val="287"/>
          <w:jc w:val="center"/>
        </w:trPr>
        <w:tc>
          <w:tcPr>
            <w:tcW w:w="129" w:type="pct"/>
            <w:tcBorders>
              <w:top w:val="nil"/>
              <w:bottom w:val="single" w:sz="4" w:space="0" w:color="auto"/>
            </w:tcBorders>
            <w:shd w:val="clear" w:color="auto" w:fill="F2F2F2"/>
            <w:vAlign w:val="center"/>
          </w:tcPr>
          <w:p w14:paraId="486188A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60C35B82"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14:paraId="5B31E448" w14:textId="77777777" w:rsidTr="00BE389C">
        <w:trPr>
          <w:trHeight w:val="567"/>
          <w:jc w:val="center"/>
        </w:trPr>
        <w:tc>
          <w:tcPr>
            <w:tcW w:w="129" w:type="pct"/>
            <w:tcBorders>
              <w:top w:val="nil"/>
              <w:bottom w:val="single" w:sz="4" w:space="0" w:color="auto"/>
            </w:tcBorders>
            <w:shd w:val="clear" w:color="auto" w:fill="FFFFFF"/>
            <w:vAlign w:val="center"/>
          </w:tcPr>
          <w:p w14:paraId="5C7920C6"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2DEB44CA"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35BAD2B3" w14:textId="77777777" w:rsidR="002644DE" w:rsidRPr="002644DE" w:rsidRDefault="0056486F"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lang w:eastAsia="sk-SK"/>
              </w:rPr>
              <w:t>Bez vplyvu.</w:t>
            </w:r>
          </w:p>
        </w:tc>
      </w:tr>
      <w:tr w:rsidR="002644DE" w:rsidRPr="002644DE" w14:paraId="5610CBA6" w14:textId="77777777" w:rsidTr="00BE389C">
        <w:trPr>
          <w:trHeight w:val="270"/>
          <w:jc w:val="center"/>
        </w:trPr>
        <w:tc>
          <w:tcPr>
            <w:tcW w:w="129" w:type="pct"/>
            <w:tcBorders>
              <w:bottom w:val="single" w:sz="4" w:space="0" w:color="auto"/>
            </w:tcBorders>
            <w:shd w:val="clear" w:color="auto" w:fill="F2F2F2"/>
            <w:vAlign w:val="center"/>
          </w:tcPr>
          <w:p w14:paraId="240F946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04BCB24C"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14:paraId="06086AB1" w14:textId="77777777" w:rsidTr="00BE389C">
        <w:trPr>
          <w:trHeight w:val="454"/>
          <w:jc w:val="center"/>
        </w:trPr>
        <w:tc>
          <w:tcPr>
            <w:tcW w:w="129" w:type="pct"/>
            <w:tcBorders>
              <w:bottom w:val="single" w:sz="4" w:space="0" w:color="auto"/>
            </w:tcBorders>
            <w:shd w:val="clear" w:color="auto" w:fill="FFFFFF"/>
            <w:vAlign w:val="center"/>
          </w:tcPr>
          <w:p w14:paraId="5D61886D"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01BBB7BC"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19845D9F" w14:textId="77777777" w:rsidR="002644DE" w:rsidRPr="002644DE" w:rsidRDefault="0056486F"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lang w:eastAsia="sk-SK"/>
              </w:rPr>
              <w:t>Bez vplyvu.</w:t>
            </w:r>
          </w:p>
        </w:tc>
      </w:tr>
      <w:tr w:rsidR="002644DE" w:rsidRPr="002644DE" w14:paraId="3BF908CD" w14:textId="77777777" w:rsidTr="00BE389C">
        <w:trPr>
          <w:trHeight w:val="248"/>
          <w:jc w:val="center"/>
        </w:trPr>
        <w:tc>
          <w:tcPr>
            <w:tcW w:w="129" w:type="pct"/>
            <w:tcBorders>
              <w:bottom w:val="single" w:sz="4" w:space="0" w:color="auto"/>
            </w:tcBorders>
            <w:shd w:val="clear" w:color="auto" w:fill="F2F2F2"/>
            <w:vAlign w:val="center"/>
          </w:tcPr>
          <w:p w14:paraId="0BF1CF3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56A61178"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14:paraId="676176AE" w14:textId="77777777" w:rsidTr="00BE389C">
        <w:trPr>
          <w:trHeight w:val="209"/>
          <w:jc w:val="center"/>
        </w:trPr>
        <w:tc>
          <w:tcPr>
            <w:tcW w:w="129" w:type="pct"/>
            <w:tcBorders>
              <w:bottom w:val="single" w:sz="4" w:space="0" w:color="auto"/>
            </w:tcBorders>
            <w:shd w:val="clear" w:color="auto" w:fill="FFFFFF"/>
            <w:vAlign w:val="center"/>
          </w:tcPr>
          <w:p w14:paraId="5BD3830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5C5591BB"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59C4A101" w14:textId="77777777" w:rsidR="002644DE" w:rsidRPr="002644DE" w:rsidRDefault="0056486F"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lang w:eastAsia="sk-SK"/>
              </w:rPr>
              <w:t>Bez vplyvu.</w:t>
            </w:r>
          </w:p>
        </w:tc>
      </w:tr>
      <w:tr w:rsidR="002644DE" w:rsidRPr="002644DE" w14:paraId="07D20BFB" w14:textId="77777777" w:rsidTr="00BE389C">
        <w:trPr>
          <w:trHeight w:val="208"/>
          <w:jc w:val="center"/>
        </w:trPr>
        <w:tc>
          <w:tcPr>
            <w:tcW w:w="129" w:type="pct"/>
            <w:tcBorders>
              <w:bottom w:val="single" w:sz="4" w:space="0" w:color="auto"/>
            </w:tcBorders>
            <w:shd w:val="clear" w:color="auto" w:fill="F2F2F2"/>
            <w:vAlign w:val="center"/>
          </w:tcPr>
          <w:p w14:paraId="2112F0D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6EAD4236"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14:paraId="598B0A90" w14:textId="77777777" w:rsidTr="00BE389C">
        <w:trPr>
          <w:trHeight w:val="794"/>
          <w:jc w:val="center"/>
        </w:trPr>
        <w:tc>
          <w:tcPr>
            <w:tcW w:w="129" w:type="pct"/>
            <w:tcBorders>
              <w:bottom w:val="single" w:sz="4" w:space="0" w:color="auto"/>
            </w:tcBorders>
            <w:shd w:val="clear" w:color="auto" w:fill="FFFFFF"/>
            <w:vAlign w:val="center"/>
          </w:tcPr>
          <w:p w14:paraId="2022412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5D293127"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104F9EC8" w14:textId="77777777" w:rsidR="002644DE" w:rsidRPr="002644DE" w:rsidRDefault="0056486F"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lang w:eastAsia="sk-SK"/>
              </w:rPr>
              <w:t>Bez vplyvu.</w:t>
            </w:r>
          </w:p>
        </w:tc>
      </w:tr>
      <w:tr w:rsidR="002644DE" w:rsidRPr="002644DE" w14:paraId="78F981C8" w14:textId="77777777" w:rsidTr="00BE389C">
        <w:trPr>
          <w:trHeight w:val="324"/>
          <w:jc w:val="center"/>
        </w:trPr>
        <w:tc>
          <w:tcPr>
            <w:tcW w:w="129" w:type="pct"/>
            <w:tcBorders>
              <w:bottom w:val="single" w:sz="4" w:space="0" w:color="auto"/>
            </w:tcBorders>
            <w:shd w:val="clear" w:color="auto" w:fill="F2F2F2"/>
            <w:vAlign w:val="center"/>
          </w:tcPr>
          <w:p w14:paraId="46212116"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7FFF1C9C"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14:paraId="7454A90D" w14:textId="77777777" w:rsidTr="00BE389C">
        <w:trPr>
          <w:trHeight w:val="216"/>
          <w:jc w:val="center"/>
        </w:trPr>
        <w:tc>
          <w:tcPr>
            <w:tcW w:w="129" w:type="pct"/>
            <w:tcBorders>
              <w:bottom w:val="single" w:sz="4" w:space="0" w:color="auto"/>
            </w:tcBorders>
            <w:shd w:val="clear" w:color="auto" w:fill="FFFFFF"/>
            <w:vAlign w:val="center"/>
          </w:tcPr>
          <w:p w14:paraId="16F4D24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493330E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4BE6E7BA" w14:textId="77777777" w:rsidR="002644DE" w:rsidRPr="002644DE" w:rsidRDefault="0056486F"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lang w:eastAsia="sk-SK"/>
              </w:rPr>
              <w:t>Bez vplyvu.</w:t>
            </w:r>
          </w:p>
        </w:tc>
      </w:tr>
      <w:tr w:rsidR="002644DE" w:rsidRPr="002644DE" w14:paraId="774CE64B" w14:textId="77777777" w:rsidTr="00BE389C">
        <w:trPr>
          <w:trHeight w:val="219"/>
          <w:jc w:val="center"/>
        </w:trPr>
        <w:tc>
          <w:tcPr>
            <w:tcW w:w="129" w:type="pct"/>
            <w:tcBorders>
              <w:bottom w:val="single" w:sz="4" w:space="0" w:color="auto"/>
            </w:tcBorders>
            <w:shd w:val="clear" w:color="auto" w:fill="F2F2F2"/>
            <w:vAlign w:val="center"/>
          </w:tcPr>
          <w:p w14:paraId="6EE659CC"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160FCD8A"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14:paraId="1A179D68" w14:textId="77777777" w:rsidTr="00BE389C">
        <w:trPr>
          <w:trHeight w:val="497"/>
          <w:jc w:val="center"/>
        </w:trPr>
        <w:tc>
          <w:tcPr>
            <w:tcW w:w="129" w:type="pct"/>
            <w:tcBorders>
              <w:bottom w:val="single" w:sz="4" w:space="0" w:color="auto"/>
            </w:tcBorders>
            <w:shd w:val="clear" w:color="auto" w:fill="FFFFFF"/>
            <w:vAlign w:val="center"/>
          </w:tcPr>
          <w:p w14:paraId="5C2BD02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17DDE474"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36920005" w14:textId="77777777" w:rsidR="002644DE" w:rsidRPr="002644DE" w:rsidRDefault="0056486F"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lang w:eastAsia="sk-SK"/>
              </w:rPr>
              <w:t>Bez vplyvu.</w:t>
            </w:r>
          </w:p>
        </w:tc>
      </w:tr>
    </w:tbl>
    <w:p w14:paraId="16FE4D3D" w14:textId="77777777" w:rsidR="00BE389C" w:rsidRDefault="00BE389C" w:rsidP="002644DE"/>
    <w:sectPr w:rsidR="00BE389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8B6B9" w14:textId="77777777" w:rsidR="004414E3" w:rsidRDefault="004414E3" w:rsidP="002644DE">
      <w:pPr>
        <w:spacing w:after="0" w:line="240" w:lineRule="auto"/>
      </w:pPr>
      <w:r>
        <w:separator/>
      </w:r>
    </w:p>
  </w:endnote>
  <w:endnote w:type="continuationSeparator" w:id="0">
    <w:p w14:paraId="252F1CCF" w14:textId="77777777" w:rsidR="004414E3" w:rsidRDefault="004414E3"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altName w:val="Arial"/>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9628070"/>
      <w:docPartObj>
        <w:docPartGallery w:val="Page Numbers (Bottom of Page)"/>
        <w:docPartUnique/>
      </w:docPartObj>
    </w:sdtPr>
    <w:sdtEndPr>
      <w:rPr>
        <w:rFonts w:ascii="Times New Roman" w:hAnsi="Times New Roman" w:cs="Times New Roman"/>
      </w:rPr>
    </w:sdtEndPr>
    <w:sdtContent>
      <w:p w14:paraId="689E74B6" w14:textId="65D2B74E" w:rsidR="00717ECA" w:rsidRPr="001D6749" w:rsidRDefault="00717ECA">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773A6E">
          <w:rPr>
            <w:rFonts w:ascii="Times New Roman" w:hAnsi="Times New Roman" w:cs="Times New Roman"/>
            <w:noProof/>
          </w:rPr>
          <w:t>3</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8902475"/>
      <w:docPartObj>
        <w:docPartGallery w:val="Page Numbers (Bottom of Page)"/>
        <w:docPartUnique/>
      </w:docPartObj>
    </w:sdtPr>
    <w:sdtEndPr>
      <w:rPr>
        <w:rFonts w:ascii="Times New Roman" w:hAnsi="Times New Roman" w:cs="Times New Roman"/>
      </w:rPr>
    </w:sdtEndPr>
    <w:sdtContent>
      <w:p w14:paraId="77FA8752" w14:textId="1DC19475" w:rsidR="00717ECA" w:rsidRPr="001D6749" w:rsidRDefault="00717ECA">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773A6E">
          <w:rPr>
            <w:rFonts w:ascii="Times New Roman" w:hAnsi="Times New Roman" w:cs="Times New Roman"/>
            <w:noProof/>
          </w:rPr>
          <w:t>6</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9386E" w14:textId="77777777" w:rsidR="004414E3" w:rsidRDefault="004414E3" w:rsidP="002644DE">
      <w:pPr>
        <w:spacing w:after="0" w:line="240" w:lineRule="auto"/>
      </w:pPr>
      <w:r>
        <w:separator/>
      </w:r>
    </w:p>
  </w:footnote>
  <w:footnote w:type="continuationSeparator" w:id="0">
    <w:p w14:paraId="637342F5" w14:textId="77777777" w:rsidR="004414E3" w:rsidRDefault="004414E3"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B851E" w14:textId="77777777" w:rsidR="00717ECA" w:rsidRPr="00CD4982" w:rsidRDefault="00717ECA" w:rsidP="00BE389C">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1BEA1" w14:textId="77777777" w:rsidR="00717ECA" w:rsidRPr="00CD4982" w:rsidRDefault="00717ECA" w:rsidP="00433C4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p w14:paraId="06CAD83F" w14:textId="77777777" w:rsidR="00717ECA" w:rsidRPr="00433C47" w:rsidRDefault="00717ECA"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5B5047F2"/>
    <w:multiLevelType w:val="hybridMultilevel"/>
    <w:tmpl w:val="B9FC6E0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6D9957FA"/>
    <w:multiLevelType w:val="hybridMultilevel"/>
    <w:tmpl w:val="3696A25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2"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2145584707">
    <w:abstractNumId w:val="2"/>
  </w:num>
  <w:num w:numId="2" w16cid:durableId="796222147">
    <w:abstractNumId w:val="4"/>
  </w:num>
  <w:num w:numId="3" w16cid:durableId="5640346">
    <w:abstractNumId w:val="1"/>
  </w:num>
  <w:num w:numId="4" w16cid:durableId="743844803">
    <w:abstractNumId w:val="13"/>
  </w:num>
  <w:num w:numId="5" w16cid:durableId="653875034">
    <w:abstractNumId w:val="8"/>
  </w:num>
  <w:num w:numId="6" w16cid:durableId="1072311235">
    <w:abstractNumId w:val="9"/>
  </w:num>
  <w:num w:numId="7" w16cid:durableId="1153908267">
    <w:abstractNumId w:val="3"/>
  </w:num>
  <w:num w:numId="8" w16cid:durableId="1289051712">
    <w:abstractNumId w:val="6"/>
  </w:num>
  <w:num w:numId="9" w16cid:durableId="639923356">
    <w:abstractNumId w:val="5"/>
  </w:num>
  <w:num w:numId="10" w16cid:durableId="148719079">
    <w:abstractNumId w:val="0"/>
  </w:num>
  <w:num w:numId="11" w16cid:durableId="1876233127">
    <w:abstractNumId w:val="11"/>
  </w:num>
  <w:num w:numId="12" w16cid:durableId="429666912">
    <w:abstractNumId w:val="12"/>
  </w:num>
  <w:num w:numId="13" w16cid:durableId="156962537">
    <w:abstractNumId w:val="14"/>
  </w:num>
  <w:num w:numId="14" w16cid:durableId="816341762">
    <w:abstractNumId w:val="10"/>
  </w:num>
  <w:num w:numId="15" w16cid:durableId="210823460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proofState w:spelling="clean" w:grammar="clean"/>
  <w:trackRevisions/>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4DE"/>
    <w:rsid w:val="0002659C"/>
    <w:rsid w:val="00031E1C"/>
    <w:rsid w:val="00060EEC"/>
    <w:rsid w:val="000817AB"/>
    <w:rsid w:val="000912C3"/>
    <w:rsid w:val="000A2134"/>
    <w:rsid w:val="000C08F1"/>
    <w:rsid w:val="00107A58"/>
    <w:rsid w:val="00126FB4"/>
    <w:rsid w:val="00134CDA"/>
    <w:rsid w:val="00160B41"/>
    <w:rsid w:val="0016548D"/>
    <w:rsid w:val="001D6ED0"/>
    <w:rsid w:val="001E3621"/>
    <w:rsid w:val="002150FD"/>
    <w:rsid w:val="002644DE"/>
    <w:rsid w:val="0030541C"/>
    <w:rsid w:val="003815EE"/>
    <w:rsid w:val="00382021"/>
    <w:rsid w:val="003F1FFA"/>
    <w:rsid w:val="0040256B"/>
    <w:rsid w:val="00433C47"/>
    <w:rsid w:val="004414E3"/>
    <w:rsid w:val="004729A1"/>
    <w:rsid w:val="0056486F"/>
    <w:rsid w:val="005C397A"/>
    <w:rsid w:val="00630F3E"/>
    <w:rsid w:val="00636449"/>
    <w:rsid w:val="00653687"/>
    <w:rsid w:val="00676247"/>
    <w:rsid w:val="006915D3"/>
    <w:rsid w:val="006C777C"/>
    <w:rsid w:val="00717ECA"/>
    <w:rsid w:val="00773A6E"/>
    <w:rsid w:val="007E57E7"/>
    <w:rsid w:val="007F58AE"/>
    <w:rsid w:val="007F6319"/>
    <w:rsid w:val="0080535F"/>
    <w:rsid w:val="00824AF6"/>
    <w:rsid w:val="00825833"/>
    <w:rsid w:val="008801B5"/>
    <w:rsid w:val="00884CA9"/>
    <w:rsid w:val="0089000C"/>
    <w:rsid w:val="008E5428"/>
    <w:rsid w:val="00916446"/>
    <w:rsid w:val="009329D8"/>
    <w:rsid w:val="00945563"/>
    <w:rsid w:val="0095188C"/>
    <w:rsid w:val="00955FB3"/>
    <w:rsid w:val="009E09F7"/>
    <w:rsid w:val="00A9062A"/>
    <w:rsid w:val="00AD6951"/>
    <w:rsid w:val="00AE4C7A"/>
    <w:rsid w:val="00B32419"/>
    <w:rsid w:val="00B330AF"/>
    <w:rsid w:val="00B34C4D"/>
    <w:rsid w:val="00B479AC"/>
    <w:rsid w:val="00B75171"/>
    <w:rsid w:val="00BC0320"/>
    <w:rsid w:val="00BD141A"/>
    <w:rsid w:val="00BE1871"/>
    <w:rsid w:val="00BE389C"/>
    <w:rsid w:val="00BE7C0B"/>
    <w:rsid w:val="00C127EF"/>
    <w:rsid w:val="00C52EAA"/>
    <w:rsid w:val="00CB4505"/>
    <w:rsid w:val="00CF5D28"/>
    <w:rsid w:val="00D04C1A"/>
    <w:rsid w:val="00D90469"/>
    <w:rsid w:val="00DD1D7B"/>
    <w:rsid w:val="00DD3CE8"/>
    <w:rsid w:val="00DD4C51"/>
    <w:rsid w:val="00DF114E"/>
    <w:rsid w:val="00E72622"/>
    <w:rsid w:val="00E8540E"/>
    <w:rsid w:val="00EC652C"/>
    <w:rsid w:val="00F201D2"/>
    <w:rsid w:val="00F26207"/>
    <w:rsid w:val="00F52139"/>
    <w:rsid w:val="00F74DD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727B5"/>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Textbubliny">
    <w:name w:val="Balloon Text"/>
    <w:basedOn w:val="Normlny"/>
    <w:link w:val="TextbublinyChar"/>
    <w:uiPriority w:val="99"/>
    <w:semiHidden/>
    <w:unhideWhenUsed/>
    <w:rsid w:val="00DD1D7B"/>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DD1D7B"/>
    <w:rPr>
      <w:rFonts w:ascii="Segoe UI" w:hAnsi="Segoe UI" w:cs="Segoe UI"/>
      <w:sz w:val="18"/>
      <w:szCs w:val="18"/>
    </w:rPr>
  </w:style>
  <w:style w:type="paragraph" w:styleId="Odsekzoznamu">
    <w:name w:val="List Paragraph"/>
    <w:basedOn w:val="Normlny"/>
    <w:uiPriority w:val="34"/>
    <w:qFormat/>
    <w:rsid w:val="00BE389C"/>
    <w:pPr>
      <w:ind w:left="720"/>
      <w:contextualSpacing/>
    </w:pPr>
  </w:style>
  <w:style w:type="character" w:styleId="Hypertextovprepojenie">
    <w:name w:val="Hyperlink"/>
    <w:basedOn w:val="Predvolenpsmoodseku"/>
    <w:uiPriority w:val="99"/>
    <w:unhideWhenUsed/>
    <w:rsid w:val="00B32419"/>
    <w:rPr>
      <w:color w:val="0563C1" w:themeColor="hyperlink"/>
      <w:u w:val="single"/>
    </w:rPr>
  </w:style>
  <w:style w:type="paragraph" w:styleId="Revzia">
    <w:name w:val="Revision"/>
    <w:hidden/>
    <w:uiPriority w:val="99"/>
    <w:semiHidden/>
    <w:rsid w:val="001D6ED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lastný-materiál,-príloha-č.-4"/>
    <f:field ref="objsubject" par="" edit="true" text=""/>
    <f:field ref="objcreatedby" par="" text="Drieniková, Kristína"/>
    <f:field ref="objcreatedat" par="" text="3.11.2020 15:32:03"/>
    <f:field ref="objchangedby" par="" text="Matúšek, Miloš, JUDr."/>
    <f:field ref="objmodifiedat" par="" text="4.11.2020 13:20:0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6</Pages>
  <Words>2449</Words>
  <Characters>13964</Characters>
  <Application>Microsoft Office Word</Application>
  <DocSecurity>0</DocSecurity>
  <Lines>116</Lines>
  <Paragraphs>32</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Matlakova Miroslava</cp:lastModifiedBy>
  <cp:revision>15</cp:revision>
  <cp:lastPrinted>2024-09-09T09:03:00Z</cp:lastPrinted>
  <dcterms:created xsi:type="dcterms:W3CDTF">2024-11-21T14:45:00Z</dcterms:created>
  <dcterms:modified xsi:type="dcterms:W3CDTF">2025-06-13T15:43:00Z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3. 11. 2020</vt:lpwstr>
  </property>
  <property fmtid="{D5CDD505-2E9C-101B-9397-08002B2CF9AE}" pid="151" name="FSC#COOSYSTEM@1.1:Container">
    <vt:lpwstr>COO.2145.1000.3.4079702</vt:lpwstr>
  </property>
  <property fmtid="{D5CDD505-2E9C-101B-9397-08002B2CF9AE}" pid="152" name="FSC#FSCFOLIO@1.1001:docpropproject">
    <vt:lpwstr/>
  </property>
</Properties>
</file>