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507/2023 Z. z. o dorovnávacej dani na zabezpečenie minimálnej úrovne zdanenia nadnárodných skupín podnikov a veľkých vnútroštátnych skupín a o doplnení zákona č. 563/2009 Z. z. o správe daní (daňový poriadok) a o zmene a doplnení niektorých zákonov v znení neskorších predpisov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LP/2026/369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 (úvodná veta) – O:</w:t>
              <w:br/>
            </w:r>
            <w:r>
              <w:rPr>
                <w:b w:val="off"/>
                <w:color w:val="000000"/>
                <w:rFonts w:ascii="Times New Roman" w:hAnsi="Times New Roman" w:cs="Times New Roman" w:eastAsia="Times New Roman"/>
                <w:sz w:val="24"/>
              </w:rPr>
              <w:t>V úvodnej vete odporúčame slová „pripája čiarka a tieto slová“ nahradiť slovami „pripájajú tieto slová“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Predložené znenie je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3 (úvodná veta) – O:</w:t>
              <w:br/>
            </w:r>
            <w:r>
              <w:rPr>
                <w:b w:val="off"/>
                <w:color w:val="000000"/>
                <w:rFonts w:ascii="Times New Roman" w:hAnsi="Times New Roman" w:cs="Times New Roman" w:eastAsia="Times New Roman"/>
                <w:sz w:val="24"/>
              </w:rPr>
              <w:t xml:space="preserve">Úvodnú vetu odporúčame uviesť v súlade s bodom 31. prílohy k Legislatívnym pravidlám vlády Slovenskej republiky v znení: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17 sa odsek 2 dopĺňa písmenom f), ktoré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4 [§ 32d ods. 5 písm. b)] – O:</w:t>
              <w:br/>
            </w:r>
            <w:r>
              <w:rPr>
                <w:b w:val="off"/>
                <w:color w:val="000000"/>
                <w:rFonts w:ascii="Times New Roman" w:hAnsi="Times New Roman" w:cs="Times New Roman" w:eastAsia="Times New Roman"/>
                <w:sz w:val="24"/>
              </w:rPr>
              <w:t>V § 32d ods. 5 písm. b) navrhujeme slová „v súlade § 42 ods. 2“ nahradiť slovami „v súlade s § 42 ods. 2“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40 ods. 5 písm. b), c) a e) a ods. 6</w:t>
              <w:br/>
            </w:r>
            <w:r>
              <w:rPr>
                <w:b w:val="off"/>
                <w:color w:val="000000"/>
                <w:rFonts w:ascii="Times New Roman" w:hAnsi="Times New Roman" w:cs="Times New Roman" w:eastAsia="Times New Roman"/>
                <w:sz w:val="24"/>
              </w:rPr>
              <w:t>Žiadame v čl. I bode 5 vypustiť z navrhovaného § 40 ods. 5 písmená b), c) a e) a nadväzujúci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zavádza osobnú zodpovednosť posledného štatutárneho orgánu alebo člena štatutárneho orgánu za splnenie povinnosti podať daňové priznanie alebo zaplatiť dorovnávaciu daň po zániku daňovníka bez právneho nástupcu. Túto koncepciu osobnej zodpovednosti považujeme za neprijateľnú a systémovo nesúladnú so základnými princípmi fungovania kapitálových obchodných spoločností, ktoré sú založené na princípe oddelenia majetku právnickej osoby od majetku členov jej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zodpovednosť vzniká výlučne na základe formálneho postavenia osoby ako posledného štatutárneho orgánu zapísaného v príslušnom registri pred výmazom spoločnosti, bez ohľadu na jej reálnu možnosť ovplyvniť vznik, výšku alebo splnenie predmetnej daňovej povinnosti. Fakticky tak dochádza k zavedeniu osobnej majetkovej zodpovednosti fyzických osôb za daňové povinnosti právnickej osoby bez väzby na ich zavinenie, porušenie konkrétnej právnej povinnosti alebo iné protiprávne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Osobitne problematické je takéto riešenie pri dorovnávacej dani, ktorá predstavuje špecifický režim zdaňovania založený na údajoch a výpočtoch vykonávaných na úrovni nadnárodnej skupiny podnikov alebo veľkej vnútroštátnej skupiny. Jednotliví členovia štatutárnych orgánov preto nemusia mať objektívne možnosť disponovať všetkými informáciami potrebnými na správne určenie, vykázanie alebo úhradu dorovnávacej dane. Ustanovenie § 40 ods. 6 zároveň zavádza spoločnú a nerozdielnu zodpovednosť viacerých členov štatutárneho orgánu bez ohľadu na ich skutočný podiel na riadení spoločnosti, rozsah ich právomocí alebo reálnu možnosť ovplyvniť plnenie predmetných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vyvoláva závažné pochybnosti z pohľadu súladu s princípom proporcionality, ako aj s ďalšími ústavnými princípmi, ktoré tvoria základ právneho štátu. Princíp proporcionality vyžaduje, aby každý zásah verejnej moci sledoval legitímny cieľ, bol spôsobilý tento cieľ dosiahnuť, bol nevyhnutný (t. j. neexistoval menej invazívny prostriedok) a zároveň, aby negatívne dôsledky zásahu neboli v zjavnom nepomere k sledovanému cieľu. Právny poriadok už v súčasnosti obsahuje viacero nástrojov, ktoré umožňujú efektívne postihovať konanie vedúce k daňovým únikom. Ide najmä o zodpovednosť štatutárnych orgánov za škodu, inštitúty odporovateľnosti právnych úkonov, osobitné formy daňového ručenia, ako aj trestnoprávnu zodpovednosť v prípade úmyselného konania. Zavedenie ďalšieho mechanizmu preto nemožno považovať za nevyhnutné, keďže existujú menej invazívne prostriedky na dosiahnutie sledovaného cieľa.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3 odporúčame slová „§ 17“ nahradiť slovami „V §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 I bode 4 v navrhovanom § 32d ods. 2 písm. a) a v odseku 7 úvodnej vete odporúčame slová „odseku 3 a 5“ nahradiť slovami „odsekov 3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 I bode 5 v § 40 ods. 6 navrhujeme za slovo „alebo“ vložiť slovo „písm.“.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 I bode 7 odporúčame slová „§ 32c, § 32d ods. 1 a 7“ nahradiť slovami „§ 32c a § 32d ods. 1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K čl. I bodu 9 </w:t>
              <w:br/>
            </w:r>
            <w:r>
              <w:rPr>
                <w:b w:val="off"/>
                <w:color w:val="000000"/>
                <w:rFonts w:ascii="Times New Roman" w:hAnsi="Times New Roman" w:cs="Times New Roman" w:eastAsia="Times New Roman"/>
                <w:sz w:val="24"/>
              </w:rPr>
              <w:t>- v § 46c ods. 1 navrhujeme slová „uplatnia ustanovenia“ nahradiť  slovom „uplatní“;</w:t>
              <w:br/>
            </w:r>
            <w:r>
              <w:rPr>
                <w:b w:val="off"/>
                <w:color w:val="000000"/>
                <w:rFonts w:ascii="Times New Roman" w:hAnsi="Times New Roman" w:cs="Times New Roman" w:eastAsia="Times New Roman"/>
                <w:sz w:val="24"/>
              </w:rPr>
              <w:t>- v § 46c ods. 2 navrhujeme vypustiť slovo „ods.“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predkladateľovi doplniť v Doložke vybraných vplyvov v bode </w:t>
              <w:br/>
            </w:r>
            <w:r>
              <w:rPr>
                <w:b w:val="off"/>
                <w:color w:val="000000"/>
                <w:rFonts w:ascii="Times New Roman" w:hAnsi="Times New Roman" w:cs="Times New Roman" w:eastAsia="Times New Roman"/>
                <w:sz w:val="24"/>
              </w:rPr>
              <w:t>13. poradové číslo stanoviska Komisie na posudzovanie vybraných vplyvov z PPK č. 100/2026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Doložke vybraných vplyvov chýba poradové číslo stanoviska Komisie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upraviť Analýzu vplyvov na podnikateľské prostredie a Kalkulačku nákladov podnikateľského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analýze v popise regulácie č. 2 deklaruje, že dôjde k zníženiu finančných a administratívnych nákladov, avšak v kalkulačke nákladov nebol uvedený žiadny náklad. Z tohto dôvodu je táto regulácia kvantifikovaná s nulovým vplyvom. Je potrebné, aby predkladateľ v kalkulačke nákladov doplnil finančné alebo administratívne náklady a následne aktualizoval Analýzu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bod 3.1.3 pri regulácii č. 2 v analýze vplyvov na podnikateľské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Odporúčame návrh zákona upraviť legislatívno-technicky, a to napríklad v</w:t>
              <w:br/>
            </w:r>
            <w:r>
              <w:rPr>
                <w:b w:val="off"/>
                <w:color w:val="000000"/>
                <w:rFonts w:ascii="Times New Roman" w:hAnsi="Times New Roman" w:cs="Times New Roman" w:eastAsia="Times New Roman"/>
                <w:sz w:val="24"/>
              </w:rPr>
              <w:t>-	čl. I bode 3 úvodnej vete slová „§ 17 sa ods. 2“ nahradiť slovami „V § 17 sa odsek 2“,</w:t>
              <w:br/>
            </w:r>
            <w:r>
              <w:rPr>
                <w:b w:val="off"/>
                <w:color w:val="000000"/>
                <w:rFonts w:ascii="Times New Roman" w:hAnsi="Times New Roman" w:cs="Times New Roman" w:eastAsia="Times New Roman"/>
                <w:sz w:val="24"/>
              </w:rPr>
              <w:t>-	čl. I bode 4 § 32d ods. 2 písm. a) a ods. 7 slová „odseku 3 a 5“ nahradiť slovami „odsekov 3 a 5“, ak nie je žiadúce vyjadriť uvedené ako alternatívu spojkou „alebo“,</w:t>
              <w:br/>
            </w:r>
            <w:r>
              <w:rPr>
                <w:b w:val="off"/>
                <w:color w:val="000000"/>
                <w:rFonts w:ascii="Times New Roman" w:hAnsi="Times New Roman" w:cs="Times New Roman" w:eastAsia="Times New Roman"/>
                <w:sz w:val="24"/>
              </w:rPr>
              <w:t xml:space="preserve">-	čl. I bode 4 § 32d ods. 7 písm. b) vypustiť slovo „sa“ vzhľadom na nadväznosť textu písmena b) na prvú časť vety, </w:t>
              <w:br/>
            </w:r>
            <w:r>
              <w:rPr>
                <w:b w:val="off"/>
                <w:color w:val="000000"/>
                <w:rFonts w:ascii="Times New Roman" w:hAnsi="Times New Roman" w:cs="Times New Roman" w:eastAsia="Times New Roman"/>
                <w:sz w:val="24"/>
              </w:rPr>
              <w:t xml:space="preserve">-	čl. I bode 5 § 40 ods. 6 slová „“alebo e)“ nahradiť slovami „alebo písm. e)“, </w:t>
              <w:br/>
            </w:r>
            <w:r>
              <w:rPr>
                <w:b w:val="off"/>
                <w:color w:val="000000"/>
                <w:rFonts w:ascii="Times New Roman" w:hAnsi="Times New Roman" w:cs="Times New Roman" w:eastAsia="Times New Roman"/>
                <w:sz w:val="24"/>
              </w:rPr>
              <w:t>-	čl. I bode 9 § 46c ods. 2 slová „a ods. 6“ nahradiť slovami „a 6“,</w:t>
              <w:br/>
            </w:r>
            <w:r>
              <w:rPr>
                <w:b w:val="off"/>
                <w:color w:val="000000"/>
                <w:rFonts w:ascii="Times New Roman" w:hAnsi="Times New Roman" w:cs="Times New Roman" w:eastAsia="Times New Roman"/>
                <w:sz w:val="24"/>
              </w:rPr>
              <w:t>-	čl. II za slovo „prvého“ vložiť slovo „bodu“ v súlade s bodom 22.7.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spresniť bod 4 písm. c) doložky zlučiteľnosti tak, aby jednoznačne rozlišoval medzi transpozíciou smernice Rady (EÚ) 2022/2523 a administratívnymi usmerneniami OECD. Predmetný bod má obsahovať informáciu o vnútroštátnom právnom predpise, ktorým bola smernica prebratá, vrátane rozsahu jej prebratia. Informáciu o zosúladení s administratívnymi usmerneniami OECD odporúčame uviesť ako doplňujúcu skutočnosť, keďže nejde o informáciu o transpozícii smernice, ale o dôvod navrhovanej novelizácie.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prvom bode doložky vybraných vplyvov žiadame uviesť úplnú citáciu smernice (EÚ) 2022/2523 nasledovne: „smernica Rady (EÚ) 2022/2523 zo 15. decembra 2022 o zabezpečení globálnej minimálnej úrovne zdanenia nadnárodných skupín podnikov a veľkých vnútroštátnych skupín v Únii (Ú. v. EÚ L 328, 22.12.2022)“. Zároveň žiadame zaviesť skrátenú citáciu v súlade s bodom 62.9. prílohy č. 1 Legislatívnych pravidiel vlády Slovenskej republiky nasledovne: „(ďalej len „smernica (EÚ) 2022/2523“).“.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vlastnému materiálu, čl. I. bod 4, § 32d:</w:t>
              <w:br/>
            </w:r>
            <w:r>
              <w:rPr>
                <w:b w:val="off"/>
                <w:color w:val="000000"/>
                <w:rFonts w:ascii="Times New Roman" w:hAnsi="Times New Roman" w:cs="Times New Roman" w:eastAsia="Times New Roman"/>
                <w:sz w:val="24"/>
              </w:rPr>
              <w:t>Vo vzťahu k navrhovanej úprave v článku I. bod 4 vlastného materiálu odporúčame predkladateľovi posúdiť tam uvedenú výnimku pre daňové stimuly z hľadiska pravidiel v oblasti štátnej pomoci, s osobitným dôrazom na materiálnu selektívnosť.</w:t>
              <w:br/>
            </w:r>
            <w:r>
              <w:rPr>
                <w:b w:val="off"/>
                <w:color w:val="000000"/>
                <w:rFonts w:ascii="Times New Roman" w:hAnsi="Times New Roman" w:cs="Times New Roman" w:eastAsia="Times New Roman"/>
                <w:sz w:val="24"/>
              </w:rPr>
              <w:t>Daňové stimuly týkajúce sa zníženia dane alebo úplného oslobodenia od dane pre subjekty vykonávajúce hospodársku činnosť (podniky), ktoré nevychádzajú zo základných zásad príslušného daňového systému, môžu mať z hľadiska svojich účinkov selektívnu povahu a predstavovať štátnu pomoc.</w:t>
              <w:br/>
            </w:r>
            <w:r>
              <w:rPr>
                <w:b w:val="off"/>
                <w:color w:val="000000"/>
                <w:rFonts w:ascii="Times New Roman" w:hAnsi="Times New Roman" w:cs="Times New Roman" w:eastAsia="Times New Roman"/>
                <w:sz w:val="24"/>
              </w:rPr>
              <w:t>Súčasne, ak by z vykonaného posúdenia vyplynulo, že v súvislosti s navrhovanou úpravou § 32d návrhu zákona nie je možné vylúčiť štátnu pomoc v zmysle článku 107 ods. 1 Zmluvy o fungovaní Európskej únie (ďalej len „ZFEÚ“), odporúčame predkladateľovi do návrhu zákona doplniť do poznámky pod čiarou k dotknutému ustanoveniu odkaz na osobitné predpisy v oblasti štátnej pomoci, najmä na čl. 107 a 108 ZFEÚ a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107 ods. 1 ZFEÚ sa štátna pomoc definuje ako pomoc poskytovaná v akejkoľvek forme členským štátom alebo zo štátnych prostriedkov, ktorá narúša hospodársku súťaž alebo hrozí narušením hospodárskej súťaže tým, že zvýhodňuje určité subjekty vykonávajúce hospodársku činnosť, t. j. podnik alebo výrobu určitých druhov tovaru, pokiaľ ovplyvňuje obchod medzi členskými štátmi. Za podnik sa v zmysle pravidiel štátnej pomoci považuje subjekt vykonávajúci hospodársku činnosť bez ohľadu na jeho právne postavenie, spôsob financovania, ako aj dosahovanie zisku.</w:t>
              <w:br/>
            </w:r>
            <w:r>
              <w:rPr>
                <w:b w:val="off"/>
                <w:color w:val="000000"/>
                <w:rFonts w:ascii="Times New Roman" w:hAnsi="Times New Roman" w:cs="Times New Roman" w:eastAsia="Times New Roman"/>
                <w:sz w:val="24"/>
              </w:rPr>
              <w:t>Z hľadiska pravidiel štátnej pomoci a daňových opatrení sa podľa článku 107 ods. 1 ZFEÚ nerozlišuje medzi opatreniami zásahu štátu podľa ich príčin alebo cieľov, ale tieto opatrenia sú definované na základe ich účinkov bez ohľadu na použité metódy.</w:t>
              <w:br/>
            </w:r>
            <w:r>
              <w:rPr>
                <w:b w:val="off"/>
                <w:color w:val="000000"/>
                <w:rFonts w:ascii="Times New Roman" w:hAnsi="Times New Roman" w:cs="Times New Roman" w:eastAsia="Times New Roman"/>
                <w:sz w:val="24"/>
              </w:rPr>
              <w:t>Ak sa opatrením v rámci referenčného systému zvýhodňujú určité podniky alebo výroba určitého tovaru v porovnaní s inými podnikmi, ktoré sú v podobnej právnej a skutkovej situácii vzhľadom na vlastný cieľ referenčného systému, takéto opatrenie je prima facie selektívne a môže znamenať existenciu štátnej pomoci.</w:t>
              <w:br/>
            </w:r>
            <w:r>
              <w:rPr>
                <w:b w:val="off"/>
                <w:color w:val="000000"/>
                <w:rFonts w:ascii="Times New Roman" w:hAnsi="Times New Roman" w:cs="Times New Roman" w:eastAsia="Times New Roman"/>
                <w:sz w:val="24"/>
              </w:rPr>
              <w:t>V oblasti daňových opatrení tvoria referenčný systém najmä prvky ako základ dane, okruh zdaniteľných osôb, zdaniteľné udalosti a sadzby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 32d nezakladá nový daňový stimul ani nemení podmienky poskytovania existujúcich daňových stimulov upravených v osobitných právnych predpisoch. Predmetom navrhovanej úpravy je výlučne spôsob ich zohľadnenia pri výpočte dorovnávacej dane podľa zákona o dorovnávacej dani, ktorým sa implementujú medzinárodné pravidlá  o zabezpečení globálnej minimálnej úrovne zdanenia nadnárodných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nemení okruh oprávnených subjektov, podmienky priznania ani výšku existujúcich daňových stimulov. Rovnako nemení ich právnu povahu z hľadiska pravidiel štátnej pomoci podľa článkov 107 a 108 ZFEÚ. Predmetom úpravy je výlučne metodika výpočtu efektívnej sadzby dane v systéme dorovnávacej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Definícia kvalifikovaného daňového stimulu podľa § 2 písm. bt) vychádza z objektívnych kritérií Modelových pravidiel OECD a vzťahuje sa len na všeobecne dostupné stimuly viazané na ekonomickú činnosť, ktorých poskytnutie nie je založené na individuálnom alebo diskrečnom rozhodnutí orgánu verejnej moci. Navrhovaná úprava preto nezavádza nové pravidlá poskytovania selektívneho daňového zvýhodnenia, ale upravuje spôsob zohľadnenia existujúcich stimulov pri výpočte dorovnávacej dane.</w:t>
              <w:br/>
            </w:r>
            <w:r>
              <w:rPr>
                <w:b w:val="off"/>
                <w:color w:val="000000"/>
                <w:rFonts w:ascii="Times New Roman" w:hAnsi="Times New Roman" w:cs="Times New Roman" w:eastAsia="Times New Roman"/>
                <w:sz w:val="24"/>
              </w:rPr>
              <w:t>Keďže návrh nemení právny režim poskytovania daňových stimulov ani nezakladá nový právny základ na poskytovanie štátnej pomoci, predkladateľ nepovažuje za potrebné dopĺňať do návrhu zákona odkazy na články 107 a 108 ZFEÚ ani na zákon č. 358/2015 Z. z. o úprave niektorých vzťahov v oblasti štátnej pomoci a minimálnej pomoci. Pravidlá štátnej pomoci sa naďalej uplatňujú vo vzťahu k samotným daňovým stimulom podľa príslušných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40 ods. 5 písm. b), c) a e) a ods. 6)</w:t>
              <w:br/>
            </w:r>
            <w:r>
              <w:rPr>
                <w:b w:val="off"/>
                <w:color w:val="000000"/>
                <w:rFonts w:ascii="Times New Roman" w:hAnsi="Times New Roman" w:cs="Times New Roman" w:eastAsia="Times New Roman"/>
                <w:sz w:val="24"/>
              </w:rPr>
              <w:t xml:space="preserve">Žiadame v čl. I bode 5 vypustiť z navrhovaného § 40 ods. 5 písmená b), c) a e) a nadväzujúci odsek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osobnú zodpovednosť posledného štatutárneho orgánu alebo člena štatutárneho orgánu za splnenie povinnosti podať daňové priznanie alebo zaplatiť dorovnávaciu daň po zániku daňovníka bez právneho nástupcu. Túto koncepciu osobnej zodpovednosti považujeme za neprijateľnú a systémovo nesúladnú so základnými princípmi fungovania kapitálových obchodných spoločností, ktoré sú založené na princípe oddelenia majetku právnickej osoby od majetku členov jej orgánov. Navrhovaná zodpovednosť vzniká výlučne na základe formálneho postavenia osoby ako posledného štatutárneho orgánu zapísaného v príslušnom registri pred výmazom spoločnosti, bez ohľadu na jej reálnu možnosť ovplyvniť vznik, výšku alebo splnenie predmetnej daňovej povinnosti. Fakticky tak dochádza k zavedeniu osobnej majetkovej zodpovednosti fyzických osôb za daňové povinnosti právnickej osoby bez väzby na ich zavinenie, porušenie konkrétnej právnej povinnosti alebo iné protiprávne konanie. Osobitne problematické je takéto riešenie pri dorovnávacej dani, ktorá predstavuje špecifický režim zdaňovania založený na údajoch a výpočtoch vykonávaných na úrovni nadnárodnej skupiny podnikov alebo veľkej vnútroštátnej skupiny. Jednotliví členovia štatutárnych orgánov preto nemusia mať objektívne možnosť disponovať všetkými informáciami potrebnými na správne určenie, vykázanie alebo úhradu dorovnávacej dane. Ustanovenie § 40 ods. 6 zároveň zavádza spoločnú a nerozdielnu zodpovednosť viacerých členov štatutárneho orgánu bez ohľadu na ich skutočný podiel na riadení spoločnosti, rozsah ich právomocí alebo reálnu možnosť ovplyvniť plnenie predmetných povinností. Návrh vyvoláva závažné pochybnosti z pohľadu súladu s princípom proporcionality, ako aj s ďalšími ústavnými princípmi, ktoré tvoria základ právneho štátu. Princíp proporcionality vyžaduje, aby každý zásah verejnej moci sledoval legitímny cieľ, bol spôsobilý tento cieľ dosiahnuť, bol nevyhnutný (t. j. neexistoval menej invazívny prostriedok) a zároveň, aby negatívne dôsledky zásahu neboli v zjavnom nepomere k sledovanému cieľu. Právny poriadok už v súčasnosti obsahuje viacero nástrojov, ktoré umožňujú efektívne postihovať konanie vedúce k daňovým únikom. Ide najmä o zodpovednosť štatutárnych orgánov za škodu, inštitúty odporovateľnosti právnych úkonov, osobitné formy daňového ručenia, ako aj trestnoprávnu zodpovednosť v prípade úmyselného konania. Zavedenie ďalšieho mechanizmu preto nemožno považovať za nevyhnutné, keďže existujú menej invazívne prostriedky na dosiahnutie sledovaného cieľa.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5 § 40 ods. 5 a 6</w:t>
              <w:br/>
            </w:r>
            <w:r>
              <w:rPr>
                <w:b w:val="off"/>
                <w:color w:val="000000"/>
                <w:rFonts w:ascii="Times New Roman" w:hAnsi="Times New Roman" w:cs="Times New Roman" w:eastAsia="Times New Roman"/>
                <w:sz w:val="24"/>
              </w:rPr>
              <w:t>Bod č. 5 – „§ 40 sa dopĺňa odsekmi 5 a 6, ktoré znejú:“</w:t>
              <w:br/>
            </w:r>
            <w:r>
              <w:rPr>
                <w:b w:val="off"/>
                <w:color w:val="000000"/>
                <w:rFonts w:ascii="Times New Roman" w:hAnsi="Times New Roman" w:cs="Times New Roman" w:eastAsia="Times New Roman"/>
                <w:sz w:val="24"/>
              </w:rPr>
              <w:t>Uvedený návrh rieši povinnosti daňovníka, ktorý zanikol bez právneho nástupcu, výlučne vo vzťahu k povinnosti podať daňové priznanie a zaplatiť dorovnávaciu daň.</w:t>
              <w:br/>
            </w:r>
            <w:r>
              <w:rPr>
                <w:b w:val="off"/>
                <w:color w:val="000000"/>
                <w:rFonts w:ascii="Times New Roman" w:hAnsi="Times New Roman" w:cs="Times New Roman" w:eastAsia="Times New Roman"/>
                <w:sz w:val="24"/>
              </w:rPr>
              <w:t>Návrh však neupravuje situáciu, keď má takýto daňovník povinnosť podať oznámenie s informáciami na určenie dorovnávacej dane podľa § 39 zákona. Odporúčame preto doplniť obdobnú právnu úpravu aj priamo do § 39 zákona, aby bolo jednoznačne určené, kto je povinný splniť túto oznamovaciu povinnosť v prípade zániku daňovníka bez právneho nástupcu. Uvedené považujeme za obzvlášť dôležité najmä v situáciách, keď daňovníkom bol základný subjekt, ktorý bol jediným základným subjektom nadnárodnej skupiny podnikov na území Slovenskej republiky. V takom prípade totiž oznamovaciu povinnosť nemôže prevziať miestne určený subjekt, keďže v Slovenskej republike neexistuje žiadny iný základný subjekt skupiny, ktorý by mohol túto povinnosť splniť. Bez explicitnej právnej úpravy tak môže vzniknúť neistota, na koho prechádza povinnosť podať oznámenie podľa § 39 zákona po zániku daňovníka bez právneho nástupcu.</w:t>
              <w:br/>
            </w:r>
            <w:r>
              <w:rPr>
                <w:b w:val="off"/>
                <w:color w:val="000000"/>
                <w:rFonts w:ascii="Times New Roman" w:hAnsi="Times New Roman" w:cs="Times New Roman" w:eastAsia="Times New Roman"/>
                <w:sz w:val="24"/>
              </w:rPr>
              <w:t>Zároveň upozorňujeme na praktické otázky súvisiace s plnením týchto povinností. Podľa § 40 ods. 3 zákona je možné daňové priznanie podať výlučne elektronickými prostriedkami. V prípade daňovníka, ktorý zanikol bez právneho nástupcu, a ktorého povinnosť podať daňové priznanie prechádza na osoby uvedené v navrhovanom § 40 ods. 5, vzniká otázka, či sa bude musieť príslušný subjekt nadnárodnej skupiny podnikov alebo bývalý štatutárny orgán zaniknutého daňovníka registrovať na elektronickú komunikáciu so správcom dane výlučne za účelom splnenia tejto povinnosti.</w:t>
              <w:br/>
            </w:r>
            <w:r>
              <w:rPr>
                <w:b w:val="off"/>
                <w:color w:val="000000"/>
                <w:rFonts w:ascii="Times New Roman" w:hAnsi="Times New Roman" w:cs="Times New Roman" w:eastAsia="Times New Roman"/>
                <w:sz w:val="24"/>
              </w:rPr>
              <w:t>Takáto požiadavka môže predstavovať neprimeranú administratívnu záťaž, najmä v prípadoch, keď na úrovni skupiny bola uplatnená výnimka z výpočtu dorovnávacej dane alebo keď daňová povinnosť zaniknutému subjektu vôbec nevznikla a podáva sa tzv. „nulové“ daňové priznanie. Odporúčame preto zvážiť, či by v prípadoch podaní podľa navrhovaného § 40 ods. 5 a 6 nebolo možné umožniť aj inú formu podania daňového priznania než elektronickú.</w:t>
              <w:br/>
            </w:r>
            <w:r>
              <w:rPr>
                <w:b w:val="off"/>
                <w:color w:val="000000"/>
                <w:rFonts w:ascii="Times New Roman" w:hAnsi="Times New Roman" w:cs="Times New Roman" w:eastAsia="Times New Roman"/>
                <w:sz w:val="24"/>
              </w:rPr>
              <w:t>Rovnaké odporúčanie ohľadom možnosti iného ako elektronického podania navrhujeme zvážiť aj vo vzťahu k oznámeniu podľa § 39 zákona, ak bude ustanovenie doplnené v zmysle vyššie uvedeného návrhu.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akceptovaná.</w:t>
              <w:br/>
            </w:r>
            <w:r>
              <w:rPr>
                <w:b w:val="off"/>
                <w:color w:val="000000"/>
                <w:rFonts w:ascii="Times New Roman" w:hAnsi="Times New Roman" w:cs="Times New Roman" w:eastAsia="Times New Roman"/>
                <w:sz w:val="24"/>
              </w:rPr>
              <w:t>Legislatívne sa upravia povinnosti daňovníka, ktorý zanikol bez právneho nástupcu aj vo vzťahu k oznamovacím povinnostiam podľa § 39 zákona, čím sa jednoznačnejšie upraví subjekt zodpovedný za splnenie tejto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umožniť splnenie oznamovacej povinnosti podľa § 39 a podanie daňového priznania v listinnej forme predkladateľ neakceptuje. Zavedenie osobitného režimu podávania pre úzko vymedzenú skupinu subjektov by bolo z pohľadu aplikačnej praxe a informačných systémov finančnej správy neprimerane náročné a neefektívne. Predkladateľ preto naďalej trvá na zachovaní elektronickej formy podávania.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novely</w:t>
              <w:br/>
            </w:r>
            <w:r>
              <w:rPr>
                <w:b w:val="off"/>
                <w:color w:val="000000"/>
                <w:rFonts w:ascii="Times New Roman" w:hAnsi="Times New Roman" w:cs="Times New Roman" w:eastAsia="Times New Roman"/>
                <w:sz w:val="24"/>
              </w:rPr>
              <w:t>V súvislosti s novelou zákona odporúčame zvážiť, či by nebolo vhodné explicitne upraviť postup plnenia povinností aj v prípade daňovníka, ktorý zanikol bez likvidácie a má právneho nástupcu, obdobne, ako je tomu napríklad pri podávaní daňového priznania podľa § 41 ods. 2 a § 49 ods. 6 zákona č. 595/2003 Z. z. o dani z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w:t>
              <w:br/>
            </w:r>
            <w:r>
              <w:rPr>
                <w:b w:val="off"/>
                <w:color w:val="000000"/>
                <w:rFonts w:ascii="Times New Roman" w:hAnsi="Times New Roman" w:cs="Times New Roman" w:eastAsia="Times New Roman"/>
                <w:sz w:val="24"/>
              </w:rPr>
              <w:t>Predkladateľ nepovažuje za potrebné osobitne upravovať plnenie povinností podľa zákona o dorovnávacej dani v prípade zániku daňovníka s právnym nástupcom. V takýchto prípadoch sa uplatnia všeobecné pravidlá právneho nástupníctva vyplývajúce z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novely</w:t>
              <w:br/>
            </w:r>
            <w:r>
              <w:rPr>
                <w:b w:val="off"/>
                <w:color w:val="000000"/>
                <w:rFonts w:ascii="Times New Roman" w:hAnsi="Times New Roman" w:cs="Times New Roman" w:eastAsia="Times New Roman"/>
                <w:sz w:val="24"/>
              </w:rPr>
              <w:t>Z aplikačnej praxe vyplynuli viaceré praktické otázky, ktorých riešenie nie je výslovne upravené v zákone ani v žiadnom komplexnom verejne dostupnom metodickom usmernení. Časť problematiky je síce riešená v Oznámení Ministerstva financií Slovenskej republiky č. MF/013560/2026-724 o vydaní doplnenia k poučeniu na vyplnenie daňového priznania, predmetné doplnenie však nie je skonsolidované s aktuálne zverejneným poučením na webovom sídle Finančnej správy a zároveň sa nevzťahuje na vypĺňanie oznámenia podľa § 39 zákona, čo môže v praxi spôsobovať interpretačné nejasnosti.</w:t>
              <w:br/>
            </w:r>
            <w:r>
              <w:rPr>
                <w:b w:val="off"/>
                <w:color w:val="000000"/>
                <w:rFonts w:ascii="Times New Roman" w:hAnsi="Times New Roman" w:cs="Times New Roman" w:eastAsia="Times New Roman"/>
                <w:sz w:val="24"/>
              </w:rPr>
              <w:t>Za problematické považujeme najmä situácie, keď je daňovník počas jedného zdaňovacieho obdobia (či už počas celého obdobia alebo len jeho časti) súčasťou dvoch alebo viacerých nadnárodných skupín podnikov. Takáto situácia môže nastať najmä v dôsledku príslušnosti k dvom (viacerým) nadnárodným skupinám (relevantné pre základné subjekty aj spoločné podniky), zmeny hlavného materského subjektu skupiny počas zdaňovacieho (oznamovaného) obdobia alebo po jeho skončení, prípadne v dôsledku predaja spoločnosti a jej následného začlenenia do inej nadnárodnej skupiny podnikov.</w:t>
              <w:br/>
            </w:r>
            <w:r>
              <w:rPr>
                <w:b w:val="off"/>
                <w:color w:val="000000"/>
                <w:rFonts w:ascii="Times New Roman" w:hAnsi="Times New Roman" w:cs="Times New Roman" w:eastAsia="Times New Roman"/>
                <w:sz w:val="24"/>
              </w:rPr>
              <w:t>V takýchto prípadoch by malo byť jednoznačne upravené najmä:</w:t>
              <w:br/>
            </w:r>
            <w:r>
              <w:rPr>
                <w:b w:val="off"/>
                <w:color w:val="000000"/>
                <w:rFonts w:ascii="Times New Roman" w:hAnsi="Times New Roman" w:cs="Times New Roman" w:eastAsia="Times New Roman"/>
                <w:sz w:val="24"/>
              </w:rPr>
              <w:t>•	koľko oznámení podľa § 39 zákona je potrebné podať,</w:t>
              <w:br/>
            </w:r>
            <w:r>
              <w:rPr>
                <w:b w:val="off"/>
                <w:color w:val="000000"/>
                <w:rFonts w:ascii="Times New Roman" w:hAnsi="Times New Roman" w:cs="Times New Roman" w:eastAsia="Times New Roman"/>
                <w:sz w:val="24"/>
              </w:rPr>
              <w:t>•	koľko daňových priznaní podľa § 40 zákona je daňovník povinný podať,</w:t>
              <w:br/>
            </w:r>
            <w:r>
              <w:rPr>
                <w:b w:val="off"/>
                <w:color w:val="000000"/>
                <w:rFonts w:ascii="Times New Roman" w:hAnsi="Times New Roman" w:cs="Times New Roman" w:eastAsia="Times New Roman"/>
                <w:sz w:val="24"/>
              </w:rPr>
              <w:t>•	aké údaje a prílohy majú byť súčasťou jednotlivých podaní vrátane spôsobu vyplnenia jednotlivých častí oznámenia a daňového priznania.</w:t>
              <w:br/>
            </w:r>
            <w:r>
              <w:rPr>
                <w:b w:val="off"/>
                <w:color w:val="000000"/>
                <w:rFonts w:ascii="Times New Roman" w:hAnsi="Times New Roman" w:cs="Times New Roman" w:eastAsia="Times New Roman"/>
                <w:sz w:val="24"/>
              </w:rPr>
              <w:t>V záujme zníženia právnej neistoty a zabezpečenia jednotného postupu daňovníkov odporúčame uvedené otázky explicitne upraviť buď priamo v zákone, alebo prostredníctvom komplexného metodického usmernenia obsahujúceho ucelené pravidlá a praktické príklady pre tieto situácie.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w:t>
              <w:br/>
            </w:r>
            <w:r>
              <w:rPr>
                <w:b w:val="off"/>
                <w:color w:val="000000"/>
                <w:rFonts w:ascii="Times New Roman" w:hAnsi="Times New Roman" w:cs="Times New Roman" w:eastAsia="Times New Roman"/>
                <w:sz w:val="24"/>
              </w:rPr>
              <w:t>Predkladateľ zastáva názor, že ide predovšetkým o interpretačné a aplikačné otázky súvisiace so správou dorovnávacej dane, ktoré nevyžadujú osobitnú zákonnú úpravu. Finančná správa priebežne poskytuje metodickú podporu formou poučení, usmernení a odpovedí na aplikačné otázky.</w:t>
              <w:br/>
            </w:r>
            <w:r>
              <w:rPr>
                <w:b w:val="off"/>
                <w:color w:val="000000"/>
                <w:rFonts w:ascii="Times New Roman" w:hAnsi="Times New Roman" w:cs="Times New Roman" w:eastAsia="Times New Roman"/>
                <w:sz w:val="24"/>
              </w:rPr>
              <w:t xml:space="preserve">Pokiaľ ide o podávanie oznámenia podľa § 39 a daňového priznania podľa § 40 v situáciách, keď je daňovník počas zdaňovacieho obdobia súčasťou viacerých nadnárodných skupín podnikov, príslušné pravidlá sú obsiahnuté v poučení k daňovému priznaniu. </w:t>
              <w:br/>
            </w:r>
            <w:r>
              <w:rPr>
                <w:b w:val="off"/>
                <w:color w:val="000000"/>
                <w:rFonts w:ascii="Times New Roman" w:hAnsi="Times New Roman" w:cs="Times New Roman" w:eastAsia="Times New Roman"/>
                <w:sz w:val="24"/>
              </w:rPr>
              <w:t>Náležitosti podaní vrátane spôsobu ich vypĺňania sú zverejnené na webovom sídle finančnej správy sú priebežne dopĺňané a aktualizované podľa potrieb aplikačnej praxe. Predkladateľ preto nepovažuje za potrebné riešiť uvedené otázky legislatívnou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novely</w:t>
              <w:br/>
            </w:r>
            <w:r>
              <w:rPr>
                <w:b w:val="off"/>
                <w:color w:val="000000"/>
                <w:rFonts w:ascii="Times New Roman" w:hAnsi="Times New Roman" w:cs="Times New Roman" w:eastAsia="Times New Roman"/>
                <w:sz w:val="24"/>
              </w:rPr>
              <w:t>Z aplikačnej praxe tiež vyplynula otázka, ako postupovať v situáciách, keď slovenský základný subjekt splní svoju oznamovaciu povinnosť podľa § 39 ods. 6 zákona na základe informácie, že oznamovaciu povinnosť za skupinu splní podávajúci subjekt nachádzajúci sa v štáte, s ktorým má Slovenská republika v oznamovacom období účinnú kvalifikovanú dohodu príslušných orgánov, avšak následne sa ukáže, že tento podávajúci subjekt oznámenie nepodal, podal ho oneskorene alebo podal nesprávne či neúplné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v súčasnosti neupravuje postup slovenského základného subjektu v týchto situáciách, najmä dodatočnú možnosť a spôsob splnenia oznamovacej povinnosti alebo opravy už podaného oznámenia. Odporúčame preto zákon doplniť o ustanovenia upravujúce postup v prípadoch, keď sa dodatočne ukáže, že:</w:t>
              <w:br/>
            </w:r>
            <w:r>
              <w:rPr>
                <w:b w:val="off"/>
                <w:color w:val="000000"/>
                <w:rFonts w:ascii="Times New Roman" w:hAnsi="Times New Roman" w:cs="Times New Roman" w:eastAsia="Times New Roman"/>
                <w:sz w:val="24"/>
              </w:rPr>
              <w:t>•	podávajúci subjekt neoznámil požadované informácie podľa § 39 ods. 1 zákona za oznamované účtovné obdobie za slovenského daňovníka v zákonom stanovenej lehote alebo ich neoznámil vôbec,</w:t>
              <w:br/>
            </w:r>
            <w:r>
              <w:rPr>
                <w:b w:val="off"/>
                <w:color w:val="000000"/>
                <w:rFonts w:ascii="Times New Roman" w:hAnsi="Times New Roman" w:cs="Times New Roman" w:eastAsia="Times New Roman"/>
                <w:sz w:val="24"/>
              </w:rPr>
              <w:t>•	oznámené údaje sú neúplné alebo nesprávne, resp.</w:t>
              <w:br/>
            </w:r>
            <w:r>
              <w:rPr>
                <w:b w:val="off"/>
                <w:color w:val="000000"/>
                <w:rFonts w:ascii="Times New Roman" w:hAnsi="Times New Roman" w:cs="Times New Roman" w:eastAsia="Times New Roman"/>
                <w:sz w:val="24"/>
              </w:rPr>
              <w:t>•	podávajúci subjekt, na ktorého oznamovaciu povinnosť sa slovenský základný subjekt spoliehal, nebol oprávnený alebo povinný predmetné oznámenie podať.</w:t>
              <w:br/>
            </w:r>
            <w:r>
              <w:rPr>
                <w:b w:val="off"/>
                <w:color w:val="000000"/>
                <w:rFonts w:ascii="Times New Roman" w:hAnsi="Times New Roman" w:cs="Times New Roman" w:eastAsia="Times New Roman"/>
                <w:sz w:val="24"/>
              </w:rPr>
              <w:t>V uvedených situáciách odporúčame explicitne upraviť práva a povinnosti slovenského základného subjektu, ako aj procesné aspekty týchto situácií vrátane formy, spôsobu a lehôt na opravu, doplnenie alebo náhradu už podaného oznámenia, prípadne na nahradenie oznámenia podľa § 39 ods. 6 zákona oznámením podľa § 39 ods. 1 zákona, ak sa dodatočne preukáže, že podmienky na uplatnenie postupu podľa § 39 ods. 6 zákona neboli splnené.</w:t>
              <w:br/>
            </w:r>
            <w:r>
              <w:rPr>
                <w:b w:val="off"/>
                <w:color w:val="000000"/>
                <w:rFonts w:ascii="Times New Roman" w:hAnsi="Times New Roman" w:cs="Times New Roman" w:eastAsia="Times New Roman"/>
                <w:sz w:val="24"/>
              </w:rPr>
              <w:t>Za problematické pritom považujeme aj to, že súčasná právna úprava ani príslušné tlačivo oznámenia výslovne neupravujú možnosť podať opravné alebo dodatočné oznámenie. Tlačivo totiž neobsahuje možnosť označiť podanie ako opravné alebo dodatočné, v dôsledku čoho daňovníci v súčasnosti nemajú k dispozícii jednoznačný procesný mechanizmus na opravu, doplnenie alebo nápravu už oznámených informácií.</w:t>
              <w:br/>
            </w:r>
            <w:r>
              <w:rPr>
                <w:b w:val="off"/>
                <w:color w:val="000000"/>
                <w:rFonts w:ascii="Times New Roman" w:hAnsi="Times New Roman" w:cs="Times New Roman" w:eastAsia="Times New Roman"/>
                <w:sz w:val="24"/>
              </w:rPr>
              <w:t>Jasná právna úprava by významne prispela k právnej istote daňovníkov a zabránila situáciám, v ktorých slovenský základný subjekt nemá reálnu možnosť ovplyvniť splnenie povinností podávajúcim subjektom v inom štáte, avšak môže znášať následky ich nesplnenia vrátane prípadných sankcií.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Problematika je čiastočne riešená v právnej úprave administratívnej spolupráce pri výmene informácií o dorovnávacej dani podľa zákona č. 442/2012 Z. z. o medzinárodnej pomoci a spolupráci pri správe daní.</w:t>
              <w:br/>
            </w:r>
            <w:r>
              <w:rPr>
                <w:b w:val="off"/>
                <w:color w:val="000000"/>
                <w:rFonts w:ascii="Times New Roman" w:hAnsi="Times New Roman" w:cs="Times New Roman" w:eastAsia="Times New Roman"/>
                <w:sz w:val="24"/>
              </w:rPr>
              <w:t>V prípadoch, keď slovenský základný subjekt oznámi podľa § 39 ods. 6 zákona č. 507/2023 Z. z., že oznamovaciu povinnosť za skupinu plní hlavný materský subjekt alebo určený podávajúci subjekt v inom štáte, avšak príslušný orgán Slovenskej republiky následne neobdrží oznámenie s informáciami na určenie dorovnávacej dane prostredníctvom medzinárodnej výmeny informácií, postup je upravený v § 22s ods. 4 a 5 zákona č. 442/2012 Z. z.</w:t>
              <w:br/>
            </w:r>
            <w:r>
              <w:rPr>
                <w:b w:val="off"/>
                <w:color w:val="000000"/>
                <w:rFonts w:ascii="Times New Roman" w:hAnsi="Times New Roman" w:cs="Times New Roman" w:eastAsia="Times New Roman"/>
                <w:sz w:val="24"/>
              </w:rPr>
              <w:t>Uvedené ustanovenia zavádzajú mechanizmus komunikácie medzi príslušnými orgánmi dotknutých štátov a riešenia prípadov chýbajúcej výmeny oznámenia. Ak príslušný orgán Slovenskej republiky nedostane oznámenie, bez zbytočného odkladu informuje príslušný orgán druhého štátu. Súčasne je upravený postup zisťovania dôvodov, pre ktoré k oznámeniu nedošlo, ako aj lehoty na nápravu a následnú výmenu informácií.</w:t>
              <w:br/>
            </w:r>
            <w:r>
              <w:rPr>
                <w:b w:val="off"/>
                <w:color w:val="000000"/>
                <w:rFonts w:ascii="Times New Roman" w:hAnsi="Times New Roman" w:cs="Times New Roman" w:eastAsia="Times New Roman"/>
                <w:sz w:val="24"/>
              </w:rPr>
              <w:t>Zároveň poukazujeme na skutočnosť, že Modelové pravidlá OECD pre GloBE ani súvisiace administratívne usmernenia OECD, rovnako ako smernica Rady (EÚ) 2022/2523, neobsahujú podrobnejšiu úpravu postupu základného subjektu v prípadoch, keď príslušný orgán štátu podávajúceho subjektu neposkytne oznámenie alebo ho poskytne oneskorene. Návrh na doplnenie osobitnej vnútroštátnej úpravy by preto mohol byť vyhodnotený ako goldplating.</w:t>
              <w:br/>
            </w:r>
            <w:r>
              <w:rPr>
                <w:b w:val="off"/>
                <w:color w:val="000000"/>
                <w:rFonts w:ascii="Times New Roman" w:hAnsi="Times New Roman" w:cs="Times New Roman" w:eastAsia="Times New Roman"/>
                <w:sz w:val="24"/>
              </w:rPr>
              <w:t>V neposlednom rade na úrovni Inkluzívneho rámca OECD/G20 v súčasnosti prebiehajú odborné diskusie o ďalších úpravách oznámenia s informáciami na určenie dorovnávacej dane (GloBE Information Return) nadväzujúcich na prijatie balíka súbežného uplatňovania. Ich výsledok môže mať vplyv aj na riešenie popisovaných situácií. Z uvedeného dôvodu sa navrhuje vyčkať na výsledok týchto diskusií a prípadné legislatívne úpravy posúdiť až po prijatí medzinárodne dohodnutého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40 ods. 5 písm. b), c) a e) a ods. 6)</w:t>
              <w:br/>
            </w:r>
            <w:r>
              <w:rPr>
                <w:b w:val="off"/>
                <w:color w:val="000000"/>
                <w:rFonts w:ascii="Times New Roman" w:hAnsi="Times New Roman" w:cs="Times New Roman" w:eastAsia="Times New Roman"/>
                <w:sz w:val="24"/>
              </w:rPr>
              <w:t>ZÁSADNÁ PRIPOMIENKA: Žiadame v čl. I bode 5 vypustiť z navrhovaného § 40 ods. 5 písmená b), c) a e) a nadväzujúci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osobnú zodpovednosť posledného štatutárneho orgánu alebo člena štatutárneho orgánu za splnenie povinnosti podať daňové priznanie alebo zaplatiť dorovnávaciu daň po zániku daňovníka bez právneho nástupcu. Túto koncepciu osobnej zodpovednosti považujeme za neprijateľnú a systémovo nesúladnú so základnými princípmi fungovania kapitálových obchodných spoločností, ktoré sú založené na princípe oddelenia majetku právnickej osoby od majetku členov jej orgánov. Navrhovaná zodpovednosť vzniká výlučne na základe formálneho postavenia osoby ako posledného štatutárneho orgánu zapísaného v príslušnom registri pred výmazom spoločnosti, bez ohľadu na jej reálnu možnosť ovplyvniť vznik, výšku alebo splnenie predmetnej daňovej povinnosti. Fakticky tak dochádza k zavedeniu osobnej majetkovej zodpovednosti fyzických osôb za daňové povinnosti právnickej osoby bez väzby na ich zavinenie, porušenie konkrétnej právnej povinnosti alebo iné protiprávne konanie. Osobitne problematické je takéto riešenie pri dorovnávacej dani, ktorá predstavuje špecifický režim zdaňovania založený na údajoch a výpočtoch vykonávaných na úrovni nadnárodnej skupiny podnikov alebo veľkej vnútroštátnej skupiny. Jednotliví členovia štatutárnych orgánov preto nemusia mať objektívne možnosť disponovať všetkými informáciami potrebnými na správne určenie, vykázanie alebo úhradu dorovnávacej dane. Ustanovenie § 40 ods. 6 zároveň zavádza spoločnú a nerozdielnu zodpovednosť viacerých členov štatutárneho orgánu bez ohľadu na ich skutočný podiel na riadení spoločnosti, rozsah ich právomocí alebo reálnu možnosť ovplyvniť plnenie predmetných povinností. Návrh vyvoláva závažné pochybnosti z pohľadu súladu s princípom proporcionality, ako aj s ďalšími ústavnými princípmi, ktoré tvoria základ právneho štátu. Princíp proporcionality vyžaduje, aby každý zásah verejnej moci sledoval legitímny cieľ, bol spôsobilý tento cieľ dosiahnuť, bol nevyhnutný (t. j. neexistoval menej invazívny prostriedok) a zároveň, aby negatívne dôsledky zásahu neboli v zjavnom nepomere k sledovanému cieľu. Právny poriadok už v súčasnosti obsahuje viacero nástrojov, ktoré umožňujú efektívne postihovať konanie vedúce k daňovým únikom. Ide najmä o zodpovednosť štatutárnych orgánov za škodu, inštitúty odporovateľnosti právnych úkonov, osobitné formy daňového ručenia, ako aj trestnoprávnu zodpovednosť v prípade úmyselného konania. Zavedenie ďalšieho mechanizmu preto nemožno považovať za nevyhnutné, keďže existujú menej invazívne prostriedky na dosiahnutie sledovaného cieľa.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SVSRNM</w:t>
            </w:r>
            <w:r>
              <w:rPr>
                <w:b w:val="off"/>
                <w:color w:val="000000"/>
                <w:rFonts w:ascii="Times New Roman" w:hAnsi="Times New Roman" w:cs="Times New Roman" w:eastAsia="Times New Roman"/>
                <w:sz w:val="24"/>
              </w:rPr>
              <w:t xml:space="preserve"> – Splnomocnenec vlády Slovenskej republiky pre národnostné menšiny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 (15o,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44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