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4577C1" w:rsidRDefault="00054C41" w:rsidP="00054C41">
      <w:pPr>
        <w:jc w:val="center"/>
        <w:rPr>
          <w:rFonts w:ascii="Times New Roman" w:eastAsia="Calibri" w:hAnsi="Times New Roman" w:cs="Times New Roman"/>
          <w:b/>
          <w:sz w:val="28"/>
          <w:szCs w:val="28"/>
        </w:rPr>
      </w:pPr>
      <w:r w:rsidRPr="004577C1">
        <w:rPr>
          <w:rFonts w:ascii="Times New Roman" w:eastAsia="Calibri" w:hAnsi="Times New Roman" w:cs="Times New Roman"/>
          <w:b/>
          <w:sz w:val="28"/>
          <w:szCs w:val="28"/>
        </w:rPr>
        <w:t>Analýza vplyvov na podnikateľské prostredie</w:t>
      </w:r>
    </w:p>
    <w:p w14:paraId="7AF84A90" w14:textId="77777777" w:rsidR="00054C41" w:rsidRPr="004577C1" w:rsidRDefault="00054C41" w:rsidP="00054C41">
      <w:pPr>
        <w:jc w:val="both"/>
        <w:rPr>
          <w:rFonts w:ascii="Times New Roman" w:eastAsia="Calibri" w:hAnsi="Times New Roman" w:cs="Times New Roman"/>
          <w:b/>
          <w:sz w:val="24"/>
          <w:szCs w:val="24"/>
        </w:rPr>
      </w:pPr>
    </w:p>
    <w:p w14:paraId="22516163" w14:textId="7C05A826" w:rsidR="00054C41" w:rsidRPr="004577C1" w:rsidRDefault="00054C41" w:rsidP="00054C41">
      <w:pPr>
        <w:jc w:val="both"/>
        <w:rPr>
          <w:rFonts w:ascii="Times New Roman" w:eastAsia="Calibri" w:hAnsi="Times New Roman" w:cs="Times New Roman"/>
          <w:b/>
          <w:sz w:val="24"/>
          <w:szCs w:val="24"/>
        </w:rPr>
      </w:pPr>
      <w:r w:rsidRPr="004577C1">
        <w:rPr>
          <w:rFonts w:ascii="Times New Roman" w:eastAsia="Calibri" w:hAnsi="Times New Roman" w:cs="Times New Roman"/>
          <w:b/>
          <w:sz w:val="24"/>
          <w:szCs w:val="24"/>
        </w:rPr>
        <w:t>Názov materiálu:</w:t>
      </w:r>
      <w:r w:rsidR="00AD00AF" w:rsidRPr="004577C1">
        <w:rPr>
          <w:rFonts w:ascii="Times New Roman" w:eastAsia="Calibri" w:hAnsi="Times New Roman" w:cs="Times New Roman"/>
          <w:b/>
          <w:sz w:val="24"/>
          <w:szCs w:val="24"/>
        </w:rPr>
        <w:t xml:space="preserve"> </w:t>
      </w:r>
      <w:r w:rsidR="00AD00AF" w:rsidRPr="004577C1">
        <w:rPr>
          <w:rFonts w:ascii="Times New Roman" w:eastAsia="Calibri" w:hAnsi="Times New Roman" w:cs="Times New Roman"/>
          <w:sz w:val="24"/>
          <w:szCs w:val="24"/>
        </w:rPr>
        <w:t>Návrh zákona</w:t>
      </w:r>
      <w:r w:rsidR="00AD00AF" w:rsidRPr="004577C1">
        <w:rPr>
          <w:rFonts w:ascii="Times New Roman" w:hAnsi="Times New Roman" w:cs="Times New Roman"/>
        </w:rPr>
        <w:t xml:space="preserve"> </w:t>
      </w:r>
      <w:r w:rsidR="00AD00AF" w:rsidRPr="004577C1">
        <w:rPr>
          <w:rFonts w:ascii="Times New Roman" w:eastAsia="Calibri" w:hAnsi="Times New Roman" w:cs="Times New Roman"/>
          <w:sz w:val="24"/>
          <w:szCs w:val="24"/>
        </w:rPr>
        <w:t>o spotrebiteľských úveroch a o iných úveroch a pôžičkách pre spotrebiteľov a o zmene a doplnení niektorých zákonov (ďalej len „návrh zákona“)</w:t>
      </w:r>
    </w:p>
    <w:p w14:paraId="2711DC2C" w14:textId="540C4DDF" w:rsidR="00054C41" w:rsidRPr="004577C1" w:rsidRDefault="00054C41" w:rsidP="00054C41">
      <w:pPr>
        <w:jc w:val="both"/>
        <w:rPr>
          <w:rFonts w:ascii="Times New Roman" w:eastAsia="Calibri" w:hAnsi="Times New Roman" w:cs="Times New Roman"/>
          <w:sz w:val="24"/>
          <w:szCs w:val="24"/>
        </w:rPr>
      </w:pPr>
      <w:r w:rsidRPr="004577C1">
        <w:rPr>
          <w:rFonts w:ascii="Times New Roman" w:eastAsia="Calibri" w:hAnsi="Times New Roman" w:cs="Times New Roman"/>
          <w:b/>
          <w:sz w:val="24"/>
          <w:szCs w:val="24"/>
        </w:rPr>
        <w:t>Predkladateľ:</w:t>
      </w:r>
      <w:r w:rsidR="00AD00AF" w:rsidRPr="004577C1">
        <w:rPr>
          <w:rFonts w:ascii="Times New Roman" w:hAnsi="Times New Roman" w:cs="Times New Roman"/>
        </w:rPr>
        <w:t xml:space="preserve"> </w:t>
      </w:r>
      <w:r w:rsidR="00AD00AF" w:rsidRPr="004577C1">
        <w:rPr>
          <w:rFonts w:ascii="Times New Roman" w:eastAsia="Calibri" w:hAnsi="Times New Roman" w:cs="Times New Roman"/>
          <w:sz w:val="24"/>
          <w:szCs w:val="24"/>
        </w:rPr>
        <w:t>Ministerstvo financií Slovenskej republiky</w:t>
      </w:r>
    </w:p>
    <w:p w14:paraId="73384937" w14:textId="77777777" w:rsidR="00054C41" w:rsidRPr="004577C1" w:rsidRDefault="00054C41" w:rsidP="00054C41">
      <w:pPr>
        <w:jc w:val="both"/>
        <w:rPr>
          <w:rFonts w:ascii="Times New Roman" w:eastAsia="Calibri" w:hAnsi="Times New Roman" w:cs="Times New Roman"/>
          <w:b/>
          <w:sz w:val="24"/>
          <w:szCs w:val="24"/>
        </w:rPr>
      </w:pPr>
    </w:p>
    <w:p w14:paraId="515DBCE3" w14:textId="77777777" w:rsidR="00054C41" w:rsidRPr="004577C1" w:rsidRDefault="00054C41" w:rsidP="00054C41">
      <w:pPr>
        <w:jc w:val="both"/>
        <w:rPr>
          <w:rFonts w:ascii="Times New Roman" w:eastAsia="Calibri" w:hAnsi="Times New Roman" w:cs="Times New Roman"/>
          <w:b/>
          <w:sz w:val="24"/>
          <w:szCs w:val="24"/>
        </w:rPr>
      </w:pPr>
      <w:r w:rsidRPr="004577C1">
        <w:rPr>
          <w:rFonts w:ascii="Times New Roman" w:eastAsia="Calibri" w:hAnsi="Times New Roman" w:cs="Times New Roman"/>
          <w:b/>
          <w:sz w:val="24"/>
          <w:szCs w:val="24"/>
        </w:rPr>
        <w:t>3.1 Náklady regulácie</w:t>
      </w:r>
    </w:p>
    <w:p w14:paraId="14243EB0" w14:textId="77777777" w:rsidR="00054C41" w:rsidRPr="004577C1" w:rsidRDefault="00054C41" w:rsidP="00C21399">
      <w:pPr>
        <w:tabs>
          <w:tab w:val="left" w:pos="8025"/>
        </w:tabs>
        <w:rPr>
          <w:rFonts w:ascii="Times New Roman" w:eastAsia="Calibri" w:hAnsi="Times New Roman" w:cs="Times New Roman"/>
          <w:bCs/>
          <w:i/>
          <w:iCs/>
          <w:sz w:val="24"/>
          <w:szCs w:val="24"/>
        </w:rPr>
      </w:pPr>
      <w:r w:rsidRPr="004577C1">
        <w:rPr>
          <w:rFonts w:ascii="Times New Roman" w:eastAsia="Calibri" w:hAnsi="Times New Roman" w:cs="Times New Roman"/>
          <w:b/>
          <w:i/>
          <w:iCs/>
          <w:sz w:val="24"/>
          <w:szCs w:val="24"/>
        </w:rPr>
        <w:t xml:space="preserve">3.1.1 Súhrnná tabuľka nákladov regulácie </w:t>
      </w:r>
      <w:r w:rsidR="00C21399" w:rsidRPr="004577C1">
        <w:rPr>
          <w:rFonts w:ascii="Times New Roman" w:eastAsia="Calibri" w:hAnsi="Times New Roman" w:cs="Times New Roman"/>
          <w:b/>
          <w:i/>
          <w:iCs/>
          <w:sz w:val="24"/>
          <w:szCs w:val="24"/>
        </w:rPr>
        <w:tab/>
      </w:r>
    </w:p>
    <w:p w14:paraId="4D85A0D5" w14:textId="77777777" w:rsidR="00054C41" w:rsidRPr="004577C1" w:rsidRDefault="00054C41" w:rsidP="00054C41">
      <w:pPr>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sidRPr="004577C1">
        <w:rPr>
          <w:rFonts w:ascii="Times New Roman" w:eastAsia="Calibri" w:hAnsi="Times New Roman" w:cs="Times New Roman"/>
          <w:i/>
          <w:sz w:val="24"/>
          <w:szCs w:val="24"/>
        </w:rPr>
        <w:t>v</w:t>
      </w:r>
      <w:r w:rsidR="00C929AE" w:rsidRPr="004577C1">
        <w:rPr>
          <w:rFonts w:ascii="Times New Roman" w:eastAsia="Calibri" w:hAnsi="Times New Roman" w:cs="Times New Roman"/>
          <w:i/>
          <w:sz w:val="24"/>
          <w:szCs w:val="24"/>
        </w:rPr>
        <w:t>, náklady goldplatingu</w:t>
      </w:r>
      <w:r w:rsidR="00C929AE" w:rsidRPr="004577C1">
        <w:rPr>
          <w:rStyle w:val="Odkaznapoznmkupodiarou"/>
          <w:rFonts w:ascii="Times New Roman" w:eastAsia="Calibri" w:hAnsi="Times New Roman" w:cs="Times New Roman"/>
          <w:i/>
          <w:sz w:val="24"/>
          <w:szCs w:val="24"/>
        </w:rPr>
        <w:footnoteReference w:id="1"/>
      </w:r>
      <w:r w:rsidR="000A6B7F" w:rsidRPr="004577C1">
        <w:rPr>
          <w:rFonts w:ascii="Times New Roman" w:eastAsia="Calibri" w:hAnsi="Times New Roman" w:cs="Times New Roman"/>
          <w:i/>
          <w:sz w:val="24"/>
          <w:szCs w:val="24"/>
        </w:rPr>
        <w:t xml:space="preserve"> </w:t>
      </w:r>
      <w:r w:rsidR="00C929AE" w:rsidRPr="004577C1">
        <w:rPr>
          <w:rFonts w:ascii="Times New Roman" w:eastAsia="Calibri" w:hAnsi="Times New Roman" w:cs="Times New Roman"/>
          <w:i/>
          <w:sz w:val="24"/>
          <w:szCs w:val="24"/>
        </w:rPr>
        <w:t>na podnikateľské prostredie</w:t>
      </w:r>
      <w:r w:rsidRPr="004577C1">
        <w:rPr>
          <w:rFonts w:ascii="Times New Roman" w:eastAsia="Calibri" w:hAnsi="Times New Roman" w:cs="Times New Roman"/>
          <w:i/>
          <w:sz w:val="24"/>
          <w:szCs w:val="24"/>
        </w:rPr>
        <w:t xml:space="preserve">. </w:t>
      </w:r>
    </w:p>
    <w:p w14:paraId="1A77DC61" w14:textId="77777777" w:rsidR="00054C41" w:rsidRDefault="00054C41" w:rsidP="00054C41">
      <w:pPr>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4577C1">
          <w:rPr>
            <w:rFonts w:ascii="Times New Roman" w:eastAsia="Calibri" w:hAnsi="Times New Roman" w:cs="Times New Roman"/>
            <w:i/>
            <w:color w:val="0563C1"/>
            <w:sz w:val="24"/>
            <w:szCs w:val="24"/>
            <w:u w:val="single"/>
          </w:rPr>
          <w:t>webovom sídle MH SR</w:t>
        </w:r>
      </w:hyperlink>
      <w:r w:rsidRPr="004577C1">
        <w:rPr>
          <w:rFonts w:ascii="Times New Roman" w:eastAsia="Calibri" w:hAnsi="Times New Roman" w:cs="Times New Roman"/>
          <w:i/>
          <w:sz w:val="24"/>
          <w:szCs w:val="24"/>
        </w:rPr>
        <w:t>, (ďalej len „Kalkulačka nákladov“):</w:t>
      </w:r>
    </w:p>
    <w:p w14:paraId="461A935F" w14:textId="77777777" w:rsidR="00F819B4" w:rsidRPr="004577C1" w:rsidRDefault="00F819B4" w:rsidP="00054C41">
      <w:pPr>
        <w:jc w:val="both"/>
        <w:rPr>
          <w:rFonts w:ascii="Times New Roman" w:eastAsia="Calibri" w:hAnsi="Times New Roman" w:cs="Times New Roman"/>
          <w:i/>
          <w:sz w:val="24"/>
          <w:szCs w:val="24"/>
        </w:rPr>
      </w:pPr>
    </w:p>
    <w:tbl>
      <w:tblPr>
        <w:tblW w:w="0" w:type="auto"/>
        <w:tblCellMar>
          <w:left w:w="70" w:type="dxa"/>
          <w:right w:w="70" w:type="dxa"/>
        </w:tblCellMar>
        <w:tblLook w:val="04A0" w:firstRow="1" w:lastRow="0" w:firstColumn="1" w:lastColumn="0" w:noHBand="0" w:noVBand="1"/>
      </w:tblPr>
      <w:tblGrid>
        <w:gridCol w:w="5002"/>
        <w:gridCol w:w="2032"/>
        <w:gridCol w:w="2018"/>
      </w:tblGrid>
      <w:tr w:rsidR="00F819B4" w:rsidRPr="00F819B4" w14:paraId="54888630" w14:textId="77777777" w:rsidTr="00F819B4">
        <w:trPr>
          <w:trHeight w:val="675"/>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35EC7EE1" w14:textId="77777777" w:rsidR="00F819B4" w:rsidRPr="00F819B4" w:rsidRDefault="00F819B4" w:rsidP="00F819B4">
            <w:pPr>
              <w:spacing w:after="0" w:line="240" w:lineRule="auto"/>
              <w:jc w:val="center"/>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TYP NÁKLADOV</w:t>
            </w:r>
          </w:p>
        </w:tc>
        <w:tc>
          <w:tcPr>
            <w:tcW w:w="0" w:type="auto"/>
            <w:tcBorders>
              <w:top w:val="single" w:sz="8" w:space="0" w:color="auto"/>
              <w:left w:val="nil"/>
              <w:bottom w:val="single" w:sz="8" w:space="0" w:color="auto"/>
              <w:right w:val="single" w:sz="4" w:space="0" w:color="auto"/>
            </w:tcBorders>
            <w:shd w:val="clear" w:color="000000" w:fill="FFC000"/>
            <w:vAlign w:val="center"/>
            <w:hideMark/>
          </w:tcPr>
          <w:p w14:paraId="4CCC4033"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Zvýšenie nákladov v € na PP</w:t>
            </w:r>
          </w:p>
        </w:tc>
        <w:tc>
          <w:tcPr>
            <w:tcW w:w="0" w:type="auto"/>
            <w:tcBorders>
              <w:top w:val="single" w:sz="8" w:space="0" w:color="auto"/>
              <w:left w:val="nil"/>
              <w:bottom w:val="single" w:sz="8" w:space="0" w:color="auto"/>
              <w:right w:val="single" w:sz="8" w:space="0" w:color="auto"/>
            </w:tcBorders>
            <w:shd w:val="clear" w:color="000000" w:fill="92D050"/>
            <w:vAlign w:val="center"/>
            <w:hideMark/>
          </w:tcPr>
          <w:p w14:paraId="52C7C2C9"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Zníženie nákladov v € na PP</w:t>
            </w:r>
          </w:p>
        </w:tc>
      </w:tr>
      <w:tr w:rsidR="00F819B4" w:rsidRPr="00F819B4" w14:paraId="2189A583" w14:textId="77777777" w:rsidTr="00F819B4">
        <w:trPr>
          <w:trHeight w:val="81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490D23B" w14:textId="77777777" w:rsidR="00F819B4" w:rsidRPr="00F819B4" w:rsidRDefault="00F819B4" w:rsidP="00F819B4">
            <w:pPr>
              <w:spacing w:after="0" w:line="240" w:lineRule="auto"/>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0" w:type="auto"/>
            <w:tcBorders>
              <w:top w:val="nil"/>
              <w:left w:val="nil"/>
              <w:bottom w:val="single" w:sz="4" w:space="0" w:color="auto"/>
              <w:right w:val="single" w:sz="4" w:space="0" w:color="auto"/>
            </w:tcBorders>
            <w:shd w:val="clear" w:color="000000" w:fill="FFC000"/>
            <w:vAlign w:val="center"/>
            <w:hideMark/>
          </w:tcPr>
          <w:p w14:paraId="12DDDF67"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0</w:t>
            </w:r>
          </w:p>
        </w:tc>
        <w:tc>
          <w:tcPr>
            <w:tcW w:w="0" w:type="auto"/>
            <w:tcBorders>
              <w:top w:val="nil"/>
              <w:left w:val="nil"/>
              <w:bottom w:val="single" w:sz="4" w:space="0" w:color="auto"/>
              <w:right w:val="single" w:sz="8" w:space="0" w:color="auto"/>
            </w:tcBorders>
            <w:shd w:val="clear" w:color="000000" w:fill="92D050"/>
            <w:vAlign w:val="center"/>
            <w:hideMark/>
          </w:tcPr>
          <w:p w14:paraId="64D02E35"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0</w:t>
            </w:r>
          </w:p>
        </w:tc>
      </w:tr>
      <w:tr w:rsidR="00F819B4" w:rsidRPr="00F819B4" w14:paraId="58E0389F" w14:textId="77777777" w:rsidTr="00F819B4">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89F488A" w14:textId="77777777" w:rsidR="00F819B4" w:rsidRPr="00F819B4" w:rsidRDefault="00F819B4" w:rsidP="00F819B4">
            <w:pPr>
              <w:spacing w:after="0" w:line="240" w:lineRule="auto"/>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B. Iné poplatky</w:t>
            </w:r>
          </w:p>
        </w:tc>
        <w:tc>
          <w:tcPr>
            <w:tcW w:w="0" w:type="auto"/>
            <w:tcBorders>
              <w:top w:val="nil"/>
              <w:left w:val="nil"/>
              <w:bottom w:val="single" w:sz="4" w:space="0" w:color="auto"/>
              <w:right w:val="single" w:sz="4" w:space="0" w:color="auto"/>
            </w:tcBorders>
            <w:shd w:val="clear" w:color="000000" w:fill="FFC000"/>
            <w:vAlign w:val="center"/>
            <w:hideMark/>
          </w:tcPr>
          <w:p w14:paraId="51AEA794"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7 976</w:t>
            </w:r>
          </w:p>
        </w:tc>
        <w:tc>
          <w:tcPr>
            <w:tcW w:w="0" w:type="auto"/>
            <w:tcBorders>
              <w:top w:val="nil"/>
              <w:left w:val="nil"/>
              <w:bottom w:val="single" w:sz="4" w:space="0" w:color="auto"/>
              <w:right w:val="single" w:sz="8" w:space="0" w:color="auto"/>
            </w:tcBorders>
            <w:shd w:val="clear" w:color="000000" w:fill="92D050"/>
            <w:vAlign w:val="center"/>
            <w:hideMark/>
          </w:tcPr>
          <w:p w14:paraId="345FC39D"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12 765</w:t>
            </w:r>
          </w:p>
        </w:tc>
      </w:tr>
      <w:tr w:rsidR="00F819B4" w:rsidRPr="00F819B4" w14:paraId="14257644" w14:textId="77777777" w:rsidTr="00F819B4">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CE91CC1" w14:textId="77777777" w:rsidR="00F819B4" w:rsidRPr="00F819B4" w:rsidRDefault="00F819B4" w:rsidP="00F819B4">
            <w:pPr>
              <w:spacing w:after="0" w:line="240" w:lineRule="auto"/>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C. Sankcie a pokuty</w:t>
            </w:r>
          </w:p>
        </w:tc>
        <w:tc>
          <w:tcPr>
            <w:tcW w:w="0" w:type="auto"/>
            <w:tcBorders>
              <w:top w:val="nil"/>
              <w:left w:val="nil"/>
              <w:bottom w:val="single" w:sz="4" w:space="0" w:color="auto"/>
              <w:right w:val="single" w:sz="4" w:space="0" w:color="auto"/>
            </w:tcBorders>
            <w:shd w:val="clear" w:color="000000" w:fill="FFC000"/>
            <w:vAlign w:val="center"/>
            <w:hideMark/>
          </w:tcPr>
          <w:p w14:paraId="0600EEA9"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450 000</w:t>
            </w:r>
          </w:p>
        </w:tc>
        <w:tc>
          <w:tcPr>
            <w:tcW w:w="0" w:type="auto"/>
            <w:tcBorders>
              <w:top w:val="nil"/>
              <w:left w:val="nil"/>
              <w:bottom w:val="single" w:sz="4" w:space="0" w:color="auto"/>
              <w:right w:val="single" w:sz="8" w:space="0" w:color="auto"/>
            </w:tcBorders>
            <w:shd w:val="clear" w:color="000000" w:fill="92D050"/>
            <w:vAlign w:val="center"/>
            <w:hideMark/>
          </w:tcPr>
          <w:p w14:paraId="6CD07500"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0</w:t>
            </w:r>
          </w:p>
        </w:tc>
      </w:tr>
      <w:tr w:rsidR="00F819B4" w:rsidRPr="00F819B4" w14:paraId="0600327C" w14:textId="77777777" w:rsidTr="00F819B4">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C36CC84" w14:textId="77777777" w:rsidR="00F819B4" w:rsidRPr="00F819B4" w:rsidRDefault="00F819B4" w:rsidP="00F819B4">
            <w:pPr>
              <w:spacing w:after="0" w:line="240" w:lineRule="auto"/>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D. Nepriame finančné náklady</w:t>
            </w:r>
          </w:p>
        </w:tc>
        <w:tc>
          <w:tcPr>
            <w:tcW w:w="0" w:type="auto"/>
            <w:tcBorders>
              <w:top w:val="nil"/>
              <w:left w:val="nil"/>
              <w:bottom w:val="single" w:sz="4" w:space="0" w:color="auto"/>
              <w:right w:val="single" w:sz="4" w:space="0" w:color="auto"/>
            </w:tcBorders>
            <w:shd w:val="clear" w:color="000000" w:fill="FFC000"/>
            <w:vAlign w:val="center"/>
            <w:hideMark/>
          </w:tcPr>
          <w:p w14:paraId="5D50DE89"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2 290 600</w:t>
            </w:r>
          </w:p>
        </w:tc>
        <w:tc>
          <w:tcPr>
            <w:tcW w:w="0" w:type="auto"/>
            <w:tcBorders>
              <w:top w:val="nil"/>
              <w:left w:val="nil"/>
              <w:bottom w:val="single" w:sz="4" w:space="0" w:color="auto"/>
              <w:right w:val="single" w:sz="8" w:space="0" w:color="auto"/>
            </w:tcBorders>
            <w:shd w:val="clear" w:color="000000" w:fill="92D050"/>
            <w:vAlign w:val="center"/>
            <w:hideMark/>
          </w:tcPr>
          <w:p w14:paraId="02760DE8"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168 000</w:t>
            </w:r>
          </w:p>
        </w:tc>
      </w:tr>
      <w:tr w:rsidR="00F819B4" w:rsidRPr="00F819B4" w14:paraId="0C749FD1" w14:textId="77777777" w:rsidTr="00F819B4">
        <w:trPr>
          <w:trHeight w:val="300"/>
        </w:trPr>
        <w:tc>
          <w:tcPr>
            <w:tcW w:w="0" w:type="auto"/>
            <w:tcBorders>
              <w:top w:val="nil"/>
              <w:left w:val="single" w:sz="8" w:space="0" w:color="auto"/>
              <w:bottom w:val="nil"/>
              <w:right w:val="single" w:sz="4" w:space="0" w:color="auto"/>
            </w:tcBorders>
            <w:shd w:val="clear" w:color="auto" w:fill="auto"/>
            <w:vAlign w:val="center"/>
            <w:hideMark/>
          </w:tcPr>
          <w:p w14:paraId="509D712D" w14:textId="77777777" w:rsidR="00F819B4" w:rsidRPr="00F819B4" w:rsidRDefault="00F819B4" w:rsidP="00F819B4">
            <w:pPr>
              <w:spacing w:after="0" w:line="240" w:lineRule="auto"/>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E. Administratívne náklady</w:t>
            </w:r>
          </w:p>
        </w:tc>
        <w:tc>
          <w:tcPr>
            <w:tcW w:w="0" w:type="auto"/>
            <w:tcBorders>
              <w:top w:val="nil"/>
              <w:left w:val="nil"/>
              <w:bottom w:val="nil"/>
              <w:right w:val="single" w:sz="4" w:space="0" w:color="auto"/>
            </w:tcBorders>
            <w:shd w:val="clear" w:color="000000" w:fill="FFC000"/>
            <w:vAlign w:val="center"/>
            <w:hideMark/>
          </w:tcPr>
          <w:p w14:paraId="430BA9AC"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1 988 150</w:t>
            </w:r>
          </w:p>
        </w:tc>
        <w:tc>
          <w:tcPr>
            <w:tcW w:w="0" w:type="auto"/>
            <w:tcBorders>
              <w:top w:val="nil"/>
              <w:left w:val="nil"/>
              <w:bottom w:val="nil"/>
              <w:right w:val="single" w:sz="8" w:space="0" w:color="auto"/>
            </w:tcBorders>
            <w:shd w:val="clear" w:color="000000" w:fill="92D050"/>
            <w:vAlign w:val="center"/>
            <w:hideMark/>
          </w:tcPr>
          <w:p w14:paraId="31791057"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6 505</w:t>
            </w:r>
          </w:p>
        </w:tc>
      </w:tr>
      <w:tr w:rsidR="00F819B4" w:rsidRPr="00F819B4" w14:paraId="4E7421F6" w14:textId="77777777" w:rsidTr="00F819B4">
        <w:trPr>
          <w:trHeight w:val="300"/>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7123CFF7" w14:textId="77777777" w:rsidR="00F819B4" w:rsidRPr="00F819B4" w:rsidRDefault="00F819B4" w:rsidP="00F819B4">
            <w:pPr>
              <w:spacing w:after="0" w:line="240" w:lineRule="auto"/>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Spolu = A+B+C+D+E</w:t>
            </w:r>
          </w:p>
        </w:tc>
        <w:tc>
          <w:tcPr>
            <w:tcW w:w="0" w:type="auto"/>
            <w:tcBorders>
              <w:top w:val="single" w:sz="8" w:space="0" w:color="auto"/>
              <w:left w:val="nil"/>
              <w:bottom w:val="single" w:sz="8" w:space="0" w:color="auto"/>
              <w:right w:val="single" w:sz="4" w:space="0" w:color="auto"/>
            </w:tcBorders>
            <w:shd w:val="clear" w:color="000000" w:fill="FFC000"/>
            <w:vAlign w:val="center"/>
            <w:hideMark/>
          </w:tcPr>
          <w:p w14:paraId="05EE3C08"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4 736 727</w:t>
            </w:r>
          </w:p>
        </w:tc>
        <w:tc>
          <w:tcPr>
            <w:tcW w:w="0" w:type="auto"/>
            <w:tcBorders>
              <w:top w:val="single" w:sz="8" w:space="0" w:color="auto"/>
              <w:left w:val="nil"/>
              <w:bottom w:val="single" w:sz="8" w:space="0" w:color="auto"/>
              <w:right w:val="single" w:sz="8" w:space="0" w:color="auto"/>
            </w:tcBorders>
            <w:shd w:val="clear" w:color="000000" w:fill="92D050"/>
            <w:vAlign w:val="center"/>
            <w:hideMark/>
          </w:tcPr>
          <w:p w14:paraId="1F81B7C7"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187 270</w:t>
            </w:r>
          </w:p>
        </w:tc>
      </w:tr>
      <w:tr w:rsidR="00F819B4" w:rsidRPr="00F819B4" w14:paraId="44CCE2FF" w14:textId="77777777" w:rsidTr="00F819B4">
        <w:trPr>
          <w:trHeight w:val="300"/>
        </w:trPr>
        <w:tc>
          <w:tcPr>
            <w:tcW w:w="0" w:type="auto"/>
            <w:tcBorders>
              <w:top w:val="nil"/>
              <w:left w:val="nil"/>
              <w:bottom w:val="nil"/>
              <w:right w:val="nil"/>
            </w:tcBorders>
            <w:shd w:val="clear" w:color="auto" w:fill="auto"/>
            <w:vAlign w:val="center"/>
            <w:hideMark/>
          </w:tcPr>
          <w:p w14:paraId="5847BDF2"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p>
        </w:tc>
        <w:tc>
          <w:tcPr>
            <w:tcW w:w="0" w:type="auto"/>
            <w:tcBorders>
              <w:top w:val="nil"/>
              <w:left w:val="nil"/>
              <w:bottom w:val="nil"/>
              <w:right w:val="nil"/>
            </w:tcBorders>
            <w:shd w:val="clear" w:color="auto" w:fill="auto"/>
            <w:vAlign w:val="center"/>
            <w:hideMark/>
          </w:tcPr>
          <w:p w14:paraId="534ED61D"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c>
          <w:tcPr>
            <w:tcW w:w="0" w:type="auto"/>
            <w:tcBorders>
              <w:top w:val="nil"/>
              <w:left w:val="nil"/>
              <w:bottom w:val="nil"/>
              <w:right w:val="nil"/>
            </w:tcBorders>
            <w:shd w:val="clear" w:color="auto" w:fill="auto"/>
            <w:vAlign w:val="center"/>
            <w:hideMark/>
          </w:tcPr>
          <w:p w14:paraId="1278F147"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6DE437C2" w14:textId="77777777" w:rsidTr="00F819B4">
        <w:trPr>
          <w:trHeight w:val="600"/>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032D1EF1" w14:textId="77777777" w:rsidR="00F819B4" w:rsidRPr="00F819B4" w:rsidRDefault="00F819B4" w:rsidP="00F819B4">
            <w:pPr>
              <w:spacing w:after="0" w:line="240" w:lineRule="auto"/>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Harmonizácia práva EÚ</w:t>
            </w:r>
          </w:p>
        </w:tc>
        <w:tc>
          <w:tcPr>
            <w:tcW w:w="0" w:type="auto"/>
            <w:tcBorders>
              <w:top w:val="single" w:sz="8" w:space="0" w:color="auto"/>
              <w:left w:val="nil"/>
              <w:bottom w:val="single" w:sz="8" w:space="0" w:color="auto"/>
              <w:right w:val="single" w:sz="4" w:space="0" w:color="auto"/>
            </w:tcBorders>
            <w:shd w:val="clear" w:color="000000" w:fill="FFC000"/>
            <w:vAlign w:val="center"/>
            <w:hideMark/>
          </w:tcPr>
          <w:p w14:paraId="7508AFE8"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Zvýšenie nákladov v € na PP</w:t>
            </w:r>
          </w:p>
        </w:tc>
        <w:tc>
          <w:tcPr>
            <w:tcW w:w="0" w:type="auto"/>
            <w:tcBorders>
              <w:top w:val="single" w:sz="8" w:space="0" w:color="auto"/>
              <w:left w:val="nil"/>
              <w:bottom w:val="single" w:sz="8" w:space="0" w:color="auto"/>
              <w:right w:val="single" w:sz="8" w:space="0" w:color="auto"/>
            </w:tcBorders>
            <w:shd w:val="clear" w:color="000000" w:fill="92D050"/>
            <w:vAlign w:val="center"/>
            <w:hideMark/>
          </w:tcPr>
          <w:p w14:paraId="69514580"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Zníženie nákladov v € na PP</w:t>
            </w:r>
          </w:p>
        </w:tc>
      </w:tr>
      <w:tr w:rsidR="00F819B4" w:rsidRPr="00F819B4" w14:paraId="1F348F8B" w14:textId="77777777" w:rsidTr="00F819B4">
        <w:trPr>
          <w:trHeight w:val="990"/>
        </w:trPr>
        <w:tc>
          <w:tcPr>
            <w:tcW w:w="0" w:type="auto"/>
            <w:tcBorders>
              <w:top w:val="nil"/>
              <w:left w:val="single" w:sz="8" w:space="0" w:color="auto"/>
              <w:bottom w:val="nil"/>
              <w:right w:val="single" w:sz="4" w:space="0" w:color="auto"/>
            </w:tcBorders>
            <w:shd w:val="clear" w:color="auto" w:fill="auto"/>
            <w:vAlign w:val="center"/>
            <w:hideMark/>
          </w:tcPr>
          <w:p w14:paraId="673BFBC5" w14:textId="77777777" w:rsidR="00F819B4" w:rsidRPr="00F819B4" w:rsidRDefault="00F819B4" w:rsidP="00F819B4">
            <w:pPr>
              <w:spacing w:after="0" w:line="240" w:lineRule="auto"/>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F. Úplná harmonizácia práva EÚ</w:t>
            </w:r>
            <w:r w:rsidRPr="00F819B4">
              <w:rPr>
                <w:rFonts w:ascii="Times New Roman" w:eastAsia="Times New Roman" w:hAnsi="Times New Roman" w:cs="Times New Roman"/>
                <w:b/>
                <w:bCs/>
                <w:i/>
                <w:iCs/>
                <w:color w:val="000000"/>
                <w:sz w:val="20"/>
                <w:szCs w:val="20"/>
                <w:lang w:eastAsia="sk-SK"/>
              </w:rPr>
              <w:br/>
            </w:r>
            <w:r w:rsidRPr="00F819B4">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0" w:type="auto"/>
            <w:tcBorders>
              <w:top w:val="nil"/>
              <w:left w:val="nil"/>
              <w:bottom w:val="nil"/>
              <w:right w:val="single" w:sz="4" w:space="0" w:color="auto"/>
            </w:tcBorders>
            <w:shd w:val="clear" w:color="000000" w:fill="FFC000"/>
            <w:vAlign w:val="center"/>
            <w:hideMark/>
          </w:tcPr>
          <w:p w14:paraId="03369CCC"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3 486 332</w:t>
            </w:r>
          </w:p>
        </w:tc>
        <w:tc>
          <w:tcPr>
            <w:tcW w:w="0" w:type="auto"/>
            <w:tcBorders>
              <w:top w:val="nil"/>
              <w:left w:val="nil"/>
              <w:bottom w:val="nil"/>
              <w:right w:val="single" w:sz="8" w:space="0" w:color="auto"/>
            </w:tcBorders>
            <w:shd w:val="clear" w:color="000000" w:fill="92D050"/>
            <w:vAlign w:val="center"/>
            <w:hideMark/>
          </w:tcPr>
          <w:p w14:paraId="6129E49F"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0</w:t>
            </w:r>
          </w:p>
        </w:tc>
      </w:tr>
      <w:tr w:rsidR="00F819B4" w:rsidRPr="00F819B4" w14:paraId="6FF7BC61" w14:textId="77777777" w:rsidTr="00F819B4">
        <w:trPr>
          <w:trHeight w:val="270"/>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3E738191" w14:textId="77777777" w:rsidR="00F819B4" w:rsidRPr="00F819B4" w:rsidRDefault="00F819B4" w:rsidP="00F819B4">
            <w:pPr>
              <w:spacing w:after="0" w:line="240" w:lineRule="auto"/>
              <w:rPr>
                <w:rFonts w:ascii="Times New Roman" w:eastAsia="Times New Roman" w:hAnsi="Times New Roman" w:cs="Times New Roman"/>
                <w:b/>
                <w:bCs/>
                <w:i/>
                <w:iCs/>
                <w:color w:val="000000"/>
                <w:sz w:val="20"/>
                <w:szCs w:val="20"/>
                <w:lang w:eastAsia="sk-SK"/>
              </w:rPr>
            </w:pPr>
            <w:r w:rsidRPr="00F819B4">
              <w:rPr>
                <w:rFonts w:ascii="Times New Roman" w:eastAsia="Times New Roman" w:hAnsi="Times New Roman" w:cs="Times New Roman"/>
                <w:b/>
                <w:bCs/>
                <w:i/>
                <w:iCs/>
                <w:color w:val="000000"/>
                <w:sz w:val="20"/>
                <w:szCs w:val="20"/>
                <w:lang w:eastAsia="sk-SK"/>
              </w:rPr>
              <w:t>G. Goldplating</w:t>
            </w:r>
          </w:p>
        </w:tc>
        <w:tc>
          <w:tcPr>
            <w:tcW w:w="0" w:type="auto"/>
            <w:tcBorders>
              <w:top w:val="single" w:sz="8" w:space="0" w:color="auto"/>
              <w:left w:val="nil"/>
              <w:bottom w:val="single" w:sz="8" w:space="0" w:color="auto"/>
              <w:right w:val="single" w:sz="4" w:space="0" w:color="auto"/>
            </w:tcBorders>
            <w:shd w:val="clear" w:color="000000" w:fill="FFC000"/>
            <w:vAlign w:val="center"/>
            <w:hideMark/>
          </w:tcPr>
          <w:p w14:paraId="703E68BF"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282 982</w:t>
            </w:r>
          </w:p>
        </w:tc>
        <w:tc>
          <w:tcPr>
            <w:tcW w:w="0" w:type="auto"/>
            <w:tcBorders>
              <w:top w:val="single" w:sz="8" w:space="0" w:color="auto"/>
              <w:left w:val="nil"/>
              <w:bottom w:val="single" w:sz="8" w:space="0" w:color="auto"/>
              <w:right w:val="single" w:sz="8" w:space="0" w:color="auto"/>
            </w:tcBorders>
            <w:shd w:val="clear" w:color="000000" w:fill="92D050"/>
            <w:vAlign w:val="center"/>
            <w:hideMark/>
          </w:tcPr>
          <w:p w14:paraId="254555C2"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183 758</w:t>
            </w:r>
          </w:p>
        </w:tc>
      </w:tr>
      <w:tr w:rsidR="00F819B4" w:rsidRPr="00F819B4" w14:paraId="4DE0636F" w14:textId="77777777" w:rsidTr="00F819B4">
        <w:trPr>
          <w:trHeight w:val="270"/>
        </w:trPr>
        <w:tc>
          <w:tcPr>
            <w:tcW w:w="0" w:type="auto"/>
            <w:tcBorders>
              <w:top w:val="nil"/>
              <w:left w:val="nil"/>
              <w:bottom w:val="nil"/>
              <w:right w:val="nil"/>
            </w:tcBorders>
            <w:shd w:val="clear" w:color="auto" w:fill="auto"/>
            <w:noWrap/>
            <w:vAlign w:val="bottom"/>
            <w:hideMark/>
          </w:tcPr>
          <w:p w14:paraId="0E02CB54"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p>
        </w:tc>
        <w:tc>
          <w:tcPr>
            <w:tcW w:w="0" w:type="auto"/>
            <w:tcBorders>
              <w:top w:val="nil"/>
              <w:left w:val="nil"/>
              <w:bottom w:val="nil"/>
              <w:right w:val="nil"/>
            </w:tcBorders>
            <w:shd w:val="clear" w:color="auto" w:fill="auto"/>
            <w:vAlign w:val="center"/>
            <w:hideMark/>
          </w:tcPr>
          <w:p w14:paraId="1C3F132F"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c>
          <w:tcPr>
            <w:tcW w:w="0" w:type="auto"/>
            <w:tcBorders>
              <w:top w:val="nil"/>
              <w:left w:val="nil"/>
              <w:bottom w:val="nil"/>
              <w:right w:val="nil"/>
            </w:tcBorders>
            <w:shd w:val="clear" w:color="auto" w:fill="auto"/>
            <w:vAlign w:val="center"/>
            <w:hideMark/>
          </w:tcPr>
          <w:p w14:paraId="3ACFB85C"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1C455E0F" w14:textId="77777777" w:rsidTr="00F819B4">
        <w:trPr>
          <w:trHeight w:val="270"/>
        </w:trPr>
        <w:tc>
          <w:tcPr>
            <w:tcW w:w="0" w:type="auto"/>
            <w:tcBorders>
              <w:top w:val="nil"/>
              <w:left w:val="nil"/>
              <w:bottom w:val="nil"/>
              <w:right w:val="nil"/>
            </w:tcBorders>
            <w:shd w:val="clear" w:color="auto" w:fill="auto"/>
            <w:noWrap/>
            <w:vAlign w:val="bottom"/>
            <w:hideMark/>
          </w:tcPr>
          <w:p w14:paraId="34537423"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c>
          <w:tcPr>
            <w:tcW w:w="0" w:type="auto"/>
            <w:tcBorders>
              <w:top w:val="nil"/>
              <w:left w:val="nil"/>
              <w:bottom w:val="nil"/>
              <w:right w:val="nil"/>
            </w:tcBorders>
            <w:shd w:val="clear" w:color="auto" w:fill="auto"/>
            <w:vAlign w:val="center"/>
            <w:hideMark/>
          </w:tcPr>
          <w:p w14:paraId="009B4241"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c>
          <w:tcPr>
            <w:tcW w:w="0" w:type="auto"/>
            <w:tcBorders>
              <w:top w:val="nil"/>
              <w:left w:val="nil"/>
              <w:bottom w:val="nil"/>
              <w:right w:val="nil"/>
            </w:tcBorders>
            <w:shd w:val="clear" w:color="auto" w:fill="auto"/>
            <w:vAlign w:val="center"/>
            <w:hideMark/>
          </w:tcPr>
          <w:p w14:paraId="5F495B6D"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7CBA4CDF" w14:textId="77777777" w:rsidTr="00F819B4">
        <w:trPr>
          <w:trHeight w:val="330"/>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2C363540" w14:textId="77777777" w:rsidR="00F819B4" w:rsidRPr="00F819B4" w:rsidRDefault="00F819B4" w:rsidP="00F819B4">
            <w:pPr>
              <w:spacing w:after="0" w:line="240" w:lineRule="auto"/>
              <w:rPr>
                <w:rFonts w:ascii="Times New Roman" w:eastAsia="Times New Roman" w:hAnsi="Times New Roman" w:cs="Times New Roman"/>
                <w:i/>
                <w:iCs/>
                <w:color w:val="000000"/>
                <w:sz w:val="20"/>
                <w:szCs w:val="20"/>
                <w:lang w:eastAsia="sk-SK"/>
              </w:rPr>
            </w:pPr>
            <w:r w:rsidRPr="00F819B4">
              <w:rPr>
                <w:rFonts w:ascii="Times New Roman" w:eastAsia="Times New Roman" w:hAnsi="Times New Roman" w:cs="Times New Roman"/>
                <w:i/>
                <w:iCs/>
                <w:color w:val="000000"/>
                <w:sz w:val="20"/>
                <w:szCs w:val="20"/>
                <w:lang w:eastAsia="sk-SK"/>
              </w:rPr>
              <w:t>VÝPOČET PRAVIDLA 1in2out:</w:t>
            </w:r>
          </w:p>
        </w:tc>
        <w:tc>
          <w:tcPr>
            <w:tcW w:w="0" w:type="auto"/>
            <w:tcBorders>
              <w:top w:val="single" w:sz="8" w:space="0" w:color="auto"/>
              <w:left w:val="nil"/>
              <w:bottom w:val="single" w:sz="4" w:space="0" w:color="auto"/>
              <w:right w:val="single" w:sz="4" w:space="0" w:color="auto"/>
            </w:tcBorders>
            <w:shd w:val="clear" w:color="000000" w:fill="FFC000"/>
            <w:vAlign w:val="center"/>
            <w:hideMark/>
          </w:tcPr>
          <w:p w14:paraId="36A59CE3"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IN</w:t>
            </w:r>
          </w:p>
        </w:tc>
        <w:tc>
          <w:tcPr>
            <w:tcW w:w="0" w:type="auto"/>
            <w:tcBorders>
              <w:top w:val="single" w:sz="8" w:space="0" w:color="auto"/>
              <w:left w:val="nil"/>
              <w:bottom w:val="single" w:sz="4" w:space="0" w:color="auto"/>
              <w:right w:val="single" w:sz="8" w:space="0" w:color="auto"/>
            </w:tcBorders>
            <w:shd w:val="clear" w:color="000000" w:fill="92D050"/>
            <w:vAlign w:val="center"/>
            <w:hideMark/>
          </w:tcPr>
          <w:p w14:paraId="0A8072A1"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OUT</w:t>
            </w:r>
          </w:p>
        </w:tc>
      </w:tr>
      <w:tr w:rsidR="00F819B4" w:rsidRPr="00F819B4" w14:paraId="5AFD1AAB" w14:textId="77777777" w:rsidTr="00F819B4">
        <w:trPr>
          <w:trHeight w:val="345"/>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122404AB" w14:textId="77777777" w:rsidR="00F819B4" w:rsidRPr="00F819B4" w:rsidRDefault="00F819B4" w:rsidP="00F819B4">
            <w:pPr>
              <w:spacing w:after="0" w:line="240" w:lineRule="auto"/>
              <w:rPr>
                <w:rFonts w:ascii="Times New Roman" w:eastAsia="Times New Roman" w:hAnsi="Times New Roman" w:cs="Times New Roman"/>
                <w:i/>
                <w:iCs/>
                <w:color w:val="000000"/>
                <w:sz w:val="20"/>
                <w:szCs w:val="20"/>
                <w:lang w:eastAsia="sk-SK"/>
              </w:rPr>
            </w:pPr>
            <w:r w:rsidRPr="00F819B4">
              <w:rPr>
                <w:rFonts w:ascii="Times New Roman" w:eastAsia="Times New Roman" w:hAnsi="Times New Roman" w:cs="Times New Roman"/>
                <w:i/>
                <w:iCs/>
                <w:color w:val="000000"/>
                <w:sz w:val="20"/>
                <w:szCs w:val="20"/>
                <w:lang w:eastAsia="sk-SK"/>
              </w:rPr>
              <w:t>H</w:t>
            </w:r>
            <w:r w:rsidRPr="00F819B4">
              <w:rPr>
                <w:rFonts w:ascii="Times New Roman" w:eastAsia="Times New Roman" w:hAnsi="Times New Roman" w:cs="Times New Roman"/>
                <w:b/>
                <w:bCs/>
                <w:i/>
                <w:iCs/>
                <w:color w:val="000000"/>
                <w:sz w:val="20"/>
                <w:szCs w:val="20"/>
                <w:lang w:eastAsia="sk-SK"/>
              </w:rPr>
              <w:t>.</w:t>
            </w:r>
            <w:r w:rsidRPr="00F819B4">
              <w:rPr>
                <w:rFonts w:ascii="Times New Roman" w:eastAsia="Times New Roman" w:hAnsi="Times New Roman" w:cs="Times New Roman"/>
                <w:i/>
                <w:iCs/>
                <w:color w:val="000000"/>
                <w:sz w:val="20"/>
                <w:szCs w:val="20"/>
                <w:lang w:eastAsia="sk-SK"/>
              </w:rPr>
              <w:t xml:space="preserve"> Náklady okrem výnimiek = B+D+E-F</w:t>
            </w:r>
          </w:p>
        </w:tc>
        <w:tc>
          <w:tcPr>
            <w:tcW w:w="0" w:type="auto"/>
            <w:tcBorders>
              <w:top w:val="nil"/>
              <w:left w:val="nil"/>
              <w:bottom w:val="single" w:sz="8" w:space="0" w:color="auto"/>
              <w:right w:val="single" w:sz="4" w:space="0" w:color="auto"/>
            </w:tcBorders>
            <w:shd w:val="clear" w:color="000000" w:fill="FFC000"/>
            <w:vAlign w:val="center"/>
            <w:hideMark/>
          </w:tcPr>
          <w:p w14:paraId="0AD3DF21"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800 395</w:t>
            </w:r>
          </w:p>
        </w:tc>
        <w:tc>
          <w:tcPr>
            <w:tcW w:w="0" w:type="auto"/>
            <w:tcBorders>
              <w:top w:val="nil"/>
              <w:left w:val="nil"/>
              <w:bottom w:val="single" w:sz="8" w:space="0" w:color="auto"/>
              <w:right w:val="single" w:sz="8" w:space="0" w:color="auto"/>
            </w:tcBorders>
            <w:shd w:val="clear" w:color="000000" w:fill="92D050"/>
            <w:vAlign w:val="center"/>
            <w:hideMark/>
          </w:tcPr>
          <w:p w14:paraId="7D23A1A4"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187 270</w:t>
            </w:r>
          </w:p>
        </w:tc>
      </w:tr>
    </w:tbl>
    <w:p w14:paraId="0C4E1024" w14:textId="77777777" w:rsidR="00054C41" w:rsidRPr="004577C1" w:rsidRDefault="00054C41" w:rsidP="00054C41">
      <w:pPr>
        <w:rPr>
          <w:rFonts w:ascii="Times New Roman" w:eastAsia="Calibri" w:hAnsi="Times New Roman" w:cs="Times New Roman"/>
          <w:b/>
          <w:sz w:val="24"/>
          <w:szCs w:val="24"/>
        </w:rPr>
        <w:sectPr w:rsidR="00054C41" w:rsidRPr="004577C1"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4577C1" w:rsidRDefault="00054C41" w:rsidP="00054C41">
      <w:pPr>
        <w:rPr>
          <w:rFonts w:ascii="Times New Roman" w:eastAsia="Calibri" w:hAnsi="Times New Roman" w:cs="Times New Roman"/>
          <w:b/>
          <w:i/>
          <w:iCs/>
          <w:sz w:val="24"/>
          <w:szCs w:val="24"/>
        </w:rPr>
      </w:pPr>
      <w:r w:rsidRPr="004577C1">
        <w:rPr>
          <w:rFonts w:ascii="Times New Roman" w:eastAsia="Calibri" w:hAnsi="Times New Roman" w:cs="Times New Roman"/>
          <w:b/>
          <w:i/>
          <w:iCs/>
          <w:sz w:val="24"/>
          <w:szCs w:val="24"/>
        </w:rPr>
        <w:lastRenderedPageBreak/>
        <w:t>3.1.2 Výpočty vplyvov jednotlivých regulácií na zmeny v nákladoch podnikateľov</w:t>
      </w:r>
      <w:r w:rsidRPr="004577C1">
        <w:rPr>
          <w:rFonts w:ascii="Times New Roman" w:eastAsia="Calibri" w:hAnsi="Times New Roman" w:cs="Times New Roman"/>
          <w:i/>
          <w:sz w:val="24"/>
          <w:szCs w:val="24"/>
        </w:rPr>
        <w:tab/>
      </w:r>
      <w:r w:rsidRPr="004577C1">
        <w:rPr>
          <w:rFonts w:ascii="Times New Roman" w:eastAsia="Calibri" w:hAnsi="Times New Roman" w:cs="Times New Roman"/>
          <w:i/>
          <w:sz w:val="24"/>
          <w:szCs w:val="24"/>
        </w:rPr>
        <w:tab/>
      </w:r>
      <w:r w:rsidRPr="004577C1">
        <w:rPr>
          <w:rFonts w:ascii="Times New Roman" w:eastAsia="Calibri" w:hAnsi="Times New Roman" w:cs="Times New Roman"/>
          <w:i/>
          <w:sz w:val="24"/>
          <w:szCs w:val="24"/>
        </w:rPr>
        <w:tab/>
      </w:r>
      <w:r w:rsidRPr="004577C1">
        <w:rPr>
          <w:rFonts w:ascii="Times New Roman" w:eastAsia="Calibri" w:hAnsi="Times New Roman" w:cs="Times New Roman"/>
          <w:i/>
          <w:sz w:val="24"/>
          <w:szCs w:val="24"/>
        </w:rPr>
        <w:tab/>
      </w:r>
      <w:r w:rsidRPr="004577C1">
        <w:rPr>
          <w:rFonts w:ascii="Times New Roman" w:eastAsia="Calibri" w:hAnsi="Times New Roman" w:cs="Times New Roman"/>
          <w:i/>
          <w:sz w:val="24"/>
          <w:szCs w:val="24"/>
        </w:rPr>
        <w:tab/>
      </w:r>
      <w:r w:rsidRPr="004577C1">
        <w:rPr>
          <w:rFonts w:ascii="Times New Roman" w:eastAsia="Calibri" w:hAnsi="Times New Roman" w:cs="Times New Roman"/>
          <w:i/>
          <w:sz w:val="24"/>
          <w:szCs w:val="24"/>
        </w:rPr>
        <w:tab/>
      </w:r>
      <w:r w:rsidRPr="004577C1">
        <w:rPr>
          <w:rFonts w:ascii="Times New Roman" w:eastAsia="Calibri" w:hAnsi="Times New Roman" w:cs="Times New Roman"/>
          <w:i/>
          <w:sz w:val="24"/>
          <w:szCs w:val="24"/>
        </w:rPr>
        <w:tab/>
      </w:r>
      <w:r w:rsidRPr="004577C1">
        <w:rPr>
          <w:rFonts w:ascii="Times New Roman" w:eastAsia="Calibri" w:hAnsi="Times New Roman" w:cs="Times New Roman"/>
          <w:i/>
          <w:sz w:val="24"/>
          <w:szCs w:val="24"/>
        </w:rPr>
        <w:tab/>
      </w:r>
    </w:p>
    <w:p w14:paraId="5E02E2DD" w14:textId="77777777" w:rsidR="00054C41" w:rsidRPr="004577C1" w:rsidRDefault="00054C41" w:rsidP="00054C41">
      <w:pPr>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Tabuľka č. 2: Výpočet vplyvov jednotlivých regulácií (nahraďte rovnakou tabuľkou po vyplnení Kalkulačky nákladov):</w:t>
      </w:r>
    </w:p>
    <w:tbl>
      <w:tblPr>
        <w:tblW w:w="5000" w:type="pct"/>
        <w:tblCellMar>
          <w:left w:w="70" w:type="dxa"/>
          <w:right w:w="70" w:type="dxa"/>
        </w:tblCellMar>
        <w:tblLook w:val="04A0" w:firstRow="1" w:lastRow="0" w:firstColumn="1" w:lastColumn="0" w:noHBand="0" w:noVBand="1"/>
      </w:tblPr>
      <w:tblGrid>
        <w:gridCol w:w="451"/>
        <w:gridCol w:w="1618"/>
        <w:gridCol w:w="863"/>
        <w:gridCol w:w="1129"/>
        <w:gridCol w:w="1323"/>
        <w:gridCol w:w="934"/>
        <w:gridCol w:w="1388"/>
        <w:gridCol w:w="974"/>
        <w:gridCol w:w="1190"/>
        <w:gridCol w:w="1190"/>
        <w:gridCol w:w="840"/>
        <w:gridCol w:w="785"/>
        <w:gridCol w:w="1163"/>
        <w:gridCol w:w="146"/>
      </w:tblGrid>
      <w:tr w:rsidR="00F819B4" w:rsidRPr="00F819B4" w14:paraId="475F59FF" w14:textId="77777777" w:rsidTr="00F819B4">
        <w:trPr>
          <w:gridAfter w:val="1"/>
          <w:wAfter w:w="28" w:type="pct"/>
          <w:trHeight w:val="408"/>
        </w:trPr>
        <w:tc>
          <w:tcPr>
            <w:tcW w:w="169"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2C75109"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P.č.</w:t>
            </w:r>
          </w:p>
        </w:tc>
        <w:tc>
          <w:tcPr>
            <w:tcW w:w="85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37CAD85"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 xml:space="preserve">Zrozumiteľný a stručný opis regulácie </w:t>
            </w:r>
            <w:r w:rsidRPr="00F819B4">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353"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1119ACB3"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Číslo normy</w:t>
            </w:r>
            <w:r w:rsidRPr="00F819B4">
              <w:rPr>
                <w:rFonts w:ascii="Times New Roman" w:eastAsia="Times New Roman" w:hAnsi="Times New Roman" w:cs="Times New Roman"/>
                <w:b/>
                <w:bCs/>
                <w:color w:val="000000"/>
                <w:sz w:val="20"/>
                <w:szCs w:val="20"/>
                <w:lang w:eastAsia="sk-SK"/>
              </w:rPr>
              <w:br/>
            </w:r>
            <w:r w:rsidRPr="00F819B4">
              <w:rPr>
                <w:rFonts w:ascii="Times New Roman" w:eastAsia="Times New Roman" w:hAnsi="Times New Roman" w:cs="Times New Roman"/>
                <w:color w:val="000000"/>
                <w:sz w:val="20"/>
                <w:szCs w:val="20"/>
                <w:lang w:eastAsia="sk-SK"/>
              </w:rPr>
              <w:t>(zákona, vyhlášky a pod.)</w:t>
            </w:r>
          </w:p>
        </w:tc>
        <w:tc>
          <w:tcPr>
            <w:tcW w:w="354"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2102F95D"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Lokalizácia</w:t>
            </w:r>
            <w:r w:rsidRPr="00F819B4">
              <w:rPr>
                <w:rFonts w:ascii="Times New Roman" w:eastAsia="Times New Roman" w:hAnsi="Times New Roman" w:cs="Times New Roman"/>
                <w:b/>
                <w:bCs/>
                <w:color w:val="000000"/>
                <w:sz w:val="20"/>
                <w:szCs w:val="20"/>
                <w:lang w:eastAsia="sk-SK"/>
              </w:rPr>
              <w:br/>
              <w:t>(§, ods., čl.,...)</w:t>
            </w:r>
          </w:p>
        </w:tc>
        <w:tc>
          <w:tcPr>
            <w:tcW w:w="1132"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A253051"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 xml:space="preserve">Pôvod regulácie: </w:t>
            </w:r>
            <w:r w:rsidRPr="00F819B4">
              <w:rPr>
                <w:rFonts w:ascii="Times New Roman" w:eastAsia="Times New Roman" w:hAnsi="Times New Roman" w:cs="Times New Roman"/>
                <w:b/>
                <w:bCs/>
                <w:color w:val="000000"/>
                <w:sz w:val="20"/>
                <w:szCs w:val="20"/>
                <w:lang w:eastAsia="sk-SK"/>
              </w:rPr>
              <w:br/>
            </w:r>
            <w:r w:rsidRPr="00F819B4">
              <w:rPr>
                <w:rFonts w:ascii="Times New Roman" w:eastAsia="Times New Roman" w:hAnsi="Times New Roman" w:cs="Times New Roman"/>
                <w:color w:val="000000"/>
                <w:sz w:val="20"/>
                <w:szCs w:val="20"/>
                <w:lang w:eastAsia="sk-SK"/>
              </w:rPr>
              <w:t>SK/EÚ úplná harm./</w:t>
            </w:r>
            <w:r w:rsidRPr="00F819B4">
              <w:rPr>
                <w:rFonts w:ascii="Times New Roman" w:eastAsia="Times New Roman" w:hAnsi="Times New Roman" w:cs="Times New Roman"/>
                <w:color w:val="000000"/>
                <w:sz w:val="20"/>
                <w:szCs w:val="20"/>
                <w:lang w:eastAsia="sk-SK"/>
              </w:rPr>
              <w:br/>
              <w:t>goldplating</w:t>
            </w:r>
          </w:p>
        </w:tc>
        <w:tc>
          <w:tcPr>
            <w:tcW w:w="189"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FBB4A7F"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Účinnosť regulácie</w:t>
            </w:r>
          </w:p>
        </w:tc>
        <w:tc>
          <w:tcPr>
            <w:tcW w:w="26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F25D761"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Kategória dotk. subjektov</w:t>
            </w:r>
          </w:p>
        </w:tc>
        <w:tc>
          <w:tcPr>
            <w:tcW w:w="20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9C49DFF"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 xml:space="preserve">Počet dotk. subjektov spolu </w:t>
            </w:r>
          </w:p>
        </w:tc>
        <w:tc>
          <w:tcPr>
            <w:tcW w:w="22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6EE1FD9"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Vplyv na 1 podnik. v €</w:t>
            </w:r>
          </w:p>
        </w:tc>
        <w:tc>
          <w:tcPr>
            <w:tcW w:w="25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8488400"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Vplyv na kategóriu dotk. subjektov v €</w:t>
            </w:r>
          </w:p>
        </w:tc>
        <w:tc>
          <w:tcPr>
            <w:tcW w:w="35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0FCC85F"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Druh vplyvu</w:t>
            </w:r>
            <w:r w:rsidRPr="00F819B4">
              <w:rPr>
                <w:rFonts w:ascii="Times New Roman" w:eastAsia="Times New Roman" w:hAnsi="Times New Roman" w:cs="Times New Roman"/>
                <w:b/>
                <w:bCs/>
                <w:color w:val="000000"/>
                <w:sz w:val="20"/>
                <w:szCs w:val="20"/>
                <w:lang w:eastAsia="sk-SK"/>
              </w:rPr>
              <w:br/>
            </w:r>
            <w:r w:rsidRPr="00F819B4">
              <w:rPr>
                <w:rFonts w:ascii="Times New Roman" w:eastAsia="Times New Roman" w:hAnsi="Times New Roman" w:cs="Times New Roman"/>
                <w:color w:val="000000"/>
                <w:sz w:val="20"/>
                <w:szCs w:val="20"/>
                <w:lang w:eastAsia="sk-SK"/>
              </w:rPr>
              <w:t xml:space="preserve">In (zvyšuje náklady) / </w:t>
            </w:r>
            <w:r w:rsidRPr="00F819B4">
              <w:rPr>
                <w:rFonts w:ascii="Times New Roman" w:eastAsia="Times New Roman" w:hAnsi="Times New Roman" w:cs="Times New Roman"/>
                <w:color w:val="000000"/>
                <w:sz w:val="20"/>
                <w:szCs w:val="20"/>
                <w:lang w:eastAsia="sk-SK"/>
              </w:rPr>
              <w:br/>
              <w:t>Out (znižuje náklady) / Nemení sa</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9FAC38"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 xml:space="preserve">1in2out </w:t>
            </w:r>
            <w:r w:rsidRPr="00F819B4">
              <w:rPr>
                <w:rFonts w:ascii="Times New Roman" w:eastAsia="Times New Roman" w:hAnsi="Times New Roman" w:cs="Times New Roman"/>
                <w:b/>
                <w:bCs/>
                <w:color w:val="000000"/>
                <w:sz w:val="20"/>
                <w:szCs w:val="20"/>
                <w:lang w:eastAsia="sk-SK"/>
              </w:rPr>
              <w:br/>
              <w:t>celkom</w:t>
            </w:r>
          </w:p>
        </w:tc>
        <w:tc>
          <w:tcPr>
            <w:tcW w:w="26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9EB3AA"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r w:rsidRPr="00F819B4">
              <w:rPr>
                <w:rFonts w:ascii="Times New Roman" w:eastAsia="Times New Roman" w:hAnsi="Times New Roman" w:cs="Times New Roman"/>
                <w:b/>
                <w:bCs/>
                <w:color w:val="000000"/>
                <w:sz w:val="20"/>
                <w:szCs w:val="20"/>
                <w:lang w:eastAsia="sk-SK"/>
              </w:rPr>
              <w:t>Goldplating celkom</w:t>
            </w:r>
          </w:p>
        </w:tc>
      </w:tr>
      <w:tr w:rsidR="00F819B4" w:rsidRPr="00F819B4" w14:paraId="6A3DC89F" w14:textId="77777777" w:rsidTr="00F819B4">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300C724A"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853" w:type="pct"/>
            <w:vMerge/>
            <w:tcBorders>
              <w:top w:val="single" w:sz="4" w:space="0" w:color="auto"/>
              <w:left w:val="single" w:sz="4" w:space="0" w:color="auto"/>
              <w:bottom w:val="single" w:sz="4" w:space="0" w:color="auto"/>
              <w:right w:val="single" w:sz="4" w:space="0" w:color="auto"/>
            </w:tcBorders>
            <w:vAlign w:val="center"/>
            <w:hideMark/>
          </w:tcPr>
          <w:p w14:paraId="688954E0"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778A06F7"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053A19A9"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132" w:type="pct"/>
            <w:vMerge/>
            <w:tcBorders>
              <w:top w:val="single" w:sz="4" w:space="0" w:color="auto"/>
              <w:left w:val="single" w:sz="4" w:space="0" w:color="auto"/>
              <w:bottom w:val="single" w:sz="4" w:space="0" w:color="auto"/>
              <w:right w:val="single" w:sz="4" w:space="0" w:color="auto"/>
            </w:tcBorders>
            <w:vAlign w:val="center"/>
            <w:hideMark/>
          </w:tcPr>
          <w:p w14:paraId="20F7197A"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42990FD2"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0500D577"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0C09F878"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758DDCF2"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5E622972"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76DCEC3A"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145F69E7"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2B6E8E13"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8" w:type="pct"/>
            <w:tcBorders>
              <w:top w:val="nil"/>
              <w:left w:val="nil"/>
              <w:bottom w:val="nil"/>
              <w:right w:val="nil"/>
            </w:tcBorders>
            <w:shd w:val="clear" w:color="auto" w:fill="auto"/>
            <w:noWrap/>
            <w:vAlign w:val="bottom"/>
            <w:hideMark/>
          </w:tcPr>
          <w:p w14:paraId="4B4D297F" w14:textId="77777777" w:rsidR="00F819B4" w:rsidRPr="00F819B4" w:rsidRDefault="00F819B4" w:rsidP="00F819B4">
            <w:pPr>
              <w:spacing w:after="0" w:line="240" w:lineRule="auto"/>
              <w:jc w:val="center"/>
              <w:rPr>
                <w:rFonts w:ascii="Times New Roman" w:eastAsia="Times New Roman" w:hAnsi="Times New Roman" w:cs="Times New Roman"/>
                <w:b/>
                <w:bCs/>
                <w:color w:val="000000"/>
                <w:sz w:val="20"/>
                <w:szCs w:val="20"/>
                <w:lang w:eastAsia="sk-SK"/>
              </w:rPr>
            </w:pPr>
          </w:p>
        </w:tc>
      </w:tr>
      <w:tr w:rsidR="00F819B4" w:rsidRPr="00F819B4" w14:paraId="0F1B306E" w14:textId="77777777" w:rsidTr="00F819B4">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5F4673A5"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853" w:type="pct"/>
            <w:vMerge/>
            <w:tcBorders>
              <w:top w:val="single" w:sz="4" w:space="0" w:color="auto"/>
              <w:left w:val="single" w:sz="4" w:space="0" w:color="auto"/>
              <w:bottom w:val="single" w:sz="4" w:space="0" w:color="auto"/>
              <w:right w:val="single" w:sz="4" w:space="0" w:color="auto"/>
            </w:tcBorders>
            <w:vAlign w:val="center"/>
            <w:hideMark/>
          </w:tcPr>
          <w:p w14:paraId="2CCF72C2"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2D7252F2"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15E4D8EC"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132" w:type="pct"/>
            <w:vMerge/>
            <w:tcBorders>
              <w:top w:val="single" w:sz="4" w:space="0" w:color="auto"/>
              <w:left w:val="single" w:sz="4" w:space="0" w:color="auto"/>
              <w:bottom w:val="single" w:sz="4" w:space="0" w:color="auto"/>
              <w:right w:val="single" w:sz="4" w:space="0" w:color="auto"/>
            </w:tcBorders>
            <w:vAlign w:val="center"/>
            <w:hideMark/>
          </w:tcPr>
          <w:p w14:paraId="07628265"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69311A0E"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1BC18239"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69AD9733"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438E7F35"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4CB2DB83"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049C0078"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6FCAA0D5"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4B88EFC8"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8" w:type="pct"/>
            <w:tcBorders>
              <w:top w:val="nil"/>
              <w:left w:val="nil"/>
              <w:bottom w:val="nil"/>
              <w:right w:val="nil"/>
            </w:tcBorders>
            <w:shd w:val="clear" w:color="auto" w:fill="auto"/>
            <w:noWrap/>
            <w:vAlign w:val="bottom"/>
            <w:hideMark/>
          </w:tcPr>
          <w:p w14:paraId="5F63B4C7"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234F05F8" w14:textId="77777777" w:rsidTr="00F819B4">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211DA249"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853" w:type="pct"/>
            <w:vMerge/>
            <w:tcBorders>
              <w:top w:val="single" w:sz="4" w:space="0" w:color="auto"/>
              <w:left w:val="single" w:sz="4" w:space="0" w:color="auto"/>
              <w:bottom w:val="single" w:sz="4" w:space="0" w:color="auto"/>
              <w:right w:val="single" w:sz="4" w:space="0" w:color="auto"/>
            </w:tcBorders>
            <w:vAlign w:val="center"/>
            <w:hideMark/>
          </w:tcPr>
          <w:p w14:paraId="08E79873"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37D023A8"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46F4C07E"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132" w:type="pct"/>
            <w:vMerge/>
            <w:tcBorders>
              <w:top w:val="single" w:sz="4" w:space="0" w:color="auto"/>
              <w:left w:val="single" w:sz="4" w:space="0" w:color="auto"/>
              <w:bottom w:val="single" w:sz="4" w:space="0" w:color="auto"/>
              <w:right w:val="single" w:sz="4" w:space="0" w:color="auto"/>
            </w:tcBorders>
            <w:vAlign w:val="center"/>
            <w:hideMark/>
          </w:tcPr>
          <w:p w14:paraId="36898128"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542CBE23"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5387200D"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01E57CAD"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5BECA62E"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20B0086F"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1C404D03"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69D738E4"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00AE63A4"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8" w:type="pct"/>
            <w:tcBorders>
              <w:top w:val="nil"/>
              <w:left w:val="nil"/>
              <w:bottom w:val="nil"/>
              <w:right w:val="nil"/>
            </w:tcBorders>
            <w:shd w:val="clear" w:color="auto" w:fill="auto"/>
            <w:noWrap/>
            <w:vAlign w:val="bottom"/>
            <w:hideMark/>
          </w:tcPr>
          <w:p w14:paraId="3D3131C4"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1FB672E7" w14:textId="77777777" w:rsidTr="00F819B4">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29A4D143"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853" w:type="pct"/>
            <w:vMerge/>
            <w:tcBorders>
              <w:top w:val="single" w:sz="4" w:space="0" w:color="auto"/>
              <w:left w:val="single" w:sz="4" w:space="0" w:color="auto"/>
              <w:bottom w:val="single" w:sz="4" w:space="0" w:color="auto"/>
              <w:right w:val="single" w:sz="4" w:space="0" w:color="auto"/>
            </w:tcBorders>
            <w:vAlign w:val="center"/>
            <w:hideMark/>
          </w:tcPr>
          <w:p w14:paraId="32FCCCD6"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274AEAE3"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0021C256"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132" w:type="pct"/>
            <w:vMerge/>
            <w:tcBorders>
              <w:top w:val="single" w:sz="4" w:space="0" w:color="auto"/>
              <w:left w:val="single" w:sz="4" w:space="0" w:color="auto"/>
              <w:bottom w:val="single" w:sz="4" w:space="0" w:color="auto"/>
              <w:right w:val="single" w:sz="4" w:space="0" w:color="auto"/>
            </w:tcBorders>
            <w:vAlign w:val="center"/>
            <w:hideMark/>
          </w:tcPr>
          <w:p w14:paraId="2A2915BD"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0533CBDB"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2F204A68"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04D333F4"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357CC5A6"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0EB73904"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2612FB69"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4143C462"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5FD1CA40"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8" w:type="pct"/>
            <w:tcBorders>
              <w:top w:val="nil"/>
              <w:left w:val="nil"/>
              <w:bottom w:val="nil"/>
              <w:right w:val="nil"/>
            </w:tcBorders>
            <w:shd w:val="clear" w:color="auto" w:fill="auto"/>
            <w:noWrap/>
            <w:vAlign w:val="bottom"/>
            <w:hideMark/>
          </w:tcPr>
          <w:p w14:paraId="0E48F39C"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22850DB5" w14:textId="77777777" w:rsidTr="00F819B4">
        <w:trPr>
          <w:trHeight w:val="255"/>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3562C97B"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853" w:type="pct"/>
            <w:vMerge/>
            <w:tcBorders>
              <w:top w:val="single" w:sz="4" w:space="0" w:color="auto"/>
              <w:left w:val="single" w:sz="4" w:space="0" w:color="auto"/>
              <w:bottom w:val="single" w:sz="4" w:space="0" w:color="auto"/>
              <w:right w:val="single" w:sz="4" w:space="0" w:color="auto"/>
            </w:tcBorders>
            <w:vAlign w:val="center"/>
            <w:hideMark/>
          </w:tcPr>
          <w:p w14:paraId="29D84B0D"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69C4039E"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4" w:type="pct"/>
            <w:vMerge/>
            <w:tcBorders>
              <w:top w:val="single" w:sz="4" w:space="0" w:color="auto"/>
              <w:left w:val="single" w:sz="4" w:space="0" w:color="auto"/>
              <w:bottom w:val="single" w:sz="4" w:space="0" w:color="000000"/>
              <w:right w:val="single" w:sz="4" w:space="0" w:color="auto"/>
            </w:tcBorders>
            <w:vAlign w:val="center"/>
            <w:hideMark/>
          </w:tcPr>
          <w:p w14:paraId="1FCBB2B2"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132" w:type="pct"/>
            <w:vMerge/>
            <w:tcBorders>
              <w:top w:val="single" w:sz="4" w:space="0" w:color="auto"/>
              <w:left w:val="single" w:sz="4" w:space="0" w:color="auto"/>
              <w:bottom w:val="single" w:sz="4" w:space="0" w:color="auto"/>
              <w:right w:val="single" w:sz="4" w:space="0" w:color="auto"/>
            </w:tcBorders>
            <w:vAlign w:val="center"/>
            <w:hideMark/>
          </w:tcPr>
          <w:p w14:paraId="64931886"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7A20BFEB"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556F8225"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31E0B54F"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149878CF"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385F6043"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3DFCB39F"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2283A6F7"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2FA92128" w14:textId="77777777" w:rsidR="00F819B4" w:rsidRPr="00F819B4" w:rsidRDefault="00F819B4" w:rsidP="00F819B4">
            <w:pPr>
              <w:spacing w:after="0" w:line="240" w:lineRule="auto"/>
              <w:rPr>
                <w:rFonts w:ascii="Times New Roman" w:eastAsia="Times New Roman" w:hAnsi="Times New Roman" w:cs="Times New Roman"/>
                <w:b/>
                <w:bCs/>
                <w:color w:val="000000"/>
                <w:sz w:val="20"/>
                <w:szCs w:val="20"/>
                <w:lang w:eastAsia="sk-SK"/>
              </w:rPr>
            </w:pPr>
          </w:p>
        </w:tc>
        <w:tc>
          <w:tcPr>
            <w:tcW w:w="28" w:type="pct"/>
            <w:tcBorders>
              <w:top w:val="nil"/>
              <w:left w:val="nil"/>
              <w:bottom w:val="nil"/>
              <w:right w:val="nil"/>
            </w:tcBorders>
            <w:shd w:val="clear" w:color="auto" w:fill="auto"/>
            <w:noWrap/>
            <w:vAlign w:val="bottom"/>
            <w:hideMark/>
          </w:tcPr>
          <w:p w14:paraId="0669C3B1"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56DF7874" w14:textId="77777777" w:rsidTr="00F819B4">
        <w:trPr>
          <w:trHeight w:val="330"/>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656B994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w:t>
            </w:r>
          </w:p>
        </w:tc>
        <w:tc>
          <w:tcPr>
            <w:tcW w:w="853" w:type="pct"/>
            <w:tcBorders>
              <w:top w:val="nil"/>
              <w:left w:val="nil"/>
              <w:bottom w:val="single" w:sz="4" w:space="0" w:color="auto"/>
              <w:right w:val="single" w:sz="4" w:space="0" w:color="auto"/>
            </w:tcBorders>
            <w:shd w:val="clear" w:color="auto" w:fill="auto"/>
            <w:vAlign w:val="center"/>
            <w:hideMark/>
          </w:tcPr>
          <w:p w14:paraId="6BE3AE9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Zákaz určitých reklám</w:t>
            </w:r>
          </w:p>
        </w:tc>
        <w:tc>
          <w:tcPr>
            <w:tcW w:w="353" w:type="pct"/>
            <w:tcBorders>
              <w:top w:val="nil"/>
              <w:left w:val="nil"/>
              <w:bottom w:val="single" w:sz="4" w:space="0" w:color="auto"/>
              <w:right w:val="single" w:sz="4" w:space="0" w:color="auto"/>
            </w:tcBorders>
            <w:shd w:val="clear" w:color="auto" w:fill="auto"/>
            <w:vAlign w:val="center"/>
            <w:hideMark/>
          </w:tcPr>
          <w:p w14:paraId="18AE2F2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6D54941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5 ods. 6 písm. a) až c)</w:t>
            </w:r>
          </w:p>
        </w:tc>
        <w:tc>
          <w:tcPr>
            <w:tcW w:w="1132" w:type="pct"/>
            <w:tcBorders>
              <w:top w:val="nil"/>
              <w:left w:val="nil"/>
              <w:bottom w:val="single" w:sz="4" w:space="0" w:color="auto"/>
              <w:right w:val="single" w:sz="4" w:space="0" w:color="auto"/>
            </w:tcBorders>
            <w:shd w:val="clear" w:color="auto" w:fill="auto"/>
            <w:vAlign w:val="center"/>
            <w:hideMark/>
          </w:tcPr>
          <w:p w14:paraId="60C2C9F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2BC9FF6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7F5754D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545E1704"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000000" w:fill="FFFFFF"/>
            <w:vAlign w:val="center"/>
            <w:hideMark/>
          </w:tcPr>
          <w:p w14:paraId="38A5D1B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5 053</w:t>
            </w:r>
          </w:p>
        </w:tc>
        <w:tc>
          <w:tcPr>
            <w:tcW w:w="250" w:type="pct"/>
            <w:tcBorders>
              <w:top w:val="nil"/>
              <w:left w:val="nil"/>
              <w:bottom w:val="single" w:sz="4" w:space="0" w:color="auto"/>
              <w:right w:val="single" w:sz="4" w:space="0" w:color="auto"/>
            </w:tcBorders>
            <w:shd w:val="clear" w:color="auto" w:fill="auto"/>
            <w:vAlign w:val="center"/>
            <w:hideMark/>
          </w:tcPr>
          <w:p w14:paraId="4C6C1EF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282 982</w:t>
            </w:r>
          </w:p>
        </w:tc>
        <w:tc>
          <w:tcPr>
            <w:tcW w:w="357" w:type="pct"/>
            <w:tcBorders>
              <w:top w:val="nil"/>
              <w:left w:val="nil"/>
              <w:bottom w:val="single" w:sz="4" w:space="0" w:color="auto"/>
              <w:right w:val="single" w:sz="4" w:space="0" w:color="auto"/>
            </w:tcBorders>
            <w:shd w:val="clear" w:color="auto" w:fill="auto"/>
            <w:vAlign w:val="center"/>
            <w:hideMark/>
          </w:tcPr>
          <w:p w14:paraId="6AECEBB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1E1C4465"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3D789A0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56BAC9E0"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74C239B5" w14:textId="77777777" w:rsidTr="00F819B4">
        <w:trPr>
          <w:trHeight w:val="255"/>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561CF16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w:t>
            </w:r>
          </w:p>
        </w:tc>
        <w:tc>
          <w:tcPr>
            <w:tcW w:w="853" w:type="pct"/>
            <w:tcBorders>
              <w:top w:val="nil"/>
              <w:left w:val="nil"/>
              <w:bottom w:val="single" w:sz="4" w:space="0" w:color="auto"/>
              <w:right w:val="single" w:sz="4" w:space="0" w:color="auto"/>
            </w:tcBorders>
            <w:shd w:val="clear" w:color="auto" w:fill="auto"/>
            <w:vAlign w:val="center"/>
            <w:hideMark/>
          </w:tcPr>
          <w:p w14:paraId="2F66C30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Vypracovanie všeobecných informácií </w:t>
            </w:r>
          </w:p>
        </w:tc>
        <w:tc>
          <w:tcPr>
            <w:tcW w:w="353" w:type="pct"/>
            <w:tcBorders>
              <w:top w:val="nil"/>
              <w:left w:val="nil"/>
              <w:bottom w:val="single" w:sz="4" w:space="0" w:color="auto"/>
              <w:right w:val="single" w:sz="4" w:space="0" w:color="auto"/>
            </w:tcBorders>
            <w:shd w:val="clear" w:color="auto" w:fill="auto"/>
            <w:vAlign w:val="center"/>
            <w:hideMark/>
          </w:tcPr>
          <w:p w14:paraId="1454DAF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1661973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7</w:t>
            </w:r>
          </w:p>
        </w:tc>
        <w:tc>
          <w:tcPr>
            <w:tcW w:w="1132" w:type="pct"/>
            <w:tcBorders>
              <w:top w:val="nil"/>
              <w:left w:val="nil"/>
              <w:bottom w:val="single" w:sz="4" w:space="0" w:color="auto"/>
              <w:right w:val="single" w:sz="4" w:space="0" w:color="auto"/>
            </w:tcBorders>
            <w:shd w:val="clear" w:color="auto" w:fill="auto"/>
            <w:vAlign w:val="center"/>
            <w:hideMark/>
          </w:tcPr>
          <w:p w14:paraId="38F1FBA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364F3E9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1921A87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3B487CC7"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66E7A3D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3 809</w:t>
            </w:r>
          </w:p>
        </w:tc>
        <w:tc>
          <w:tcPr>
            <w:tcW w:w="250" w:type="pct"/>
            <w:tcBorders>
              <w:top w:val="nil"/>
              <w:left w:val="nil"/>
              <w:bottom w:val="single" w:sz="4" w:space="0" w:color="auto"/>
              <w:right w:val="single" w:sz="4" w:space="0" w:color="auto"/>
            </w:tcBorders>
            <w:shd w:val="clear" w:color="auto" w:fill="auto"/>
            <w:vAlign w:val="center"/>
            <w:hideMark/>
          </w:tcPr>
          <w:p w14:paraId="5F84C51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213 323</w:t>
            </w:r>
          </w:p>
        </w:tc>
        <w:tc>
          <w:tcPr>
            <w:tcW w:w="357" w:type="pct"/>
            <w:tcBorders>
              <w:top w:val="nil"/>
              <w:left w:val="nil"/>
              <w:bottom w:val="single" w:sz="4" w:space="0" w:color="auto"/>
              <w:right w:val="single" w:sz="4" w:space="0" w:color="auto"/>
            </w:tcBorders>
            <w:shd w:val="clear" w:color="auto" w:fill="auto"/>
            <w:vAlign w:val="center"/>
            <w:hideMark/>
          </w:tcPr>
          <w:p w14:paraId="0389213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3ECB7D51"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1F93537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71F590D5"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3EE86EC1" w14:textId="77777777" w:rsidTr="00F819B4">
        <w:trPr>
          <w:trHeight w:val="255"/>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5A2CB82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w:t>
            </w:r>
          </w:p>
        </w:tc>
        <w:tc>
          <w:tcPr>
            <w:tcW w:w="853" w:type="pct"/>
            <w:tcBorders>
              <w:top w:val="nil"/>
              <w:left w:val="nil"/>
              <w:bottom w:val="single" w:sz="4" w:space="0" w:color="auto"/>
              <w:right w:val="single" w:sz="4" w:space="0" w:color="auto"/>
            </w:tcBorders>
            <w:shd w:val="clear" w:color="auto" w:fill="auto"/>
            <w:vAlign w:val="center"/>
            <w:hideMark/>
          </w:tcPr>
          <w:p w14:paraId="00A2BE6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Pripomenutie možnosti o odstúpení</w:t>
            </w:r>
          </w:p>
        </w:tc>
        <w:tc>
          <w:tcPr>
            <w:tcW w:w="353" w:type="pct"/>
            <w:tcBorders>
              <w:top w:val="nil"/>
              <w:left w:val="nil"/>
              <w:bottom w:val="single" w:sz="4" w:space="0" w:color="auto"/>
              <w:right w:val="single" w:sz="4" w:space="0" w:color="auto"/>
            </w:tcBorders>
            <w:shd w:val="clear" w:color="auto" w:fill="auto"/>
            <w:vAlign w:val="center"/>
            <w:hideMark/>
          </w:tcPr>
          <w:p w14:paraId="7E6FAC1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1D29E86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8 ods. 2</w:t>
            </w:r>
          </w:p>
        </w:tc>
        <w:tc>
          <w:tcPr>
            <w:tcW w:w="1132" w:type="pct"/>
            <w:tcBorders>
              <w:top w:val="nil"/>
              <w:left w:val="nil"/>
              <w:bottom w:val="single" w:sz="4" w:space="0" w:color="auto"/>
              <w:right w:val="single" w:sz="4" w:space="0" w:color="auto"/>
            </w:tcBorders>
            <w:shd w:val="clear" w:color="auto" w:fill="auto"/>
            <w:vAlign w:val="center"/>
            <w:hideMark/>
          </w:tcPr>
          <w:p w14:paraId="6BC60BD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27C10F1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346C08F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2FA0ED5C"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4BBE9F0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2 559</w:t>
            </w:r>
          </w:p>
        </w:tc>
        <w:tc>
          <w:tcPr>
            <w:tcW w:w="250" w:type="pct"/>
            <w:tcBorders>
              <w:top w:val="nil"/>
              <w:left w:val="nil"/>
              <w:bottom w:val="single" w:sz="4" w:space="0" w:color="auto"/>
              <w:right w:val="single" w:sz="4" w:space="0" w:color="auto"/>
            </w:tcBorders>
            <w:shd w:val="clear" w:color="auto" w:fill="auto"/>
            <w:vAlign w:val="center"/>
            <w:hideMark/>
          </w:tcPr>
          <w:p w14:paraId="6AE81A7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143 323</w:t>
            </w:r>
          </w:p>
        </w:tc>
        <w:tc>
          <w:tcPr>
            <w:tcW w:w="357" w:type="pct"/>
            <w:tcBorders>
              <w:top w:val="nil"/>
              <w:left w:val="nil"/>
              <w:bottom w:val="single" w:sz="4" w:space="0" w:color="auto"/>
              <w:right w:val="single" w:sz="4" w:space="0" w:color="auto"/>
            </w:tcBorders>
            <w:shd w:val="clear" w:color="auto" w:fill="auto"/>
            <w:vAlign w:val="center"/>
            <w:hideMark/>
          </w:tcPr>
          <w:p w14:paraId="654B831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1CF211E8"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0DA5BC5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2A37EF6A"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19769FEC" w14:textId="77777777" w:rsidTr="00F819B4">
        <w:trPr>
          <w:trHeight w:val="510"/>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75EDB34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4</w:t>
            </w:r>
          </w:p>
        </w:tc>
        <w:tc>
          <w:tcPr>
            <w:tcW w:w="853" w:type="pct"/>
            <w:tcBorders>
              <w:top w:val="nil"/>
              <w:left w:val="nil"/>
              <w:bottom w:val="single" w:sz="4" w:space="0" w:color="auto"/>
              <w:right w:val="single" w:sz="4" w:space="0" w:color="auto"/>
            </w:tcBorders>
            <w:shd w:val="clear" w:color="auto" w:fill="auto"/>
            <w:vAlign w:val="center"/>
            <w:hideMark/>
          </w:tcPr>
          <w:p w14:paraId="3B02E05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Úprava formulára pre štandardné európske informácie o spotrebiteľskom úvere</w:t>
            </w:r>
          </w:p>
        </w:tc>
        <w:tc>
          <w:tcPr>
            <w:tcW w:w="353" w:type="pct"/>
            <w:tcBorders>
              <w:top w:val="nil"/>
              <w:left w:val="nil"/>
              <w:bottom w:val="single" w:sz="4" w:space="0" w:color="auto"/>
              <w:right w:val="single" w:sz="4" w:space="0" w:color="auto"/>
            </w:tcBorders>
            <w:shd w:val="clear" w:color="auto" w:fill="auto"/>
            <w:vAlign w:val="center"/>
            <w:hideMark/>
          </w:tcPr>
          <w:p w14:paraId="7864484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3A35EF9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8 ods. 3</w:t>
            </w:r>
          </w:p>
        </w:tc>
        <w:tc>
          <w:tcPr>
            <w:tcW w:w="1132" w:type="pct"/>
            <w:tcBorders>
              <w:top w:val="nil"/>
              <w:left w:val="nil"/>
              <w:bottom w:val="single" w:sz="4" w:space="0" w:color="auto"/>
              <w:right w:val="single" w:sz="4" w:space="0" w:color="auto"/>
            </w:tcBorders>
            <w:shd w:val="clear" w:color="auto" w:fill="auto"/>
            <w:vAlign w:val="center"/>
            <w:hideMark/>
          </w:tcPr>
          <w:p w14:paraId="42352A0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0C9A34E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12EC13A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05BBAF90"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0C4AE76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2 532</w:t>
            </w:r>
          </w:p>
        </w:tc>
        <w:tc>
          <w:tcPr>
            <w:tcW w:w="250" w:type="pct"/>
            <w:tcBorders>
              <w:top w:val="nil"/>
              <w:left w:val="nil"/>
              <w:bottom w:val="single" w:sz="4" w:space="0" w:color="auto"/>
              <w:right w:val="single" w:sz="4" w:space="0" w:color="auto"/>
            </w:tcBorders>
            <w:shd w:val="clear" w:color="auto" w:fill="auto"/>
            <w:vAlign w:val="center"/>
            <w:hideMark/>
          </w:tcPr>
          <w:p w14:paraId="309B335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141 789</w:t>
            </w:r>
          </w:p>
        </w:tc>
        <w:tc>
          <w:tcPr>
            <w:tcW w:w="357" w:type="pct"/>
            <w:tcBorders>
              <w:top w:val="nil"/>
              <w:left w:val="nil"/>
              <w:bottom w:val="single" w:sz="4" w:space="0" w:color="auto"/>
              <w:right w:val="single" w:sz="4" w:space="0" w:color="auto"/>
            </w:tcBorders>
            <w:shd w:val="clear" w:color="auto" w:fill="auto"/>
            <w:vAlign w:val="center"/>
            <w:hideMark/>
          </w:tcPr>
          <w:p w14:paraId="4D0CF51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0523F39D"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4F45899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39BCC24C"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ACC14E7" w14:textId="77777777" w:rsidTr="00F819B4">
        <w:trPr>
          <w:trHeight w:val="510"/>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76E1F10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5</w:t>
            </w:r>
          </w:p>
        </w:tc>
        <w:tc>
          <w:tcPr>
            <w:tcW w:w="853" w:type="pct"/>
            <w:tcBorders>
              <w:top w:val="nil"/>
              <w:left w:val="nil"/>
              <w:bottom w:val="single" w:sz="4" w:space="0" w:color="auto"/>
              <w:right w:val="single" w:sz="4" w:space="0" w:color="auto"/>
            </w:tcBorders>
            <w:shd w:val="clear" w:color="auto" w:fill="auto"/>
            <w:vAlign w:val="center"/>
            <w:hideMark/>
          </w:tcPr>
          <w:p w14:paraId="54E99B7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Informačná povinnosť veriteľa o použití automatizovaného spracovania osobných údajov</w:t>
            </w:r>
          </w:p>
        </w:tc>
        <w:tc>
          <w:tcPr>
            <w:tcW w:w="353" w:type="pct"/>
            <w:tcBorders>
              <w:top w:val="nil"/>
              <w:left w:val="nil"/>
              <w:bottom w:val="single" w:sz="4" w:space="0" w:color="auto"/>
              <w:right w:val="single" w:sz="4" w:space="0" w:color="auto"/>
            </w:tcBorders>
            <w:shd w:val="clear" w:color="auto" w:fill="auto"/>
            <w:vAlign w:val="center"/>
            <w:hideMark/>
          </w:tcPr>
          <w:p w14:paraId="20FF494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7CAA0E9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12, § 17 ods. 1</w:t>
            </w:r>
          </w:p>
        </w:tc>
        <w:tc>
          <w:tcPr>
            <w:tcW w:w="1132" w:type="pct"/>
            <w:tcBorders>
              <w:top w:val="nil"/>
              <w:left w:val="nil"/>
              <w:bottom w:val="single" w:sz="4" w:space="0" w:color="auto"/>
              <w:right w:val="single" w:sz="4" w:space="0" w:color="auto"/>
            </w:tcBorders>
            <w:shd w:val="clear" w:color="auto" w:fill="auto"/>
            <w:vAlign w:val="center"/>
            <w:hideMark/>
          </w:tcPr>
          <w:p w14:paraId="22FE97B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1C10024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2D33543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2532FC08"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2FFB72E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1 259</w:t>
            </w:r>
          </w:p>
        </w:tc>
        <w:tc>
          <w:tcPr>
            <w:tcW w:w="250" w:type="pct"/>
            <w:tcBorders>
              <w:top w:val="nil"/>
              <w:left w:val="nil"/>
              <w:bottom w:val="single" w:sz="4" w:space="0" w:color="auto"/>
              <w:right w:val="single" w:sz="4" w:space="0" w:color="auto"/>
            </w:tcBorders>
            <w:shd w:val="clear" w:color="auto" w:fill="auto"/>
            <w:vAlign w:val="center"/>
            <w:hideMark/>
          </w:tcPr>
          <w:p w14:paraId="5C740A5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70 511</w:t>
            </w:r>
          </w:p>
        </w:tc>
        <w:tc>
          <w:tcPr>
            <w:tcW w:w="357" w:type="pct"/>
            <w:tcBorders>
              <w:top w:val="nil"/>
              <w:left w:val="nil"/>
              <w:bottom w:val="single" w:sz="4" w:space="0" w:color="auto"/>
              <w:right w:val="single" w:sz="4" w:space="0" w:color="auto"/>
            </w:tcBorders>
            <w:shd w:val="clear" w:color="auto" w:fill="auto"/>
            <w:vAlign w:val="center"/>
            <w:hideMark/>
          </w:tcPr>
          <w:p w14:paraId="6ABE9B0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2D4F38EF"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5348024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0C8CA614"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6FF522DA" w14:textId="77777777" w:rsidTr="00F819B4">
        <w:trPr>
          <w:trHeight w:val="510"/>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524A87E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lastRenderedPageBreak/>
              <w:t>6</w:t>
            </w:r>
          </w:p>
        </w:tc>
        <w:tc>
          <w:tcPr>
            <w:tcW w:w="853" w:type="pct"/>
            <w:tcBorders>
              <w:top w:val="nil"/>
              <w:left w:val="nil"/>
              <w:bottom w:val="single" w:sz="4" w:space="0" w:color="auto"/>
              <w:right w:val="single" w:sz="4" w:space="0" w:color="auto"/>
            </w:tcBorders>
            <w:shd w:val="clear" w:color="auto" w:fill="auto"/>
            <w:vAlign w:val="center"/>
            <w:hideMark/>
          </w:tcPr>
          <w:p w14:paraId="104CACA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Informačná povinnosť o zamietnutí žiadosti spotrebiteľa </w:t>
            </w:r>
          </w:p>
        </w:tc>
        <w:tc>
          <w:tcPr>
            <w:tcW w:w="353" w:type="pct"/>
            <w:tcBorders>
              <w:top w:val="nil"/>
              <w:left w:val="nil"/>
              <w:bottom w:val="single" w:sz="4" w:space="0" w:color="auto"/>
              <w:right w:val="single" w:sz="4" w:space="0" w:color="auto"/>
            </w:tcBorders>
            <w:shd w:val="clear" w:color="auto" w:fill="auto"/>
            <w:vAlign w:val="center"/>
            <w:hideMark/>
          </w:tcPr>
          <w:p w14:paraId="6887F5D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42EFAA1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13 ods. 6</w:t>
            </w:r>
          </w:p>
        </w:tc>
        <w:tc>
          <w:tcPr>
            <w:tcW w:w="1132" w:type="pct"/>
            <w:tcBorders>
              <w:top w:val="nil"/>
              <w:left w:val="nil"/>
              <w:bottom w:val="single" w:sz="4" w:space="0" w:color="auto"/>
              <w:right w:val="single" w:sz="4" w:space="0" w:color="auto"/>
            </w:tcBorders>
            <w:shd w:val="clear" w:color="auto" w:fill="auto"/>
            <w:vAlign w:val="center"/>
            <w:hideMark/>
          </w:tcPr>
          <w:p w14:paraId="7F5C7AB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19DD645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5D5F937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36A8C346"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0358311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1 259</w:t>
            </w:r>
          </w:p>
        </w:tc>
        <w:tc>
          <w:tcPr>
            <w:tcW w:w="250" w:type="pct"/>
            <w:tcBorders>
              <w:top w:val="nil"/>
              <w:left w:val="nil"/>
              <w:bottom w:val="single" w:sz="4" w:space="0" w:color="auto"/>
              <w:right w:val="single" w:sz="4" w:space="0" w:color="auto"/>
            </w:tcBorders>
            <w:shd w:val="clear" w:color="auto" w:fill="auto"/>
            <w:vAlign w:val="center"/>
            <w:hideMark/>
          </w:tcPr>
          <w:p w14:paraId="696119D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70 511</w:t>
            </w:r>
          </w:p>
        </w:tc>
        <w:tc>
          <w:tcPr>
            <w:tcW w:w="357" w:type="pct"/>
            <w:tcBorders>
              <w:top w:val="nil"/>
              <w:left w:val="nil"/>
              <w:bottom w:val="single" w:sz="4" w:space="0" w:color="auto"/>
              <w:right w:val="single" w:sz="4" w:space="0" w:color="auto"/>
            </w:tcBorders>
            <w:shd w:val="clear" w:color="auto" w:fill="auto"/>
            <w:vAlign w:val="center"/>
            <w:hideMark/>
          </w:tcPr>
          <w:p w14:paraId="4D2889E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273EF2A8"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34EFD00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6F0D6553"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34A2CFA3" w14:textId="77777777" w:rsidTr="00F819B4">
        <w:trPr>
          <w:trHeight w:val="510"/>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2A46EF3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7</w:t>
            </w:r>
          </w:p>
        </w:tc>
        <w:tc>
          <w:tcPr>
            <w:tcW w:w="853" w:type="pct"/>
            <w:tcBorders>
              <w:top w:val="nil"/>
              <w:left w:val="nil"/>
              <w:bottom w:val="single" w:sz="4" w:space="0" w:color="auto"/>
              <w:right w:val="single" w:sz="4" w:space="0" w:color="auto"/>
            </w:tcBorders>
            <w:shd w:val="clear" w:color="auto" w:fill="auto"/>
            <w:vAlign w:val="center"/>
            <w:hideMark/>
          </w:tcPr>
          <w:p w14:paraId="7E54121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Zavedenie interných postupov o správnosti údajov</w:t>
            </w:r>
          </w:p>
        </w:tc>
        <w:tc>
          <w:tcPr>
            <w:tcW w:w="353" w:type="pct"/>
            <w:tcBorders>
              <w:top w:val="nil"/>
              <w:left w:val="nil"/>
              <w:bottom w:val="single" w:sz="4" w:space="0" w:color="auto"/>
              <w:right w:val="single" w:sz="4" w:space="0" w:color="auto"/>
            </w:tcBorders>
            <w:shd w:val="clear" w:color="auto" w:fill="auto"/>
            <w:vAlign w:val="center"/>
            <w:hideMark/>
          </w:tcPr>
          <w:p w14:paraId="7A46883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7EE3B49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14 ods. 3</w:t>
            </w:r>
          </w:p>
        </w:tc>
        <w:tc>
          <w:tcPr>
            <w:tcW w:w="1132" w:type="pct"/>
            <w:tcBorders>
              <w:top w:val="nil"/>
              <w:left w:val="nil"/>
              <w:bottom w:val="single" w:sz="4" w:space="0" w:color="auto"/>
              <w:right w:val="single" w:sz="4" w:space="0" w:color="auto"/>
            </w:tcBorders>
            <w:shd w:val="clear" w:color="auto" w:fill="auto"/>
            <w:vAlign w:val="center"/>
            <w:hideMark/>
          </w:tcPr>
          <w:p w14:paraId="0094CBC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675A0B3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046D6E9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prevádzkovateľ registra</w:t>
            </w:r>
          </w:p>
        </w:tc>
        <w:tc>
          <w:tcPr>
            <w:tcW w:w="204" w:type="pct"/>
            <w:tcBorders>
              <w:top w:val="nil"/>
              <w:left w:val="nil"/>
              <w:bottom w:val="single" w:sz="4" w:space="0" w:color="auto"/>
              <w:right w:val="single" w:sz="4" w:space="0" w:color="auto"/>
            </w:tcBorders>
            <w:shd w:val="clear" w:color="auto" w:fill="auto"/>
            <w:vAlign w:val="center"/>
            <w:hideMark/>
          </w:tcPr>
          <w:p w14:paraId="75375BFB"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4 </w:t>
            </w:r>
          </w:p>
        </w:tc>
        <w:tc>
          <w:tcPr>
            <w:tcW w:w="225" w:type="pct"/>
            <w:tcBorders>
              <w:top w:val="nil"/>
              <w:left w:val="nil"/>
              <w:bottom w:val="single" w:sz="4" w:space="0" w:color="auto"/>
              <w:right w:val="single" w:sz="4" w:space="0" w:color="auto"/>
            </w:tcBorders>
            <w:shd w:val="clear" w:color="auto" w:fill="auto"/>
            <w:vAlign w:val="center"/>
            <w:hideMark/>
          </w:tcPr>
          <w:p w14:paraId="67D0ABE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2559,342461</w:t>
            </w:r>
          </w:p>
        </w:tc>
        <w:tc>
          <w:tcPr>
            <w:tcW w:w="250" w:type="pct"/>
            <w:tcBorders>
              <w:top w:val="nil"/>
              <w:left w:val="nil"/>
              <w:bottom w:val="single" w:sz="4" w:space="0" w:color="auto"/>
              <w:right w:val="single" w:sz="4" w:space="0" w:color="auto"/>
            </w:tcBorders>
            <w:shd w:val="clear" w:color="auto" w:fill="auto"/>
            <w:vAlign w:val="center"/>
            <w:hideMark/>
          </w:tcPr>
          <w:p w14:paraId="4B60E47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10237,36984</w:t>
            </w:r>
          </w:p>
        </w:tc>
        <w:tc>
          <w:tcPr>
            <w:tcW w:w="357" w:type="pct"/>
            <w:tcBorders>
              <w:top w:val="nil"/>
              <w:left w:val="nil"/>
              <w:bottom w:val="single" w:sz="4" w:space="0" w:color="auto"/>
              <w:right w:val="single" w:sz="4" w:space="0" w:color="auto"/>
            </w:tcBorders>
            <w:shd w:val="clear" w:color="auto" w:fill="auto"/>
            <w:vAlign w:val="center"/>
            <w:hideMark/>
          </w:tcPr>
          <w:p w14:paraId="5F2A622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78037A3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3874248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5AA986BC"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6B770F80" w14:textId="77777777" w:rsidTr="00F819B4">
        <w:trPr>
          <w:trHeight w:val="510"/>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650464E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8</w:t>
            </w:r>
          </w:p>
        </w:tc>
        <w:tc>
          <w:tcPr>
            <w:tcW w:w="853" w:type="pct"/>
            <w:tcBorders>
              <w:top w:val="nil"/>
              <w:left w:val="nil"/>
              <w:bottom w:val="single" w:sz="4" w:space="0" w:color="auto"/>
              <w:right w:val="single" w:sz="4" w:space="0" w:color="auto"/>
            </w:tcBorders>
            <w:shd w:val="clear" w:color="auto" w:fill="auto"/>
            <w:vAlign w:val="center"/>
            <w:hideMark/>
          </w:tcPr>
          <w:p w14:paraId="74A0A13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Žiadosť o výmaz/zápis údajov z/do registra pri postúpení pohľadávky</w:t>
            </w:r>
          </w:p>
        </w:tc>
        <w:tc>
          <w:tcPr>
            <w:tcW w:w="353" w:type="pct"/>
            <w:tcBorders>
              <w:top w:val="nil"/>
              <w:left w:val="nil"/>
              <w:bottom w:val="single" w:sz="4" w:space="0" w:color="auto"/>
              <w:right w:val="single" w:sz="4" w:space="0" w:color="auto"/>
            </w:tcBorders>
            <w:shd w:val="clear" w:color="auto" w:fill="auto"/>
            <w:vAlign w:val="center"/>
            <w:hideMark/>
          </w:tcPr>
          <w:p w14:paraId="515612B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6E1834C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14 ods. 9</w:t>
            </w:r>
          </w:p>
        </w:tc>
        <w:tc>
          <w:tcPr>
            <w:tcW w:w="1132" w:type="pct"/>
            <w:tcBorders>
              <w:top w:val="nil"/>
              <w:left w:val="nil"/>
              <w:bottom w:val="single" w:sz="4" w:space="0" w:color="auto"/>
              <w:right w:val="single" w:sz="4" w:space="0" w:color="auto"/>
            </w:tcBorders>
            <w:shd w:val="clear" w:color="auto" w:fill="auto"/>
            <w:vAlign w:val="center"/>
            <w:hideMark/>
          </w:tcPr>
          <w:p w14:paraId="31AD37F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5D47F26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2C2AB80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7DE1B163"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565F178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141</w:t>
            </w:r>
          </w:p>
        </w:tc>
        <w:tc>
          <w:tcPr>
            <w:tcW w:w="250" w:type="pct"/>
            <w:tcBorders>
              <w:top w:val="nil"/>
              <w:left w:val="nil"/>
              <w:bottom w:val="single" w:sz="4" w:space="0" w:color="auto"/>
              <w:right w:val="single" w:sz="4" w:space="0" w:color="auto"/>
            </w:tcBorders>
            <w:shd w:val="clear" w:color="auto" w:fill="auto"/>
            <w:vAlign w:val="center"/>
            <w:hideMark/>
          </w:tcPr>
          <w:p w14:paraId="19176E5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7 901</w:t>
            </w:r>
          </w:p>
        </w:tc>
        <w:tc>
          <w:tcPr>
            <w:tcW w:w="357" w:type="pct"/>
            <w:tcBorders>
              <w:top w:val="nil"/>
              <w:left w:val="nil"/>
              <w:bottom w:val="single" w:sz="4" w:space="0" w:color="auto"/>
              <w:right w:val="single" w:sz="4" w:space="0" w:color="auto"/>
            </w:tcBorders>
            <w:shd w:val="clear" w:color="auto" w:fill="auto"/>
            <w:vAlign w:val="center"/>
            <w:hideMark/>
          </w:tcPr>
          <w:p w14:paraId="32F0CB9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5ABEF403"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7 901</w:t>
            </w:r>
          </w:p>
        </w:tc>
        <w:tc>
          <w:tcPr>
            <w:tcW w:w="264" w:type="pct"/>
            <w:tcBorders>
              <w:top w:val="nil"/>
              <w:left w:val="nil"/>
              <w:bottom w:val="single" w:sz="4" w:space="0" w:color="auto"/>
              <w:right w:val="single" w:sz="4" w:space="0" w:color="auto"/>
            </w:tcBorders>
            <w:shd w:val="clear" w:color="auto" w:fill="auto"/>
            <w:vAlign w:val="center"/>
            <w:hideMark/>
          </w:tcPr>
          <w:p w14:paraId="6AA3EB9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2D929551"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7CF8A975"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519AA1D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9</w:t>
            </w:r>
          </w:p>
        </w:tc>
        <w:tc>
          <w:tcPr>
            <w:tcW w:w="853" w:type="pct"/>
            <w:tcBorders>
              <w:top w:val="nil"/>
              <w:left w:val="nil"/>
              <w:bottom w:val="single" w:sz="4" w:space="0" w:color="auto"/>
              <w:right w:val="single" w:sz="4" w:space="0" w:color="auto"/>
            </w:tcBorders>
            <w:shd w:val="clear" w:color="auto" w:fill="auto"/>
            <w:vAlign w:val="center"/>
            <w:hideMark/>
          </w:tcPr>
          <w:p w14:paraId="344007E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Postupy na podávanie sťažností spotrebiteľa</w:t>
            </w:r>
          </w:p>
        </w:tc>
        <w:tc>
          <w:tcPr>
            <w:tcW w:w="353" w:type="pct"/>
            <w:tcBorders>
              <w:top w:val="nil"/>
              <w:left w:val="nil"/>
              <w:bottom w:val="single" w:sz="4" w:space="0" w:color="auto"/>
              <w:right w:val="single" w:sz="4" w:space="0" w:color="auto"/>
            </w:tcBorders>
            <w:shd w:val="clear" w:color="auto" w:fill="auto"/>
            <w:vAlign w:val="center"/>
            <w:hideMark/>
          </w:tcPr>
          <w:p w14:paraId="177B1AD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68C20E6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16 ods. 1</w:t>
            </w:r>
          </w:p>
        </w:tc>
        <w:tc>
          <w:tcPr>
            <w:tcW w:w="1132" w:type="pct"/>
            <w:tcBorders>
              <w:top w:val="nil"/>
              <w:left w:val="nil"/>
              <w:bottom w:val="single" w:sz="4" w:space="0" w:color="auto"/>
              <w:right w:val="single" w:sz="4" w:space="0" w:color="auto"/>
            </w:tcBorders>
            <w:shd w:val="clear" w:color="auto" w:fill="auto"/>
            <w:vAlign w:val="center"/>
            <w:hideMark/>
          </w:tcPr>
          <w:p w14:paraId="77AFBD9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2C0935D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7862D61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prevádzkovateľ registra</w:t>
            </w:r>
          </w:p>
        </w:tc>
        <w:tc>
          <w:tcPr>
            <w:tcW w:w="204" w:type="pct"/>
            <w:tcBorders>
              <w:top w:val="nil"/>
              <w:left w:val="nil"/>
              <w:bottom w:val="single" w:sz="4" w:space="0" w:color="auto"/>
              <w:right w:val="single" w:sz="4" w:space="0" w:color="auto"/>
            </w:tcBorders>
            <w:shd w:val="clear" w:color="auto" w:fill="auto"/>
            <w:vAlign w:val="center"/>
            <w:hideMark/>
          </w:tcPr>
          <w:p w14:paraId="02BCF70C"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60 </w:t>
            </w:r>
          </w:p>
        </w:tc>
        <w:tc>
          <w:tcPr>
            <w:tcW w:w="225" w:type="pct"/>
            <w:tcBorders>
              <w:top w:val="nil"/>
              <w:left w:val="nil"/>
              <w:bottom w:val="single" w:sz="4" w:space="0" w:color="auto"/>
              <w:right w:val="single" w:sz="4" w:space="0" w:color="auto"/>
            </w:tcBorders>
            <w:shd w:val="clear" w:color="auto" w:fill="auto"/>
            <w:vAlign w:val="center"/>
            <w:hideMark/>
          </w:tcPr>
          <w:p w14:paraId="265E390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2 568</w:t>
            </w:r>
          </w:p>
        </w:tc>
        <w:tc>
          <w:tcPr>
            <w:tcW w:w="250" w:type="pct"/>
            <w:tcBorders>
              <w:top w:val="nil"/>
              <w:left w:val="nil"/>
              <w:bottom w:val="single" w:sz="4" w:space="0" w:color="auto"/>
              <w:right w:val="single" w:sz="4" w:space="0" w:color="auto"/>
            </w:tcBorders>
            <w:shd w:val="clear" w:color="auto" w:fill="auto"/>
            <w:vAlign w:val="center"/>
            <w:hideMark/>
          </w:tcPr>
          <w:p w14:paraId="07BEF88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154 108</w:t>
            </w:r>
          </w:p>
        </w:tc>
        <w:tc>
          <w:tcPr>
            <w:tcW w:w="357" w:type="pct"/>
            <w:tcBorders>
              <w:top w:val="nil"/>
              <w:left w:val="nil"/>
              <w:bottom w:val="single" w:sz="4" w:space="0" w:color="auto"/>
              <w:right w:val="single" w:sz="4" w:space="0" w:color="auto"/>
            </w:tcBorders>
            <w:shd w:val="clear" w:color="auto" w:fill="auto"/>
            <w:vAlign w:val="center"/>
            <w:hideMark/>
          </w:tcPr>
          <w:p w14:paraId="4450E68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6EA88535"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520B3CF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142F7DC5"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6EB9C7D0"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6A89E4D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10</w:t>
            </w:r>
          </w:p>
        </w:tc>
        <w:tc>
          <w:tcPr>
            <w:tcW w:w="853" w:type="pct"/>
            <w:tcBorders>
              <w:top w:val="nil"/>
              <w:left w:val="nil"/>
              <w:bottom w:val="single" w:sz="4" w:space="0" w:color="auto"/>
              <w:right w:val="single" w:sz="4" w:space="0" w:color="auto"/>
            </w:tcBorders>
            <w:shd w:val="clear" w:color="auto" w:fill="auto"/>
            <w:vAlign w:val="center"/>
            <w:hideMark/>
          </w:tcPr>
          <w:p w14:paraId="471DD9C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Úprava povinných náležitosti zmluvy o spotrebiteľskom úvere</w:t>
            </w:r>
          </w:p>
        </w:tc>
        <w:tc>
          <w:tcPr>
            <w:tcW w:w="353" w:type="pct"/>
            <w:tcBorders>
              <w:top w:val="nil"/>
              <w:left w:val="nil"/>
              <w:bottom w:val="single" w:sz="4" w:space="0" w:color="auto"/>
              <w:right w:val="single" w:sz="4" w:space="0" w:color="auto"/>
            </w:tcBorders>
            <w:shd w:val="clear" w:color="auto" w:fill="auto"/>
            <w:vAlign w:val="center"/>
            <w:hideMark/>
          </w:tcPr>
          <w:p w14:paraId="5F37E1C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7DDCBA1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20 ods. 2</w:t>
            </w:r>
          </w:p>
        </w:tc>
        <w:tc>
          <w:tcPr>
            <w:tcW w:w="1132" w:type="pct"/>
            <w:tcBorders>
              <w:top w:val="nil"/>
              <w:left w:val="nil"/>
              <w:bottom w:val="single" w:sz="4" w:space="0" w:color="auto"/>
              <w:right w:val="single" w:sz="4" w:space="0" w:color="auto"/>
            </w:tcBorders>
            <w:shd w:val="clear" w:color="auto" w:fill="auto"/>
            <w:vAlign w:val="center"/>
            <w:hideMark/>
          </w:tcPr>
          <w:p w14:paraId="17DC3D2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7721F22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6C52BF5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3D83676A"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75231C4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2 532</w:t>
            </w:r>
          </w:p>
        </w:tc>
        <w:tc>
          <w:tcPr>
            <w:tcW w:w="250" w:type="pct"/>
            <w:tcBorders>
              <w:top w:val="nil"/>
              <w:left w:val="nil"/>
              <w:bottom w:val="single" w:sz="4" w:space="0" w:color="auto"/>
              <w:right w:val="single" w:sz="4" w:space="0" w:color="auto"/>
            </w:tcBorders>
            <w:shd w:val="clear" w:color="auto" w:fill="auto"/>
            <w:vAlign w:val="center"/>
            <w:hideMark/>
          </w:tcPr>
          <w:p w14:paraId="5EFFE62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141 789</w:t>
            </w:r>
          </w:p>
        </w:tc>
        <w:tc>
          <w:tcPr>
            <w:tcW w:w="357" w:type="pct"/>
            <w:tcBorders>
              <w:top w:val="nil"/>
              <w:left w:val="nil"/>
              <w:bottom w:val="single" w:sz="4" w:space="0" w:color="auto"/>
              <w:right w:val="single" w:sz="4" w:space="0" w:color="auto"/>
            </w:tcBorders>
            <w:shd w:val="clear" w:color="auto" w:fill="auto"/>
            <w:vAlign w:val="center"/>
            <w:hideMark/>
          </w:tcPr>
          <w:p w14:paraId="1A2CEF1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48DCEA12"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5E0C8E8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22C4B0A7"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3B2084FB"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68336BE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11</w:t>
            </w:r>
          </w:p>
        </w:tc>
        <w:tc>
          <w:tcPr>
            <w:tcW w:w="853" w:type="pct"/>
            <w:tcBorders>
              <w:top w:val="nil"/>
              <w:left w:val="nil"/>
              <w:bottom w:val="single" w:sz="4" w:space="0" w:color="auto"/>
              <w:right w:val="single" w:sz="4" w:space="0" w:color="auto"/>
            </w:tcBorders>
            <w:shd w:val="clear" w:color="auto" w:fill="auto"/>
            <w:vAlign w:val="center"/>
            <w:hideMark/>
          </w:tcPr>
          <w:p w14:paraId="17BF41C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Zisťovanie údajov v registri FO a v evidencii OP pre veriteľov</w:t>
            </w:r>
          </w:p>
        </w:tc>
        <w:tc>
          <w:tcPr>
            <w:tcW w:w="353" w:type="pct"/>
            <w:tcBorders>
              <w:top w:val="nil"/>
              <w:left w:val="nil"/>
              <w:bottom w:val="single" w:sz="4" w:space="0" w:color="auto"/>
              <w:right w:val="single" w:sz="4" w:space="0" w:color="auto"/>
            </w:tcBorders>
            <w:shd w:val="clear" w:color="auto" w:fill="auto"/>
            <w:vAlign w:val="center"/>
            <w:hideMark/>
          </w:tcPr>
          <w:p w14:paraId="1F4B465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25D713C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20 ods. 14</w:t>
            </w:r>
          </w:p>
        </w:tc>
        <w:tc>
          <w:tcPr>
            <w:tcW w:w="1132" w:type="pct"/>
            <w:tcBorders>
              <w:top w:val="nil"/>
              <w:left w:val="nil"/>
              <w:bottom w:val="single" w:sz="4" w:space="0" w:color="auto"/>
              <w:right w:val="single" w:sz="4" w:space="0" w:color="auto"/>
            </w:tcBorders>
            <w:shd w:val="clear" w:color="auto" w:fill="auto"/>
            <w:vAlign w:val="center"/>
            <w:hideMark/>
          </w:tcPr>
          <w:p w14:paraId="471FC49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28C6A1C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673890C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0017F5F2"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324306D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61</w:t>
            </w:r>
          </w:p>
        </w:tc>
        <w:tc>
          <w:tcPr>
            <w:tcW w:w="250" w:type="pct"/>
            <w:tcBorders>
              <w:top w:val="nil"/>
              <w:left w:val="nil"/>
              <w:bottom w:val="single" w:sz="4" w:space="0" w:color="auto"/>
              <w:right w:val="single" w:sz="4" w:space="0" w:color="auto"/>
            </w:tcBorders>
            <w:shd w:val="clear" w:color="auto" w:fill="auto"/>
            <w:vAlign w:val="center"/>
            <w:hideMark/>
          </w:tcPr>
          <w:p w14:paraId="506AAD0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3 408</w:t>
            </w:r>
          </w:p>
        </w:tc>
        <w:tc>
          <w:tcPr>
            <w:tcW w:w="357" w:type="pct"/>
            <w:tcBorders>
              <w:top w:val="nil"/>
              <w:left w:val="nil"/>
              <w:bottom w:val="single" w:sz="4" w:space="0" w:color="auto"/>
              <w:right w:val="single" w:sz="4" w:space="0" w:color="auto"/>
            </w:tcBorders>
            <w:shd w:val="clear" w:color="auto" w:fill="auto"/>
            <w:vAlign w:val="center"/>
            <w:hideMark/>
          </w:tcPr>
          <w:p w14:paraId="277D49E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Out (znižuje náklady)</w:t>
            </w:r>
          </w:p>
        </w:tc>
        <w:tc>
          <w:tcPr>
            <w:tcW w:w="357" w:type="pct"/>
            <w:tcBorders>
              <w:top w:val="nil"/>
              <w:left w:val="nil"/>
              <w:bottom w:val="single" w:sz="4" w:space="0" w:color="auto"/>
              <w:right w:val="single" w:sz="4" w:space="0" w:color="auto"/>
            </w:tcBorders>
            <w:shd w:val="clear" w:color="auto" w:fill="auto"/>
            <w:vAlign w:val="center"/>
            <w:hideMark/>
          </w:tcPr>
          <w:p w14:paraId="0C89D527"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3 408</w:t>
            </w:r>
          </w:p>
        </w:tc>
        <w:tc>
          <w:tcPr>
            <w:tcW w:w="264" w:type="pct"/>
            <w:tcBorders>
              <w:top w:val="nil"/>
              <w:left w:val="nil"/>
              <w:bottom w:val="single" w:sz="4" w:space="0" w:color="auto"/>
              <w:right w:val="single" w:sz="4" w:space="0" w:color="auto"/>
            </w:tcBorders>
            <w:shd w:val="clear" w:color="auto" w:fill="auto"/>
            <w:vAlign w:val="center"/>
            <w:hideMark/>
          </w:tcPr>
          <w:p w14:paraId="1EC2FAA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3916CF6E"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322D5149"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699A58B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12</w:t>
            </w:r>
          </w:p>
        </w:tc>
        <w:tc>
          <w:tcPr>
            <w:tcW w:w="853" w:type="pct"/>
            <w:tcBorders>
              <w:top w:val="nil"/>
              <w:left w:val="nil"/>
              <w:bottom w:val="single" w:sz="4" w:space="0" w:color="auto"/>
              <w:right w:val="single" w:sz="4" w:space="0" w:color="auto"/>
            </w:tcBorders>
            <w:shd w:val="clear" w:color="auto" w:fill="auto"/>
            <w:vAlign w:val="center"/>
            <w:hideMark/>
          </w:tcPr>
          <w:p w14:paraId="614B366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Informačná povinnosť finančného agenta voči veriteľovi </w:t>
            </w:r>
          </w:p>
        </w:tc>
        <w:tc>
          <w:tcPr>
            <w:tcW w:w="353" w:type="pct"/>
            <w:tcBorders>
              <w:top w:val="nil"/>
              <w:left w:val="nil"/>
              <w:bottom w:val="single" w:sz="4" w:space="0" w:color="auto"/>
              <w:right w:val="single" w:sz="4" w:space="0" w:color="auto"/>
            </w:tcBorders>
            <w:shd w:val="clear" w:color="auto" w:fill="auto"/>
            <w:vAlign w:val="center"/>
            <w:hideMark/>
          </w:tcPr>
          <w:p w14:paraId="1D73154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6303913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44 ods. 3</w:t>
            </w:r>
          </w:p>
        </w:tc>
        <w:tc>
          <w:tcPr>
            <w:tcW w:w="1132" w:type="pct"/>
            <w:tcBorders>
              <w:top w:val="nil"/>
              <w:left w:val="nil"/>
              <w:bottom w:val="single" w:sz="4" w:space="0" w:color="auto"/>
              <w:right w:val="single" w:sz="4" w:space="0" w:color="auto"/>
            </w:tcBorders>
            <w:shd w:val="clear" w:color="auto" w:fill="auto"/>
            <w:vAlign w:val="center"/>
            <w:hideMark/>
          </w:tcPr>
          <w:p w14:paraId="1AE7D29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4A85AC6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0533362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finančný agent</w:t>
            </w:r>
          </w:p>
        </w:tc>
        <w:tc>
          <w:tcPr>
            <w:tcW w:w="204" w:type="pct"/>
            <w:tcBorders>
              <w:top w:val="nil"/>
              <w:left w:val="nil"/>
              <w:bottom w:val="single" w:sz="4" w:space="0" w:color="auto"/>
              <w:right w:val="single" w:sz="4" w:space="0" w:color="auto"/>
            </w:tcBorders>
            <w:shd w:val="clear" w:color="auto" w:fill="auto"/>
            <w:vAlign w:val="center"/>
            <w:hideMark/>
          </w:tcPr>
          <w:p w14:paraId="18B0FDAA"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11 484 </w:t>
            </w:r>
          </w:p>
        </w:tc>
        <w:tc>
          <w:tcPr>
            <w:tcW w:w="225" w:type="pct"/>
            <w:tcBorders>
              <w:top w:val="nil"/>
              <w:left w:val="nil"/>
              <w:bottom w:val="single" w:sz="4" w:space="0" w:color="auto"/>
              <w:right w:val="single" w:sz="4" w:space="0" w:color="auto"/>
            </w:tcBorders>
            <w:shd w:val="clear" w:color="auto" w:fill="auto"/>
            <w:vAlign w:val="center"/>
            <w:hideMark/>
          </w:tcPr>
          <w:p w14:paraId="59001C8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164</w:t>
            </w:r>
          </w:p>
        </w:tc>
        <w:tc>
          <w:tcPr>
            <w:tcW w:w="250" w:type="pct"/>
            <w:tcBorders>
              <w:top w:val="nil"/>
              <w:left w:val="nil"/>
              <w:bottom w:val="single" w:sz="4" w:space="0" w:color="auto"/>
              <w:right w:val="single" w:sz="4" w:space="0" w:color="auto"/>
            </w:tcBorders>
            <w:shd w:val="clear" w:color="auto" w:fill="auto"/>
            <w:vAlign w:val="center"/>
            <w:hideMark/>
          </w:tcPr>
          <w:p w14:paraId="7453429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1 887 200</w:t>
            </w:r>
          </w:p>
        </w:tc>
        <w:tc>
          <w:tcPr>
            <w:tcW w:w="357" w:type="pct"/>
            <w:tcBorders>
              <w:top w:val="nil"/>
              <w:left w:val="nil"/>
              <w:bottom w:val="single" w:sz="4" w:space="0" w:color="auto"/>
              <w:right w:val="single" w:sz="4" w:space="0" w:color="auto"/>
            </w:tcBorders>
            <w:shd w:val="clear" w:color="auto" w:fill="auto"/>
            <w:vAlign w:val="center"/>
            <w:hideMark/>
          </w:tcPr>
          <w:p w14:paraId="392F0CC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5D0ADBE1"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04A2248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5B60F895"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1D6DA367"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0F94193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13</w:t>
            </w:r>
          </w:p>
        </w:tc>
        <w:tc>
          <w:tcPr>
            <w:tcW w:w="853" w:type="pct"/>
            <w:tcBorders>
              <w:top w:val="nil"/>
              <w:left w:val="nil"/>
              <w:bottom w:val="single" w:sz="4" w:space="0" w:color="auto"/>
              <w:right w:val="single" w:sz="4" w:space="0" w:color="auto"/>
            </w:tcBorders>
            <w:shd w:val="clear" w:color="auto" w:fill="auto"/>
            <w:vAlign w:val="center"/>
            <w:hideMark/>
          </w:tcPr>
          <w:p w14:paraId="3F990A1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Dlhové poradenské služby</w:t>
            </w:r>
          </w:p>
        </w:tc>
        <w:tc>
          <w:tcPr>
            <w:tcW w:w="353" w:type="pct"/>
            <w:tcBorders>
              <w:top w:val="nil"/>
              <w:left w:val="nil"/>
              <w:bottom w:val="single" w:sz="4" w:space="0" w:color="auto"/>
              <w:right w:val="single" w:sz="4" w:space="0" w:color="auto"/>
            </w:tcBorders>
            <w:shd w:val="clear" w:color="auto" w:fill="auto"/>
            <w:vAlign w:val="center"/>
            <w:hideMark/>
          </w:tcPr>
          <w:p w14:paraId="6D24A80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32503EE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45</w:t>
            </w:r>
          </w:p>
        </w:tc>
        <w:tc>
          <w:tcPr>
            <w:tcW w:w="1132" w:type="pct"/>
            <w:tcBorders>
              <w:top w:val="nil"/>
              <w:left w:val="nil"/>
              <w:bottom w:val="single" w:sz="4" w:space="0" w:color="auto"/>
              <w:right w:val="single" w:sz="4" w:space="0" w:color="auto"/>
            </w:tcBorders>
            <w:shd w:val="clear" w:color="auto" w:fill="auto"/>
            <w:vAlign w:val="center"/>
            <w:hideMark/>
          </w:tcPr>
          <w:p w14:paraId="4B89529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6E33748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470A45E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70293158"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7756E92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3 800</w:t>
            </w:r>
          </w:p>
        </w:tc>
        <w:tc>
          <w:tcPr>
            <w:tcW w:w="250" w:type="pct"/>
            <w:tcBorders>
              <w:top w:val="nil"/>
              <w:left w:val="nil"/>
              <w:bottom w:val="single" w:sz="4" w:space="0" w:color="auto"/>
              <w:right w:val="single" w:sz="4" w:space="0" w:color="auto"/>
            </w:tcBorders>
            <w:shd w:val="clear" w:color="auto" w:fill="auto"/>
            <w:vAlign w:val="center"/>
            <w:hideMark/>
          </w:tcPr>
          <w:p w14:paraId="5C3BD52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212 812</w:t>
            </w:r>
          </w:p>
        </w:tc>
        <w:tc>
          <w:tcPr>
            <w:tcW w:w="357" w:type="pct"/>
            <w:tcBorders>
              <w:top w:val="nil"/>
              <w:left w:val="nil"/>
              <w:bottom w:val="single" w:sz="4" w:space="0" w:color="auto"/>
              <w:right w:val="single" w:sz="4" w:space="0" w:color="auto"/>
            </w:tcBorders>
            <w:shd w:val="clear" w:color="auto" w:fill="auto"/>
            <w:vAlign w:val="center"/>
            <w:hideMark/>
          </w:tcPr>
          <w:p w14:paraId="7E6E5FA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6B59C730"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6E3B7E2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7B62EEBC"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1DB08C8"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122258B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14</w:t>
            </w:r>
          </w:p>
        </w:tc>
        <w:tc>
          <w:tcPr>
            <w:tcW w:w="853" w:type="pct"/>
            <w:tcBorders>
              <w:top w:val="nil"/>
              <w:left w:val="nil"/>
              <w:bottom w:val="single" w:sz="4" w:space="0" w:color="auto"/>
              <w:right w:val="single" w:sz="4" w:space="0" w:color="auto"/>
            </w:tcBorders>
            <w:shd w:val="clear" w:color="auto" w:fill="auto"/>
            <w:vAlign w:val="center"/>
            <w:hideMark/>
          </w:tcPr>
          <w:p w14:paraId="4AB179E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Informačná povinnosť o znížení alebo </w:t>
            </w:r>
            <w:r w:rsidRPr="00F819B4">
              <w:rPr>
                <w:rFonts w:ascii="Times New Roman" w:eastAsia="Times New Roman" w:hAnsi="Times New Roman" w:cs="Times New Roman"/>
                <w:color w:val="000000"/>
                <w:sz w:val="20"/>
                <w:szCs w:val="20"/>
                <w:lang w:eastAsia="sk-SK"/>
              </w:rPr>
              <w:lastRenderedPageBreak/>
              <w:t>zrušení povoleného prečerpania</w:t>
            </w:r>
          </w:p>
        </w:tc>
        <w:tc>
          <w:tcPr>
            <w:tcW w:w="353" w:type="pct"/>
            <w:tcBorders>
              <w:top w:val="nil"/>
              <w:left w:val="nil"/>
              <w:bottom w:val="single" w:sz="4" w:space="0" w:color="auto"/>
              <w:right w:val="single" w:sz="4" w:space="0" w:color="auto"/>
            </w:tcBorders>
            <w:shd w:val="clear" w:color="auto" w:fill="auto"/>
            <w:vAlign w:val="center"/>
            <w:hideMark/>
          </w:tcPr>
          <w:p w14:paraId="159F946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lastRenderedPageBreak/>
              <w:t>návrh zákona</w:t>
            </w:r>
          </w:p>
        </w:tc>
        <w:tc>
          <w:tcPr>
            <w:tcW w:w="354" w:type="pct"/>
            <w:tcBorders>
              <w:top w:val="nil"/>
              <w:left w:val="nil"/>
              <w:bottom w:val="single" w:sz="4" w:space="0" w:color="auto"/>
              <w:right w:val="single" w:sz="4" w:space="0" w:color="auto"/>
            </w:tcBorders>
            <w:shd w:val="clear" w:color="auto" w:fill="auto"/>
            <w:vAlign w:val="center"/>
            <w:hideMark/>
          </w:tcPr>
          <w:p w14:paraId="260DE1D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52 ods. 3</w:t>
            </w:r>
          </w:p>
        </w:tc>
        <w:tc>
          <w:tcPr>
            <w:tcW w:w="1132" w:type="pct"/>
            <w:tcBorders>
              <w:top w:val="nil"/>
              <w:left w:val="nil"/>
              <w:bottom w:val="single" w:sz="4" w:space="0" w:color="auto"/>
              <w:right w:val="single" w:sz="4" w:space="0" w:color="auto"/>
            </w:tcBorders>
            <w:shd w:val="clear" w:color="auto" w:fill="auto"/>
            <w:vAlign w:val="center"/>
            <w:hideMark/>
          </w:tcPr>
          <w:p w14:paraId="7D9D5FB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196F2B8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58E4DD4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veriteľ </w:t>
            </w:r>
          </w:p>
        </w:tc>
        <w:tc>
          <w:tcPr>
            <w:tcW w:w="204" w:type="pct"/>
            <w:tcBorders>
              <w:top w:val="nil"/>
              <w:left w:val="nil"/>
              <w:bottom w:val="single" w:sz="4" w:space="0" w:color="auto"/>
              <w:right w:val="single" w:sz="4" w:space="0" w:color="auto"/>
            </w:tcBorders>
            <w:shd w:val="clear" w:color="auto" w:fill="auto"/>
            <w:vAlign w:val="center"/>
            <w:hideMark/>
          </w:tcPr>
          <w:p w14:paraId="5F0A2929"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53 </w:t>
            </w:r>
          </w:p>
        </w:tc>
        <w:tc>
          <w:tcPr>
            <w:tcW w:w="225" w:type="pct"/>
            <w:tcBorders>
              <w:top w:val="nil"/>
              <w:left w:val="nil"/>
              <w:bottom w:val="single" w:sz="4" w:space="0" w:color="auto"/>
              <w:right w:val="single" w:sz="4" w:space="0" w:color="auto"/>
            </w:tcBorders>
            <w:shd w:val="clear" w:color="auto" w:fill="auto"/>
            <w:vAlign w:val="center"/>
            <w:hideMark/>
          </w:tcPr>
          <w:p w14:paraId="23D9FC7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1 341</w:t>
            </w:r>
          </w:p>
        </w:tc>
        <w:tc>
          <w:tcPr>
            <w:tcW w:w="250" w:type="pct"/>
            <w:tcBorders>
              <w:top w:val="nil"/>
              <w:left w:val="nil"/>
              <w:bottom w:val="single" w:sz="4" w:space="0" w:color="auto"/>
              <w:right w:val="single" w:sz="4" w:space="0" w:color="auto"/>
            </w:tcBorders>
            <w:shd w:val="clear" w:color="auto" w:fill="auto"/>
            <w:vAlign w:val="center"/>
            <w:hideMark/>
          </w:tcPr>
          <w:p w14:paraId="7CB70A4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71 089</w:t>
            </w:r>
          </w:p>
        </w:tc>
        <w:tc>
          <w:tcPr>
            <w:tcW w:w="357" w:type="pct"/>
            <w:tcBorders>
              <w:top w:val="nil"/>
              <w:left w:val="nil"/>
              <w:bottom w:val="single" w:sz="4" w:space="0" w:color="auto"/>
              <w:right w:val="single" w:sz="4" w:space="0" w:color="auto"/>
            </w:tcBorders>
            <w:shd w:val="clear" w:color="auto" w:fill="auto"/>
            <w:vAlign w:val="center"/>
            <w:hideMark/>
          </w:tcPr>
          <w:p w14:paraId="1512A76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07ACF143"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10B05ED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59328311"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184FEF3B"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4AEC9FD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15</w:t>
            </w:r>
          </w:p>
        </w:tc>
        <w:tc>
          <w:tcPr>
            <w:tcW w:w="853" w:type="pct"/>
            <w:tcBorders>
              <w:top w:val="nil"/>
              <w:left w:val="nil"/>
              <w:bottom w:val="single" w:sz="4" w:space="0" w:color="auto"/>
              <w:right w:val="single" w:sz="4" w:space="0" w:color="auto"/>
            </w:tcBorders>
            <w:shd w:val="clear" w:color="auto" w:fill="auto"/>
            <w:vAlign w:val="center"/>
            <w:hideMark/>
          </w:tcPr>
          <w:p w14:paraId="72BC19D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Informačná povinnosť o znížení limitu alebo zrušení prekročenia</w:t>
            </w:r>
          </w:p>
        </w:tc>
        <w:tc>
          <w:tcPr>
            <w:tcW w:w="353" w:type="pct"/>
            <w:tcBorders>
              <w:top w:val="nil"/>
              <w:left w:val="nil"/>
              <w:bottom w:val="single" w:sz="4" w:space="0" w:color="auto"/>
              <w:right w:val="single" w:sz="4" w:space="0" w:color="auto"/>
            </w:tcBorders>
            <w:shd w:val="clear" w:color="auto" w:fill="auto"/>
            <w:vAlign w:val="center"/>
            <w:hideMark/>
          </w:tcPr>
          <w:p w14:paraId="3538938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5680083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53 ods. 4</w:t>
            </w:r>
          </w:p>
        </w:tc>
        <w:tc>
          <w:tcPr>
            <w:tcW w:w="1132" w:type="pct"/>
            <w:tcBorders>
              <w:top w:val="nil"/>
              <w:left w:val="nil"/>
              <w:bottom w:val="single" w:sz="4" w:space="0" w:color="auto"/>
              <w:right w:val="single" w:sz="4" w:space="0" w:color="auto"/>
            </w:tcBorders>
            <w:shd w:val="clear" w:color="auto" w:fill="auto"/>
            <w:vAlign w:val="center"/>
            <w:hideMark/>
          </w:tcPr>
          <w:p w14:paraId="08C7267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5B1B042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367A7DF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143E6E7B"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53 </w:t>
            </w:r>
          </w:p>
        </w:tc>
        <w:tc>
          <w:tcPr>
            <w:tcW w:w="225" w:type="pct"/>
            <w:tcBorders>
              <w:top w:val="nil"/>
              <w:left w:val="nil"/>
              <w:bottom w:val="single" w:sz="4" w:space="0" w:color="auto"/>
              <w:right w:val="single" w:sz="4" w:space="0" w:color="auto"/>
            </w:tcBorders>
            <w:shd w:val="clear" w:color="auto" w:fill="auto"/>
            <w:vAlign w:val="center"/>
            <w:hideMark/>
          </w:tcPr>
          <w:p w14:paraId="3A2115B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1 341</w:t>
            </w:r>
          </w:p>
        </w:tc>
        <w:tc>
          <w:tcPr>
            <w:tcW w:w="250" w:type="pct"/>
            <w:tcBorders>
              <w:top w:val="nil"/>
              <w:left w:val="nil"/>
              <w:bottom w:val="single" w:sz="4" w:space="0" w:color="auto"/>
              <w:right w:val="single" w:sz="4" w:space="0" w:color="auto"/>
            </w:tcBorders>
            <w:shd w:val="clear" w:color="auto" w:fill="auto"/>
            <w:vAlign w:val="center"/>
            <w:hideMark/>
          </w:tcPr>
          <w:p w14:paraId="2249D2D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71 089</w:t>
            </w:r>
          </w:p>
        </w:tc>
        <w:tc>
          <w:tcPr>
            <w:tcW w:w="357" w:type="pct"/>
            <w:tcBorders>
              <w:top w:val="nil"/>
              <w:left w:val="nil"/>
              <w:bottom w:val="single" w:sz="4" w:space="0" w:color="auto"/>
              <w:right w:val="single" w:sz="4" w:space="0" w:color="auto"/>
            </w:tcBorders>
            <w:shd w:val="clear" w:color="auto" w:fill="auto"/>
            <w:vAlign w:val="center"/>
            <w:hideMark/>
          </w:tcPr>
          <w:p w14:paraId="052A23A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3CA765B6"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7CF5C3F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7B6CCF0C"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33A4235"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4D99654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16</w:t>
            </w:r>
          </w:p>
        </w:tc>
        <w:tc>
          <w:tcPr>
            <w:tcW w:w="853" w:type="pct"/>
            <w:tcBorders>
              <w:top w:val="nil"/>
              <w:left w:val="nil"/>
              <w:bottom w:val="single" w:sz="4" w:space="0" w:color="auto"/>
              <w:right w:val="single" w:sz="4" w:space="0" w:color="auto"/>
            </w:tcBorders>
            <w:shd w:val="clear" w:color="auto" w:fill="auto"/>
            <w:vAlign w:val="center"/>
            <w:hideMark/>
          </w:tcPr>
          <w:p w14:paraId="10CE38A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Zisťovanie údajov v registri FO a v evidencii OP pre správcov úverov </w:t>
            </w:r>
          </w:p>
        </w:tc>
        <w:tc>
          <w:tcPr>
            <w:tcW w:w="353" w:type="pct"/>
            <w:tcBorders>
              <w:top w:val="nil"/>
              <w:left w:val="nil"/>
              <w:bottom w:val="single" w:sz="4" w:space="0" w:color="auto"/>
              <w:right w:val="single" w:sz="4" w:space="0" w:color="auto"/>
            </w:tcBorders>
            <w:shd w:val="clear" w:color="auto" w:fill="auto"/>
            <w:vAlign w:val="center"/>
            <w:hideMark/>
          </w:tcPr>
          <w:p w14:paraId="525FD71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41CBCD0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Čl. VII</w:t>
            </w:r>
            <w:r w:rsidRPr="00F819B4">
              <w:rPr>
                <w:rFonts w:ascii="Times New Roman" w:eastAsia="Times New Roman" w:hAnsi="Times New Roman" w:cs="Times New Roman"/>
                <w:color w:val="000000"/>
                <w:sz w:val="20"/>
                <w:szCs w:val="20"/>
                <w:lang w:eastAsia="sk-SK"/>
              </w:rPr>
              <w:br/>
              <w:t>§ 23 ods. 9</w:t>
            </w:r>
          </w:p>
        </w:tc>
        <w:tc>
          <w:tcPr>
            <w:tcW w:w="1132" w:type="pct"/>
            <w:tcBorders>
              <w:top w:val="nil"/>
              <w:left w:val="nil"/>
              <w:bottom w:val="single" w:sz="4" w:space="0" w:color="auto"/>
              <w:right w:val="single" w:sz="4" w:space="0" w:color="auto"/>
            </w:tcBorders>
            <w:shd w:val="clear" w:color="auto" w:fill="auto"/>
            <w:vAlign w:val="center"/>
            <w:hideMark/>
          </w:tcPr>
          <w:p w14:paraId="42852B1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09D29E8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7019132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správca úverov</w:t>
            </w:r>
          </w:p>
        </w:tc>
        <w:tc>
          <w:tcPr>
            <w:tcW w:w="204" w:type="pct"/>
            <w:tcBorders>
              <w:top w:val="nil"/>
              <w:left w:val="nil"/>
              <w:bottom w:val="single" w:sz="4" w:space="0" w:color="auto"/>
              <w:right w:val="single" w:sz="4" w:space="0" w:color="auto"/>
            </w:tcBorders>
            <w:shd w:val="clear" w:color="auto" w:fill="auto"/>
            <w:vAlign w:val="center"/>
            <w:hideMark/>
          </w:tcPr>
          <w:p w14:paraId="0CFFFAFD"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1 </w:t>
            </w:r>
          </w:p>
        </w:tc>
        <w:tc>
          <w:tcPr>
            <w:tcW w:w="225" w:type="pct"/>
            <w:tcBorders>
              <w:top w:val="nil"/>
              <w:left w:val="nil"/>
              <w:bottom w:val="single" w:sz="4" w:space="0" w:color="auto"/>
              <w:right w:val="single" w:sz="4" w:space="0" w:color="auto"/>
            </w:tcBorders>
            <w:shd w:val="clear" w:color="auto" w:fill="auto"/>
            <w:vAlign w:val="center"/>
            <w:hideMark/>
          </w:tcPr>
          <w:p w14:paraId="534C644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61</w:t>
            </w:r>
          </w:p>
        </w:tc>
        <w:tc>
          <w:tcPr>
            <w:tcW w:w="250" w:type="pct"/>
            <w:tcBorders>
              <w:top w:val="nil"/>
              <w:left w:val="nil"/>
              <w:bottom w:val="single" w:sz="4" w:space="0" w:color="auto"/>
              <w:right w:val="single" w:sz="4" w:space="0" w:color="auto"/>
            </w:tcBorders>
            <w:shd w:val="clear" w:color="auto" w:fill="auto"/>
            <w:vAlign w:val="center"/>
            <w:hideMark/>
          </w:tcPr>
          <w:p w14:paraId="34B08DC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61</w:t>
            </w:r>
          </w:p>
        </w:tc>
        <w:tc>
          <w:tcPr>
            <w:tcW w:w="357" w:type="pct"/>
            <w:tcBorders>
              <w:top w:val="nil"/>
              <w:left w:val="nil"/>
              <w:bottom w:val="single" w:sz="4" w:space="0" w:color="auto"/>
              <w:right w:val="single" w:sz="4" w:space="0" w:color="auto"/>
            </w:tcBorders>
            <w:shd w:val="clear" w:color="auto" w:fill="auto"/>
            <w:vAlign w:val="center"/>
            <w:hideMark/>
          </w:tcPr>
          <w:p w14:paraId="743BE0C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Out (znižuje náklady)</w:t>
            </w:r>
          </w:p>
        </w:tc>
        <w:tc>
          <w:tcPr>
            <w:tcW w:w="357" w:type="pct"/>
            <w:tcBorders>
              <w:top w:val="nil"/>
              <w:left w:val="nil"/>
              <w:bottom w:val="single" w:sz="4" w:space="0" w:color="auto"/>
              <w:right w:val="single" w:sz="4" w:space="0" w:color="auto"/>
            </w:tcBorders>
            <w:shd w:val="clear" w:color="auto" w:fill="auto"/>
            <w:vAlign w:val="center"/>
            <w:hideMark/>
          </w:tcPr>
          <w:p w14:paraId="382B6286"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61</w:t>
            </w:r>
          </w:p>
        </w:tc>
        <w:tc>
          <w:tcPr>
            <w:tcW w:w="264" w:type="pct"/>
            <w:tcBorders>
              <w:top w:val="nil"/>
              <w:left w:val="nil"/>
              <w:bottom w:val="single" w:sz="4" w:space="0" w:color="auto"/>
              <w:right w:val="single" w:sz="4" w:space="0" w:color="auto"/>
            </w:tcBorders>
            <w:shd w:val="clear" w:color="auto" w:fill="auto"/>
            <w:vAlign w:val="center"/>
            <w:hideMark/>
          </w:tcPr>
          <w:p w14:paraId="736F90E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1A171982"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109AD91E"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6D0AA4A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17</w:t>
            </w:r>
          </w:p>
        </w:tc>
        <w:tc>
          <w:tcPr>
            <w:tcW w:w="853" w:type="pct"/>
            <w:tcBorders>
              <w:top w:val="nil"/>
              <w:left w:val="nil"/>
              <w:bottom w:val="single" w:sz="4" w:space="0" w:color="auto"/>
              <w:right w:val="single" w:sz="4" w:space="0" w:color="auto"/>
            </w:tcBorders>
            <w:shd w:val="clear" w:color="auto" w:fill="auto"/>
            <w:vAlign w:val="center"/>
            <w:hideMark/>
          </w:tcPr>
          <w:p w14:paraId="4C5B536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Možnosť NBS rozhodnúť o častejšom zasielaní výkazov</w:t>
            </w:r>
          </w:p>
        </w:tc>
        <w:tc>
          <w:tcPr>
            <w:tcW w:w="353" w:type="pct"/>
            <w:tcBorders>
              <w:top w:val="nil"/>
              <w:left w:val="nil"/>
              <w:bottom w:val="single" w:sz="4" w:space="0" w:color="auto"/>
              <w:right w:val="single" w:sz="4" w:space="0" w:color="auto"/>
            </w:tcBorders>
            <w:shd w:val="clear" w:color="auto" w:fill="auto"/>
            <w:vAlign w:val="center"/>
            <w:hideMark/>
          </w:tcPr>
          <w:p w14:paraId="669B011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6384A59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Čl. VII</w:t>
            </w:r>
            <w:r w:rsidRPr="00F819B4">
              <w:rPr>
                <w:rFonts w:ascii="Times New Roman" w:eastAsia="Times New Roman" w:hAnsi="Times New Roman" w:cs="Times New Roman"/>
                <w:color w:val="000000"/>
                <w:sz w:val="20"/>
                <w:szCs w:val="20"/>
                <w:lang w:eastAsia="sk-SK"/>
              </w:rPr>
              <w:br/>
              <w:t>§ 18 ods.3</w:t>
            </w:r>
          </w:p>
        </w:tc>
        <w:tc>
          <w:tcPr>
            <w:tcW w:w="1132" w:type="pct"/>
            <w:tcBorders>
              <w:top w:val="nil"/>
              <w:left w:val="nil"/>
              <w:bottom w:val="single" w:sz="4" w:space="0" w:color="auto"/>
              <w:right w:val="single" w:sz="4" w:space="0" w:color="auto"/>
            </w:tcBorders>
            <w:shd w:val="clear" w:color="auto" w:fill="auto"/>
            <w:vAlign w:val="center"/>
            <w:hideMark/>
          </w:tcPr>
          <w:p w14:paraId="72D094F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46EF0FF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5C450AF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banka a pobočka zahraničnej banky</w:t>
            </w:r>
          </w:p>
        </w:tc>
        <w:tc>
          <w:tcPr>
            <w:tcW w:w="204" w:type="pct"/>
            <w:tcBorders>
              <w:top w:val="nil"/>
              <w:left w:val="nil"/>
              <w:bottom w:val="single" w:sz="4" w:space="0" w:color="auto"/>
              <w:right w:val="single" w:sz="4" w:space="0" w:color="auto"/>
            </w:tcBorders>
            <w:shd w:val="clear" w:color="auto" w:fill="auto"/>
            <w:vAlign w:val="center"/>
            <w:hideMark/>
          </w:tcPr>
          <w:p w14:paraId="5FC380F2"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22 </w:t>
            </w:r>
          </w:p>
        </w:tc>
        <w:tc>
          <w:tcPr>
            <w:tcW w:w="225" w:type="pct"/>
            <w:tcBorders>
              <w:top w:val="nil"/>
              <w:left w:val="nil"/>
              <w:bottom w:val="single" w:sz="4" w:space="0" w:color="auto"/>
              <w:right w:val="single" w:sz="4" w:space="0" w:color="auto"/>
            </w:tcBorders>
            <w:shd w:val="clear" w:color="auto" w:fill="auto"/>
            <w:vAlign w:val="center"/>
            <w:hideMark/>
          </w:tcPr>
          <w:p w14:paraId="6A36B97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633</w:t>
            </w:r>
          </w:p>
        </w:tc>
        <w:tc>
          <w:tcPr>
            <w:tcW w:w="250" w:type="pct"/>
            <w:tcBorders>
              <w:top w:val="nil"/>
              <w:left w:val="nil"/>
              <w:bottom w:val="single" w:sz="4" w:space="0" w:color="auto"/>
              <w:right w:val="single" w:sz="4" w:space="0" w:color="auto"/>
            </w:tcBorders>
            <w:shd w:val="clear" w:color="auto" w:fill="auto"/>
            <w:vAlign w:val="center"/>
            <w:hideMark/>
          </w:tcPr>
          <w:p w14:paraId="507656E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13 926</w:t>
            </w:r>
          </w:p>
        </w:tc>
        <w:tc>
          <w:tcPr>
            <w:tcW w:w="357" w:type="pct"/>
            <w:tcBorders>
              <w:top w:val="nil"/>
              <w:left w:val="nil"/>
              <w:bottom w:val="single" w:sz="4" w:space="0" w:color="auto"/>
              <w:right w:val="single" w:sz="4" w:space="0" w:color="auto"/>
            </w:tcBorders>
            <w:shd w:val="clear" w:color="auto" w:fill="auto"/>
            <w:vAlign w:val="center"/>
            <w:hideMark/>
          </w:tcPr>
          <w:p w14:paraId="66F1F1F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6ADC0364"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157B06C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2BC07024"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B7D063D"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1F8804A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18</w:t>
            </w:r>
          </w:p>
        </w:tc>
        <w:tc>
          <w:tcPr>
            <w:tcW w:w="853" w:type="pct"/>
            <w:tcBorders>
              <w:top w:val="nil"/>
              <w:left w:val="nil"/>
              <w:bottom w:val="single" w:sz="4" w:space="0" w:color="auto"/>
              <w:right w:val="single" w:sz="4" w:space="0" w:color="auto"/>
            </w:tcBorders>
            <w:shd w:val="clear" w:color="auto" w:fill="auto"/>
            <w:vAlign w:val="center"/>
            <w:hideMark/>
          </w:tcPr>
          <w:p w14:paraId="4028443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Zmena vnútorných procesov a ich premietnutie do IS</w:t>
            </w:r>
          </w:p>
        </w:tc>
        <w:tc>
          <w:tcPr>
            <w:tcW w:w="353" w:type="pct"/>
            <w:tcBorders>
              <w:top w:val="nil"/>
              <w:left w:val="nil"/>
              <w:bottom w:val="single" w:sz="4" w:space="0" w:color="auto"/>
              <w:right w:val="single" w:sz="4" w:space="0" w:color="auto"/>
            </w:tcBorders>
            <w:shd w:val="clear" w:color="auto" w:fill="auto"/>
            <w:vAlign w:val="center"/>
            <w:hideMark/>
          </w:tcPr>
          <w:p w14:paraId="63CD532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56FD192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Čl. VII</w:t>
            </w:r>
            <w:r w:rsidRPr="00F819B4">
              <w:rPr>
                <w:rFonts w:ascii="Times New Roman" w:eastAsia="Times New Roman" w:hAnsi="Times New Roman" w:cs="Times New Roman"/>
                <w:color w:val="000000"/>
                <w:sz w:val="20"/>
                <w:szCs w:val="20"/>
                <w:lang w:eastAsia="sk-SK"/>
              </w:rPr>
              <w:br/>
              <w:t>§ 1 ods. 3</w:t>
            </w:r>
          </w:p>
        </w:tc>
        <w:tc>
          <w:tcPr>
            <w:tcW w:w="1132" w:type="pct"/>
            <w:tcBorders>
              <w:top w:val="nil"/>
              <w:left w:val="nil"/>
              <w:bottom w:val="single" w:sz="4" w:space="0" w:color="auto"/>
              <w:right w:val="single" w:sz="4" w:space="0" w:color="auto"/>
            </w:tcBorders>
            <w:shd w:val="clear" w:color="auto" w:fill="auto"/>
            <w:vAlign w:val="center"/>
            <w:hideMark/>
          </w:tcPr>
          <w:p w14:paraId="46BBAAC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2893E04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4C0EBB0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osobitného predpisu, banka a pobočka zahraničnej banky</w:t>
            </w:r>
          </w:p>
        </w:tc>
        <w:tc>
          <w:tcPr>
            <w:tcW w:w="204" w:type="pct"/>
            <w:tcBorders>
              <w:top w:val="nil"/>
              <w:left w:val="nil"/>
              <w:bottom w:val="single" w:sz="4" w:space="0" w:color="auto"/>
              <w:right w:val="single" w:sz="4" w:space="0" w:color="auto"/>
            </w:tcBorders>
            <w:shd w:val="clear" w:color="auto" w:fill="auto"/>
            <w:vAlign w:val="center"/>
            <w:hideMark/>
          </w:tcPr>
          <w:p w14:paraId="6C2B170C"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53 </w:t>
            </w:r>
          </w:p>
        </w:tc>
        <w:tc>
          <w:tcPr>
            <w:tcW w:w="225" w:type="pct"/>
            <w:tcBorders>
              <w:top w:val="nil"/>
              <w:left w:val="nil"/>
              <w:bottom w:val="single" w:sz="4" w:space="0" w:color="auto"/>
              <w:right w:val="single" w:sz="4" w:space="0" w:color="auto"/>
            </w:tcBorders>
            <w:shd w:val="clear" w:color="auto" w:fill="auto"/>
            <w:vAlign w:val="center"/>
            <w:hideMark/>
          </w:tcPr>
          <w:p w14:paraId="4C20171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5 059</w:t>
            </w:r>
          </w:p>
        </w:tc>
        <w:tc>
          <w:tcPr>
            <w:tcW w:w="250" w:type="pct"/>
            <w:tcBorders>
              <w:top w:val="nil"/>
              <w:left w:val="nil"/>
              <w:bottom w:val="single" w:sz="4" w:space="0" w:color="auto"/>
              <w:right w:val="single" w:sz="4" w:space="0" w:color="auto"/>
            </w:tcBorders>
            <w:shd w:val="clear" w:color="auto" w:fill="auto"/>
            <w:vAlign w:val="center"/>
            <w:hideMark/>
          </w:tcPr>
          <w:p w14:paraId="06222D8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268 145</w:t>
            </w:r>
          </w:p>
        </w:tc>
        <w:tc>
          <w:tcPr>
            <w:tcW w:w="357" w:type="pct"/>
            <w:tcBorders>
              <w:top w:val="nil"/>
              <w:left w:val="nil"/>
              <w:bottom w:val="single" w:sz="4" w:space="0" w:color="auto"/>
              <w:right w:val="single" w:sz="4" w:space="0" w:color="auto"/>
            </w:tcBorders>
            <w:shd w:val="clear" w:color="auto" w:fill="auto"/>
            <w:vAlign w:val="center"/>
            <w:hideMark/>
          </w:tcPr>
          <w:p w14:paraId="6838CCD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6617FEB1"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268 145</w:t>
            </w:r>
          </w:p>
        </w:tc>
        <w:tc>
          <w:tcPr>
            <w:tcW w:w="264" w:type="pct"/>
            <w:tcBorders>
              <w:top w:val="nil"/>
              <w:left w:val="nil"/>
              <w:bottom w:val="single" w:sz="4" w:space="0" w:color="auto"/>
              <w:right w:val="single" w:sz="4" w:space="0" w:color="auto"/>
            </w:tcBorders>
            <w:shd w:val="clear" w:color="auto" w:fill="auto"/>
            <w:vAlign w:val="center"/>
            <w:hideMark/>
          </w:tcPr>
          <w:p w14:paraId="4192C64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36CDAD45"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57B3B65"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5665014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19</w:t>
            </w:r>
          </w:p>
        </w:tc>
        <w:tc>
          <w:tcPr>
            <w:tcW w:w="853" w:type="pct"/>
            <w:tcBorders>
              <w:top w:val="nil"/>
              <w:left w:val="nil"/>
              <w:bottom w:val="single" w:sz="4" w:space="0" w:color="auto"/>
              <w:right w:val="single" w:sz="4" w:space="0" w:color="auto"/>
            </w:tcBorders>
            <w:shd w:val="clear" w:color="auto" w:fill="auto"/>
            <w:vAlign w:val="center"/>
            <w:hideMark/>
          </w:tcPr>
          <w:p w14:paraId="7BEF576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Vedenie a uchovávanie dokumentácie 10 rokov od skončenia zmluvy o spravovaní úverov</w:t>
            </w:r>
          </w:p>
        </w:tc>
        <w:tc>
          <w:tcPr>
            <w:tcW w:w="353" w:type="pct"/>
            <w:tcBorders>
              <w:top w:val="nil"/>
              <w:left w:val="nil"/>
              <w:bottom w:val="single" w:sz="4" w:space="0" w:color="auto"/>
              <w:right w:val="single" w:sz="4" w:space="0" w:color="auto"/>
            </w:tcBorders>
            <w:shd w:val="clear" w:color="auto" w:fill="auto"/>
            <w:vAlign w:val="center"/>
            <w:hideMark/>
          </w:tcPr>
          <w:p w14:paraId="27F8533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7C9C841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Čl. VII</w:t>
            </w:r>
            <w:r w:rsidRPr="00F819B4">
              <w:rPr>
                <w:rFonts w:ascii="Times New Roman" w:eastAsia="Times New Roman" w:hAnsi="Times New Roman" w:cs="Times New Roman"/>
                <w:color w:val="000000"/>
                <w:sz w:val="20"/>
                <w:szCs w:val="20"/>
                <w:lang w:eastAsia="sk-SK"/>
              </w:rPr>
              <w:br/>
              <w:t>§ 1 ods. 3</w:t>
            </w:r>
          </w:p>
        </w:tc>
        <w:tc>
          <w:tcPr>
            <w:tcW w:w="1132" w:type="pct"/>
            <w:tcBorders>
              <w:top w:val="nil"/>
              <w:left w:val="nil"/>
              <w:bottom w:val="single" w:sz="4" w:space="0" w:color="auto"/>
              <w:right w:val="single" w:sz="4" w:space="0" w:color="auto"/>
            </w:tcBorders>
            <w:shd w:val="clear" w:color="auto" w:fill="auto"/>
            <w:vAlign w:val="center"/>
            <w:hideMark/>
          </w:tcPr>
          <w:p w14:paraId="1B84923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47EB226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22928C2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osobitného predpisu, banka a pobočka zahraničnej banky</w:t>
            </w:r>
          </w:p>
        </w:tc>
        <w:tc>
          <w:tcPr>
            <w:tcW w:w="204" w:type="pct"/>
            <w:tcBorders>
              <w:top w:val="nil"/>
              <w:left w:val="nil"/>
              <w:bottom w:val="single" w:sz="4" w:space="0" w:color="auto"/>
              <w:right w:val="single" w:sz="4" w:space="0" w:color="auto"/>
            </w:tcBorders>
            <w:shd w:val="clear" w:color="auto" w:fill="auto"/>
            <w:vAlign w:val="center"/>
            <w:hideMark/>
          </w:tcPr>
          <w:p w14:paraId="6B176E63"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53 </w:t>
            </w:r>
          </w:p>
        </w:tc>
        <w:tc>
          <w:tcPr>
            <w:tcW w:w="225" w:type="pct"/>
            <w:tcBorders>
              <w:top w:val="nil"/>
              <w:left w:val="nil"/>
              <w:bottom w:val="single" w:sz="4" w:space="0" w:color="auto"/>
              <w:right w:val="single" w:sz="4" w:space="0" w:color="auto"/>
            </w:tcBorders>
            <w:shd w:val="clear" w:color="auto" w:fill="auto"/>
            <w:vAlign w:val="center"/>
            <w:hideMark/>
          </w:tcPr>
          <w:p w14:paraId="7CF2AAF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116</w:t>
            </w:r>
          </w:p>
        </w:tc>
        <w:tc>
          <w:tcPr>
            <w:tcW w:w="250" w:type="pct"/>
            <w:tcBorders>
              <w:top w:val="nil"/>
              <w:left w:val="nil"/>
              <w:bottom w:val="single" w:sz="4" w:space="0" w:color="auto"/>
              <w:right w:val="single" w:sz="4" w:space="0" w:color="auto"/>
            </w:tcBorders>
            <w:shd w:val="clear" w:color="auto" w:fill="auto"/>
            <w:vAlign w:val="center"/>
            <w:hideMark/>
          </w:tcPr>
          <w:p w14:paraId="0495F89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6 129</w:t>
            </w:r>
          </w:p>
        </w:tc>
        <w:tc>
          <w:tcPr>
            <w:tcW w:w="357" w:type="pct"/>
            <w:tcBorders>
              <w:top w:val="nil"/>
              <w:left w:val="nil"/>
              <w:bottom w:val="single" w:sz="4" w:space="0" w:color="auto"/>
              <w:right w:val="single" w:sz="4" w:space="0" w:color="auto"/>
            </w:tcBorders>
            <w:shd w:val="clear" w:color="auto" w:fill="auto"/>
            <w:vAlign w:val="center"/>
            <w:hideMark/>
          </w:tcPr>
          <w:p w14:paraId="086E5C2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0CD1E67D"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6 129</w:t>
            </w:r>
          </w:p>
        </w:tc>
        <w:tc>
          <w:tcPr>
            <w:tcW w:w="264" w:type="pct"/>
            <w:tcBorders>
              <w:top w:val="nil"/>
              <w:left w:val="nil"/>
              <w:bottom w:val="single" w:sz="4" w:space="0" w:color="auto"/>
              <w:right w:val="single" w:sz="4" w:space="0" w:color="auto"/>
            </w:tcBorders>
            <w:shd w:val="clear" w:color="auto" w:fill="auto"/>
            <w:vAlign w:val="center"/>
            <w:hideMark/>
          </w:tcPr>
          <w:p w14:paraId="6B84043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42A31577"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75F4E1D2"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63A237E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w:t>
            </w:r>
          </w:p>
        </w:tc>
        <w:tc>
          <w:tcPr>
            <w:tcW w:w="853" w:type="pct"/>
            <w:tcBorders>
              <w:top w:val="nil"/>
              <w:left w:val="nil"/>
              <w:bottom w:val="single" w:sz="4" w:space="0" w:color="auto"/>
              <w:right w:val="single" w:sz="4" w:space="0" w:color="auto"/>
            </w:tcBorders>
            <w:shd w:val="clear" w:color="auto" w:fill="auto"/>
            <w:vAlign w:val="center"/>
            <w:hideMark/>
          </w:tcPr>
          <w:p w14:paraId="61478B2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Zvýšenie výšky pokút</w:t>
            </w:r>
          </w:p>
        </w:tc>
        <w:tc>
          <w:tcPr>
            <w:tcW w:w="353" w:type="pct"/>
            <w:tcBorders>
              <w:top w:val="nil"/>
              <w:left w:val="nil"/>
              <w:bottom w:val="single" w:sz="4" w:space="0" w:color="auto"/>
              <w:right w:val="single" w:sz="4" w:space="0" w:color="auto"/>
            </w:tcBorders>
            <w:shd w:val="clear" w:color="auto" w:fill="auto"/>
            <w:vAlign w:val="center"/>
            <w:hideMark/>
          </w:tcPr>
          <w:p w14:paraId="10B363F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4D0FB98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38 </w:t>
            </w:r>
          </w:p>
        </w:tc>
        <w:tc>
          <w:tcPr>
            <w:tcW w:w="1132" w:type="pct"/>
            <w:tcBorders>
              <w:top w:val="nil"/>
              <w:left w:val="nil"/>
              <w:bottom w:val="single" w:sz="4" w:space="0" w:color="auto"/>
              <w:right w:val="single" w:sz="4" w:space="0" w:color="auto"/>
            </w:tcBorders>
            <w:shd w:val="clear" w:color="auto" w:fill="auto"/>
            <w:vAlign w:val="center"/>
            <w:hideMark/>
          </w:tcPr>
          <w:p w14:paraId="6F4E2B7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24E74F6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58DCDE2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veriteľ podľa § 25 ods. 1 písm. a) a c), ods. 3 písm. a) a osoba, ktorá nemá povolenie </w:t>
            </w:r>
          </w:p>
        </w:tc>
        <w:tc>
          <w:tcPr>
            <w:tcW w:w="204" w:type="pct"/>
            <w:tcBorders>
              <w:top w:val="nil"/>
              <w:left w:val="nil"/>
              <w:bottom w:val="single" w:sz="4" w:space="0" w:color="auto"/>
              <w:right w:val="single" w:sz="4" w:space="0" w:color="auto"/>
            </w:tcBorders>
            <w:shd w:val="clear" w:color="auto" w:fill="auto"/>
            <w:vAlign w:val="center"/>
            <w:hideMark/>
          </w:tcPr>
          <w:p w14:paraId="2C446F6B"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5873142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8 036</w:t>
            </w:r>
          </w:p>
        </w:tc>
        <w:tc>
          <w:tcPr>
            <w:tcW w:w="250" w:type="pct"/>
            <w:tcBorders>
              <w:top w:val="nil"/>
              <w:left w:val="nil"/>
              <w:bottom w:val="single" w:sz="4" w:space="0" w:color="auto"/>
              <w:right w:val="single" w:sz="4" w:space="0" w:color="auto"/>
            </w:tcBorders>
            <w:shd w:val="clear" w:color="auto" w:fill="auto"/>
            <w:vAlign w:val="center"/>
            <w:hideMark/>
          </w:tcPr>
          <w:p w14:paraId="51D892B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450 000</w:t>
            </w:r>
          </w:p>
        </w:tc>
        <w:tc>
          <w:tcPr>
            <w:tcW w:w="357" w:type="pct"/>
            <w:tcBorders>
              <w:top w:val="nil"/>
              <w:left w:val="nil"/>
              <w:bottom w:val="single" w:sz="4" w:space="0" w:color="auto"/>
              <w:right w:val="single" w:sz="4" w:space="0" w:color="auto"/>
            </w:tcBorders>
            <w:shd w:val="clear" w:color="auto" w:fill="auto"/>
            <w:vAlign w:val="center"/>
            <w:hideMark/>
          </w:tcPr>
          <w:p w14:paraId="7C81C7C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19D91D51"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39467CF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60354069"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EA5F35B"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4E8821C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lastRenderedPageBreak/>
              <w:t>21</w:t>
            </w:r>
          </w:p>
        </w:tc>
        <w:tc>
          <w:tcPr>
            <w:tcW w:w="853" w:type="pct"/>
            <w:tcBorders>
              <w:top w:val="nil"/>
              <w:left w:val="nil"/>
              <w:bottom w:val="single" w:sz="4" w:space="0" w:color="auto"/>
              <w:right w:val="single" w:sz="4" w:space="0" w:color="auto"/>
            </w:tcBorders>
            <w:shd w:val="clear" w:color="auto" w:fill="auto"/>
            <w:vAlign w:val="center"/>
            <w:hideMark/>
          </w:tcPr>
          <w:p w14:paraId="5784F67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Zjednodušený režim v prípade malých úverov</w:t>
            </w:r>
          </w:p>
        </w:tc>
        <w:tc>
          <w:tcPr>
            <w:tcW w:w="353" w:type="pct"/>
            <w:tcBorders>
              <w:top w:val="nil"/>
              <w:left w:val="nil"/>
              <w:bottom w:val="single" w:sz="4" w:space="0" w:color="auto"/>
              <w:right w:val="single" w:sz="4" w:space="0" w:color="auto"/>
            </w:tcBorders>
            <w:shd w:val="clear" w:color="auto" w:fill="auto"/>
            <w:vAlign w:val="center"/>
            <w:hideMark/>
          </w:tcPr>
          <w:p w14:paraId="22EFC99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641451B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1 ods. 6</w:t>
            </w:r>
          </w:p>
        </w:tc>
        <w:tc>
          <w:tcPr>
            <w:tcW w:w="1132" w:type="pct"/>
            <w:tcBorders>
              <w:top w:val="nil"/>
              <w:left w:val="nil"/>
              <w:bottom w:val="single" w:sz="4" w:space="0" w:color="auto"/>
              <w:right w:val="single" w:sz="4" w:space="0" w:color="auto"/>
            </w:tcBorders>
            <w:shd w:val="clear" w:color="auto" w:fill="auto"/>
            <w:vAlign w:val="center"/>
            <w:hideMark/>
          </w:tcPr>
          <w:p w14:paraId="7A906A8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3g)  Iný typ goldplatingu</w:t>
            </w:r>
          </w:p>
        </w:tc>
        <w:tc>
          <w:tcPr>
            <w:tcW w:w="189" w:type="pct"/>
            <w:tcBorders>
              <w:top w:val="nil"/>
              <w:left w:val="nil"/>
              <w:bottom w:val="single" w:sz="4" w:space="0" w:color="auto"/>
              <w:right w:val="single" w:sz="4" w:space="0" w:color="auto"/>
            </w:tcBorders>
            <w:shd w:val="clear" w:color="auto" w:fill="auto"/>
            <w:vAlign w:val="center"/>
            <w:hideMark/>
          </w:tcPr>
          <w:p w14:paraId="1153464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42BB390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2386ABD7"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007B0DB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3 041</w:t>
            </w:r>
          </w:p>
        </w:tc>
        <w:tc>
          <w:tcPr>
            <w:tcW w:w="250" w:type="pct"/>
            <w:tcBorders>
              <w:top w:val="nil"/>
              <w:left w:val="nil"/>
              <w:bottom w:val="single" w:sz="4" w:space="0" w:color="auto"/>
              <w:right w:val="single" w:sz="4" w:space="0" w:color="auto"/>
            </w:tcBorders>
            <w:shd w:val="clear" w:color="auto" w:fill="auto"/>
            <w:vAlign w:val="center"/>
            <w:hideMark/>
          </w:tcPr>
          <w:p w14:paraId="0BCA825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170 301</w:t>
            </w:r>
          </w:p>
        </w:tc>
        <w:tc>
          <w:tcPr>
            <w:tcW w:w="357" w:type="pct"/>
            <w:tcBorders>
              <w:top w:val="nil"/>
              <w:left w:val="nil"/>
              <w:bottom w:val="single" w:sz="4" w:space="0" w:color="auto"/>
              <w:right w:val="single" w:sz="4" w:space="0" w:color="auto"/>
            </w:tcBorders>
            <w:shd w:val="clear" w:color="auto" w:fill="auto"/>
            <w:vAlign w:val="center"/>
            <w:hideMark/>
          </w:tcPr>
          <w:p w14:paraId="72F83C4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Out (znižuje náklady)</w:t>
            </w:r>
          </w:p>
        </w:tc>
        <w:tc>
          <w:tcPr>
            <w:tcW w:w="357" w:type="pct"/>
            <w:tcBorders>
              <w:top w:val="nil"/>
              <w:left w:val="nil"/>
              <w:bottom w:val="single" w:sz="4" w:space="0" w:color="auto"/>
              <w:right w:val="single" w:sz="4" w:space="0" w:color="auto"/>
            </w:tcBorders>
            <w:shd w:val="clear" w:color="auto" w:fill="auto"/>
            <w:vAlign w:val="center"/>
            <w:hideMark/>
          </w:tcPr>
          <w:p w14:paraId="382D0C87"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170 301</w:t>
            </w:r>
          </w:p>
        </w:tc>
        <w:tc>
          <w:tcPr>
            <w:tcW w:w="264" w:type="pct"/>
            <w:tcBorders>
              <w:top w:val="nil"/>
              <w:left w:val="nil"/>
              <w:bottom w:val="single" w:sz="4" w:space="0" w:color="auto"/>
              <w:right w:val="single" w:sz="4" w:space="0" w:color="auto"/>
            </w:tcBorders>
            <w:shd w:val="clear" w:color="auto" w:fill="auto"/>
            <w:vAlign w:val="center"/>
            <w:hideMark/>
          </w:tcPr>
          <w:p w14:paraId="3346770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170 301</w:t>
            </w:r>
          </w:p>
        </w:tc>
        <w:tc>
          <w:tcPr>
            <w:tcW w:w="28" w:type="pct"/>
            <w:vAlign w:val="center"/>
            <w:hideMark/>
          </w:tcPr>
          <w:p w14:paraId="3151152B"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390DC08A"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0F75B0A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22</w:t>
            </w:r>
          </w:p>
        </w:tc>
        <w:tc>
          <w:tcPr>
            <w:tcW w:w="853" w:type="pct"/>
            <w:tcBorders>
              <w:top w:val="nil"/>
              <w:left w:val="nil"/>
              <w:bottom w:val="single" w:sz="4" w:space="0" w:color="auto"/>
              <w:right w:val="single" w:sz="4" w:space="0" w:color="auto"/>
            </w:tcBorders>
            <w:shd w:val="clear" w:color="auto" w:fill="auto"/>
            <w:vAlign w:val="center"/>
            <w:hideMark/>
          </w:tcPr>
          <w:p w14:paraId="3106617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Rozšírenie zákazov určitých reklám</w:t>
            </w:r>
          </w:p>
        </w:tc>
        <w:tc>
          <w:tcPr>
            <w:tcW w:w="353" w:type="pct"/>
            <w:tcBorders>
              <w:top w:val="nil"/>
              <w:left w:val="nil"/>
              <w:bottom w:val="single" w:sz="4" w:space="0" w:color="auto"/>
              <w:right w:val="single" w:sz="4" w:space="0" w:color="auto"/>
            </w:tcBorders>
            <w:shd w:val="clear" w:color="auto" w:fill="auto"/>
            <w:vAlign w:val="center"/>
            <w:hideMark/>
          </w:tcPr>
          <w:p w14:paraId="5CD5DC8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137B3AF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5 ods. 6 písm. d) až f)</w:t>
            </w:r>
          </w:p>
        </w:tc>
        <w:tc>
          <w:tcPr>
            <w:tcW w:w="1132" w:type="pct"/>
            <w:tcBorders>
              <w:top w:val="nil"/>
              <w:left w:val="nil"/>
              <w:bottom w:val="single" w:sz="4" w:space="0" w:color="auto"/>
              <w:right w:val="single" w:sz="4" w:space="0" w:color="auto"/>
            </w:tcBorders>
            <w:shd w:val="clear" w:color="auto" w:fill="auto"/>
            <w:vAlign w:val="center"/>
            <w:hideMark/>
          </w:tcPr>
          <w:p w14:paraId="799291A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3b)  Navýšenie  požiadaviek nad rámec minimálnych požiadaviek smernice EÚ, </w:t>
            </w:r>
          </w:p>
        </w:tc>
        <w:tc>
          <w:tcPr>
            <w:tcW w:w="189" w:type="pct"/>
            <w:tcBorders>
              <w:top w:val="nil"/>
              <w:left w:val="nil"/>
              <w:bottom w:val="single" w:sz="4" w:space="0" w:color="auto"/>
              <w:right w:val="single" w:sz="4" w:space="0" w:color="auto"/>
            </w:tcBorders>
            <w:shd w:val="clear" w:color="auto" w:fill="auto"/>
            <w:vAlign w:val="center"/>
            <w:hideMark/>
          </w:tcPr>
          <w:p w14:paraId="06EA0DF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5C27221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w:t>
            </w:r>
          </w:p>
        </w:tc>
        <w:tc>
          <w:tcPr>
            <w:tcW w:w="204" w:type="pct"/>
            <w:tcBorders>
              <w:top w:val="nil"/>
              <w:left w:val="nil"/>
              <w:bottom w:val="single" w:sz="4" w:space="0" w:color="auto"/>
              <w:right w:val="single" w:sz="4" w:space="0" w:color="auto"/>
            </w:tcBorders>
            <w:shd w:val="clear" w:color="auto" w:fill="auto"/>
            <w:vAlign w:val="center"/>
            <w:hideMark/>
          </w:tcPr>
          <w:p w14:paraId="64537FE7"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56 </w:t>
            </w:r>
          </w:p>
        </w:tc>
        <w:tc>
          <w:tcPr>
            <w:tcW w:w="225" w:type="pct"/>
            <w:tcBorders>
              <w:top w:val="nil"/>
              <w:left w:val="nil"/>
              <w:bottom w:val="single" w:sz="4" w:space="0" w:color="auto"/>
              <w:right w:val="single" w:sz="4" w:space="0" w:color="auto"/>
            </w:tcBorders>
            <w:shd w:val="clear" w:color="auto" w:fill="auto"/>
            <w:vAlign w:val="center"/>
            <w:hideMark/>
          </w:tcPr>
          <w:p w14:paraId="725EBFE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5 053</w:t>
            </w:r>
          </w:p>
        </w:tc>
        <w:tc>
          <w:tcPr>
            <w:tcW w:w="250" w:type="pct"/>
            <w:tcBorders>
              <w:top w:val="nil"/>
              <w:left w:val="nil"/>
              <w:bottom w:val="single" w:sz="4" w:space="0" w:color="auto"/>
              <w:right w:val="single" w:sz="4" w:space="0" w:color="auto"/>
            </w:tcBorders>
            <w:shd w:val="clear" w:color="auto" w:fill="auto"/>
            <w:vAlign w:val="center"/>
            <w:hideMark/>
          </w:tcPr>
          <w:p w14:paraId="37F5960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282 982</w:t>
            </w:r>
          </w:p>
        </w:tc>
        <w:tc>
          <w:tcPr>
            <w:tcW w:w="357" w:type="pct"/>
            <w:tcBorders>
              <w:top w:val="nil"/>
              <w:left w:val="nil"/>
              <w:bottom w:val="single" w:sz="4" w:space="0" w:color="auto"/>
              <w:right w:val="single" w:sz="4" w:space="0" w:color="auto"/>
            </w:tcBorders>
            <w:shd w:val="clear" w:color="auto" w:fill="auto"/>
            <w:vAlign w:val="center"/>
            <w:hideMark/>
          </w:tcPr>
          <w:p w14:paraId="6388731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04B4F5B5"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282 982</w:t>
            </w:r>
          </w:p>
        </w:tc>
        <w:tc>
          <w:tcPr>
            <w:tcW w:w="264" w:type="pct"/>
            <w:tcBorders>
              <w:top w:val="nil"/>
              <w:left w:val="nil"/>
              <w:bottom w:val="single" w:sz="4" w:space="0" w:color="auto"/>
              <w:right w:val="single" w:sz="4" w:space="0" w:color="auto"/>
            </w:tcBorders>
            <w:shd w:val="clear" w:color="auto" w:fill="auto"/>
            <w:vAlign w:val="center"/>
            <w:hideMark/>
          </w:tcPr>
          <w:p w14:paraId="2D42CFE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282 982</w:t>
            </w:r>
          </w:p>
        </w:tc>
        <w:tc>
          <w:tcPr>
            <w:tcW w:w="28" w:type="pct"/>
            <w:vAlign w:val="center"/>
            <w:hideMark/>
          </w:tcPr>
          <w:p w14:paraId="772DF49A"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23E1094D"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5FA04D1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23</w:t>
            </w:r>
          </w:p>
        </w:tc>
        <w:tc>
          <w:tcPr>
            <w:tcW w:w="853" w:type="pct"/>
            <w:tcBorders>
              <w:top w:val="nil"/>
              <w:left w:val="nil"/>
              <w:bottom w:val="single" w:sz="4" w:space="0" w:color="auto"/>
              <w:right w:val="single" w:sz="4" w:space="0" w:color="auto"/>
            </w:tcBorders>
            <w:shd w:val="clear" w:color="auto" w:fill="auto"/>
            <w:vAlign w:val="center"/>
            <w:hideMark/>
          </w:tcPr>
          <w:p w14:paraId="23B9645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Poskytovanie úverov určitými subjektami bez licenčného konania</w:t>
            </w:r>
          </w:p>
        </w:tc>
        <w:tc>
          <w:tcPr>
            <w:tcW w:w="353" w:type="pct"/>
            <w:tcBorders>
              <w:top w:val="nil"/>
              <w:left w:val="nil"/>
              <w:bottom w:val="single" w:sz="4" w:space="0" w:color="auto"/>
              <w:right w:val="single" w:sz="4" w:space="0" w:color="auto"/>
            </w:tcBorders>
            <w:shd w:val="clear" w:color="auto" w:fill="auto"/>
            <w:vAlign w:val="center"/>
            <w:hideMark/>
          </w:tcPr>
          <w:p w14:paraId="1A4B04F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4B09794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25 ods. 3</w:t>
            </w:r>
          </w:p>
        </w:tc>
        <w:tc>
          <w:tcPr>
            <w:tcW w:w="1132" w:type="pct"/>
            <w:tcBorders>
              <w:top w:val="nil"/>
              <w:left w:val="nil"/>
              <w:bottom w:val="single" w:sz="4" w:space="0" w:color="auto"/>
              <w:right w:val="single" w:sz="4" w:space="0" w:color="auto"/>
            </w:tcBorders>
            <w:shd w:val="clear" w:color="auto" w:fill="auto"/>
            <w:vAlign w:val="center"/>
            <w:hideMark/>
          </w:tcPr>
          <w:p w14:paraId="457D751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3a) Rozšírenie rozsahu pôsobnosti smernice na subjekty nad rámec minimálnych požiadaviek smernice EÚ</w:t>
            </w:r>
          </w:p>
        </w:tc>
        <w:tc>
          <w:tcPr>
            <w:tcW w:w="189" w:type="pct"/>
            <w:tcBorders>
              <w:top w:val="nil"/>
              <w:left w:val="nil"/>
              <w:bottom w:val="single" w:sz="4" w:space="0" w:color="auto"/>
              <w:right w:val="single" w:sz="4" w:space="0" w:color="auto"/>
            </w:tcBorders>
            <w:shd w:val="clear" w:color="auto" w:fill="auto"/>
            <w:vAlign w:val="center"/>
            <w:hideMark/>
          </w:tcPr>
          <w:p w14:paraId="7901382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3ED46A1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subjekty podľa § 25 ods. 3 písm. a)</w:t>
            </w:r>
          </w:p>
        </w:tc>
        <w:tc>
          <w:tcPr>
            <w:tcW w:w="204" w:type="pct"/>
            <w:tcBorders>
              <w:top w:val="nil"/>
              <w:left w:val="nil"/>
              <w:bottom w:val="single" w:sz="4" w:space="0" w:color="auto"/>
              <w:right w:val="single" w:sz="4" w:space="0" w:color="auto"/>
            </w:tcBorders>
            <w:shd w:val="clear" w:color="auto" w:fill="auto"/>
            <w:vAlign w:val="center"/>
            <w:hideMark/>
          </w:tcPr>
          <w:p w14:paraId="75F5DAAD"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15 </w:t>
            </w:r>
          </w:p>
        </w:tc>
        <w:tc>
          <w:tcPr>
            <w:tcW w:w="225" w:type="pct"/>
            <w:tcBorders>
              <w:top w:val="nil"/>
              <w:left w:val="nil"/>
              <w:bottom w:val="single" w:sz="4" w:space="0" w:color="auto"/>
              <w:right w:val="single" w:sz="4" w:space="0" w:color="auto"/>
            </w:tcBorders>
            <w:shd w:val="clear" w:color="auto" w:fill="auto"/>
            <w:vAlign w:val="center"/>
            <w:hideMark/>
          </w:tcPr>
          <w:p w14:paraId="73D30A2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897</w:t>
            </w:r>
          </w:p>
        </w:tc>
        <w:tc>
          <w:tcPr>
            <w:tcW w:w="250" w:type="pct"/>
            <w:tcBorders>
              <w:top w:val="nil"/>
              <w:left w:val="nil"/>
              <w:bottom w:val="single" w:sz="4" w:space="0" w:color="auto"/>
              <w:right w:val="single" w:sz="4" w:space="0" w:color="auto"/>
            </w:tcBorders>
            <w:shd w:val="clear" w:color="auto" w:fill="auto"/>
            <w:vAlign w:val="center"/>
            <w:hideMark/>
          </w:tcPr>
          <w:p w14:paraId="02390B7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13 458</w:t>
            </w:r>
          </w:p>
        </w:tc>
        <w:tc>
          <w:tcPr>
            <w:tcW w:w="357" w:type="pct"/>
            <w:tcBorders>
              <w:top w:val="nil"/>
              <w:left w:val="nil"/>
              <w:bottom w:val="single" w:sz="4" w:space="0" w:color="auto"/>
              <w:right w:val="single" w:sz="4" w:space="0" w:color="auto"/>
            </w:tcBorders>
            <w:shd w:val="clear" w:color="auto" w:fill="auto"/>
            <w:vAlign w:val="center"/>
            <w:hideMark/>
          </w:tcPr>
          <w:p w14:paraId="617A1FA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Out (znižuje náklady)</w:t>
            </w:r>
          </w:p>
        </w:tc>
        <w:tc>
          <w:tcPr>
            <w:tcW w:w="357" w:type="pct"/>
            <w:tcBorders>
              <w:top w:val="nil"/>
              <w:left w:val="nil"/>
              <w:bottom w:val="single" w:sz="4" w:space="0" w:color="auto"/>
              <w:right w:val="single" w:sz="4" w:space="0" w:color="auto"/>
            </w:tcBorders>
            <w:shd w:val="clear" w:color="auto" w:fill="auto"/>
            <w:vAlign w:val="center"/>
            <w:hideMark/>
          </w:tcPr>
          <w:p w14:paraId="251D7628"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13 458</w:t>
            </w:r>
          </w:p>
        </w:tc>
        <w:tc>
          <w:tcPr>
            <w:tcW w:w="264" w:type="pct"/>
            <w:tcBorders>
              <w:top w:val="nil"/>
              <w:left w:val="nil"/>
              <w:bottom w:val="single" w:sz="4" w:space="0" w:color="auto"/>
              <w:right w:val="single" w:sz="4" w:space="0" w:color="auto"/>
            </w:tcBorders>
            <w:shd w:val="clear" w:color="auto" w:fill="auto"/>
            <w:vAlign w:val="center"/>
            <w:hideMark/>
          </w:tcPr>
          <w:p w14:paraId="764AAC4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13 458</w:t>
            </w:r>
          </w:p>
        </w:tc>
        <w:tc>
          <w:tcPr>
            <w:tcW w:w="28" w:type="pct"/>
            <w:vAlign w:val="center"/>
            <w:hideMark/>
          </w:tcPr>
          <w:p w14:paraId="29BF1DA5"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57B43F79"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0B2E97F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24</w:t>
            </w:r>
          </w:p>
        </w:tc>
        <w:tc>
          <w:tcPr>
            <w:tcW w:w="853" w:type="pct"/>
            <w:tcBorders>
              <w:top w:val="nil"/>
              <w:left w:val="nil"/>
              <w:bottom w:val="single" w:sz="4" w:space="0" w:color="auto"/>
              <w:right w:val="single" w:sz="4" w:space="0" w:color="auto"/>
            </w:tcBorders>
            <w:shd w:val="clear" w:color="auto" w:fill="auto"/>
            <w:vAlign w:val="center"/>
            <w:hideMark/>
          </w:tcPr>
          <w:p w14:paraId="1588425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Nový typ licencie - podanie žiadosti o udelenie povolenia</w:t>
            </w:r>
          </w:p>
        </w:tc>
        <w:tc>
          <w:tcPr>
            <w:tcW w:w="353" w:type="pct"/>
            <w:tcBorders>
              <w:top w:val="nil"/>
              <w:left w:val="nil"/>
              <w:bottom w:val="single" w:sz="4" w:space="0" w:color="auto"/>
              <w:right w:val="single" w:sz="4" w:space="0" w:color="auto"/>
            </w:tcBorders>
            <w:shd w:val="clear" w:color="auto" w:fill="auto"/>
            <w:vAlign w:val="center"/>
            <w:hideMark/>
          </w:tcPr>
          <w:p w14:paraId="276596C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7F568A0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25 ods. 2, § 28</w:t>
            </w:r>
          </w:p>
        </w:tc>
        <w:tc>
          <w:tcPr>
            <w:tcW w:w="1132" w:type="pct"/>
            <w:tcBorders>
              <w:top w:val="nil"/>
              <w:left w:val="nil"/>
              <w:bottom w:val="single" w:sz="4" w:space="0" w:color="auto"/>
              <w:right w:val="single" w:sz="4" w:space="0" w:color="auto"/>
            </w:tcBorders>
            <w:shd w:val="clear" w:color="auto" w:fill="auto"/>
            <w:vAlign w:val="center"/>
            <w:hideMark/>
          </w:tcPr>
          <w:p w14:paraId="35FA867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 EÚ úplná harmonizácia</w:t>
            </w:r>
          </w:p>
        </w:tc>
        <w:tc>
          <w:tcPr>
            <w:tcW w:w="189" w:type="pct"/>
            <w:tcBorders>
              <w:top w:val="nil"/>
              <w:left w:val="nil"/>
              <w:bottom w:val="single" w:sz="4" w:space="0" w:color="auto"/>
              <w:right w:val="single" w:sz="4" w:space="0" w:color="auto"/>
            </w:tcBorders>
            <w:shd w:val="clear" w:color="auto" w:fill="auto"/>
            <w:vAlign w:val="center"/>
            <w:hideMark/>
          </w:tcPr>
          <w:p w14:paraId="67062FC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7363618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46A20E8D"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5215173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547</w:t>
            </w:r>
          </w:p>
        </w:tc>
        <w:tc>
          <w:tcPr>
            <w:tcW w:w="250" w:type="pct"/>
            <w:tcBorders>
              <w:top w:val="nil"/>
              <w:left w:val="nil"/>
              <w:bottom w:val="single" w:sz="4" w:space="0" w:color="auto"/>
              <w:right w:val="single" w:sz="4" w:space="0" w:color="auto"/>
            </w:tcBorders>
            <w:shd w:val="clear" w:color="auto" w:fill="auto"/>
            <w:vAlign w:val="center"/>
            <w:hideMark/>
          </w:tcPr>
          <w:p w14:paraId="0E2819E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1 642</w:t>
            </w:r>
          </w:p>
        </w:tc>
        <w:tc>
          <w:tcPr>
            <w:tcW w:w="357" w:type="pct"/>
            <w:tcBorders>
              <w:top w:val="nil"/>
              <w:left w:val="nil"/>
              <w:bottom w:val="single" w:sz="4" w:space="0" w:color="auto"/>
              <w:right w:val="single" w:sz="4" w:space="0" w:color="auto"/>
            </w:tcBorders>
            <w:shd w:val="clear" w:color="auto" w:fill="auto"/>
            <w:vAlign w:val="center"/>
            <w:hideMark/>
          </w:tcPr>
          <w:p w14:paraId="3375AD7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448CC18A"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0</w:t>
            </w:r>
          </w:p>
        </w:tc>
        <w:tc>
          <w:tcPr>
            <w:tcW w:w="264" w:type="pct"/>
            <w:tcBorders>
              <w:top w:val="nil"/>
              <w:left w:val="nil"/>
              <w:bottom w:val="single" w:sz="4" w:space="0" w:color="auto"/>
              <w:right w:val="single" w:sz="4" w:space="0" w:color="auto"/>
            </w:tcBorders>
            <w:shd w:val="clear" w:color="auto" w:fill="auto"/>
            <w:vAlign w:val="center"/>
            <w:hideMark/>
          </w:tcPr>
          <w:p w14:paraId="66E9A90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2D05EF26"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7C8589B4"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38F3E76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25</w:t>
            </w:r>
          </w:p>
        </w:tc>
        <w:tc>
          <w:tcPr>
            <w:tcW w:w="853" w:type="pct"/>
            <w:tcBorders>
              <w:top w:val="nil"/>
              <w:left w:val="nil"/>
              <w:bottom w:val="single" w:sz="4" w:space="0" w:color="auto"/>
              <w:right w:val="single" w:sz="4" w:space="0" w:color="auto"/>
            </w:tcBorders>
            <w:shd w:val="clear" w:color="auto" w:fill="auto"/>
            <w:vAlign w:val="center"/>
            <w:hideMark/>
          </w:tcPr>
          <w:p w14:paraId="00019AE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Konanie o zmenu povolenia </w:t>
            </w:r>
          </w:p>
        </w:tc>
        <w:tc>
          <w:tcPr>
            <w:tcW w:w="353" w:type="pct"/>
            <w:tcBorders>
              <w:top w:val="nil"/>
              <w:left w:val="nil"/>
              <w:bottom w:val="single" w:sz="4" w:space="0" w:color="auto"/>
              <w:right w:val="single" w:sz="4" w:space="0" w:color="auto"/>
            </w:tcBorders>
            <w:shd w:val="clear" w:color="auto" w:fill="auto"/>
            <w:vAlign w:val="center"/>
            <w:hideMark/>
          </w:tcPr>
          <w:p w14:paraId="58A0A87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266BFCE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25 ods. 2, § 28</w:t>
            </w:r>
          </w:p>
        </w:tc>
        <w:tc>
          <w:tcPr>
            <w:tcW w:w="1132" w:type="pct"/>
            <w:tcBorders>
              <w:top w:val="nil"/>
              <w:left w:val="nil"/>
              <w:bottom w:val="single" w:sz="4" w:space="0" w:color="auto"/>
              <w:right w:val="single" w:sz="4" w:space="0" w:color="auto"/>
            </w:tcBorders>
            <w:shd w:val="clear" w:color="auto" w:fill="auto"/>
            <w:vAlign w:val="center"/>
            <w:hideMark/>
          </w:tcPr>
          <w:p w14:paraId="17D2148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716ADE2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2BDA61B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73E30BE2"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684BC09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484</w:t>
            </w:r>
          </w:p>
        </w:tc>
        <w:tc>
          <w:tcPr>
            <w:tcW w:w="250" w:type="pct"/>
            <w:tcBorders>
              <w:top w:val="nil"/>
              <w:left w:val="nil"/>
              <w:bottom w:val="single" w:sz="4" w:space="0" w:color="auto"/>
              <w:right w:val="single" w:sz="4" w:space="0" w:color="auto"/>
            </w:tcBorders>
            <w:shd w:val="clear" w:color="auto" w:fill="auto"/>
            <w:vAlign w:val="center"/>
            <w:hideMark/>
          </w:tcPr>
          <w:p w14:paraId="3D28DC8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1 452</w:t>
            </w:r>
          </w:p>
        </w:tc>
        <w:tc>
          <w:tcPr>
            <w:tcW w:w="357" w:type="pct"/>
            <w:tcBorders>
              <w:top w:val="nil"/>
              <w:left w:val="nil"/>
              <w:bottom w:val="single" w:sz="4" w:space="0" w:color="auto"/>
              <w:right w:val="single" w:sz="4" w:space="0" w:color="auto"/>
            </w:tcBorders>
            <w:shd w:val="clear" w:color="auto" w:fill="auto"/>
            <w:vAlign w:val="center"/>
            <w:hideMark/>
          </w:tcPr>
          <w:p w14:paraId="63A178F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44AB8077"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1 452</w:t>
            </w:r>
          </w:p>
        </w:tc>
        <w:tc>
          <w:tcPr>
            <w:tcW w:w="264" w:type="pct"/>
            <w:tcBorders>
              <w:top w:val="nil"/>
              <w:left w:val="nil"/>
              <w:bottom w:val="single" w:sz="4" w:space="0" w:color="auto"/>
              <w:right w:val="single" w:sz="4" w:space="0" w:color="auto"/>
            </w:tcBorders>
            <w:shd w:val="clear" w:color="auto" w:fill="auto"/>
            <w:vAlign w:val="center"/>
            <w:hideMark/>
          </w:tcPr>
          <w:p w14:paraId="026C270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0A23050D"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274DFC1D"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2A00C84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26</w:t>
            </w:r>
          </w:p>
        </w:tc>
        <w:tc>
          <w:tcPr>
            <w:tcW w:w="853" w:type="pct"/>
            <w:tcBorders>
              <w:top w:val="nil"/>
              <w:left w:val="nil"/>
              <w:bottom w:val="single" w:sz="4" w:space="0" w:color="auto"/>
              <w:right w:val="single" w:sz="4" w:space="0" w:color="auto"/>
            </w:tcBorders>
            <w:shd w:val="clear" w:color="auto" w:fill="auto"/>
            <w:vAlign w:val="center"/>
            <w:hideMark/>
          </w:tcPr>
          <w:p w14:paraId="7B0F125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Konanie NBS o udelenie predchádzajúceho súhlasu</w:t>
            </w:r>
          </w:p>
        </w:tc>
        <w:tc>
          <w:tcPr>
            <w:tcW w:w="353" w:type="pct"/>
            <w:tcBorders>
              <w:top w:val="nil"/>
              <w:left w:val="nil"/>
              <w:bottom w:val="single" w:sz="4" w:space="0" w:color="auto"/>
              <w:right w:val="single" w:sz="4" w:space="0" w:color="auto"/>
            </w:tcBorders>
            <w:shd w:val="clear" w:color="auto" w:fill="auto"/>
            <w:vAlign w:val="center"/>
            <w:hideMark/>
          </w:tcPr>
          <w:p w14:paraId="0C3FA4A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009D00C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30 ods. 2</w:t>
            </w:r>
          </w:p>
        </w:tc>
        <w:tc>
          <w:tcPr>
            <w:tcW w:w="1132" w:type="pct"/>
            <w:tcBorders>
              <w:top w:val="nil"/>
              <w:left w:val="nil"/>
              <w:bottom w:val="single" w:sz="4" w:space="0" w:color="auto"/>
              <w:right w:val="single" w:sz="4" w:space="0" w:color="auto"/>
            </w:tcBorders>
            <w:shd w:val="clear" w:color="auto" w:fill="auto"/>
            <w:vAlign w:val="center"/>
            <w:hideMark/>
          </w:tcPr>
          <w:p w14:paraId="22337EC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2C94544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5171993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0E0FD9BE"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1121087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634</w:t>
            </w:r>
          </w:p>
        </w:tc>
        <w:tc>
          <w:tcPr>
            <w:tcW w:w="250" w:type="pct"/>
            <w:tcBorders>
              <w:top w:val="nil"/>
              <w:left w:val="nil"/>
              <w:bottom w:val="single" w:sz="4" w:space="0" w:color="auto"/>
              <w:right w:val="single" w:sz="4" w:space="0" w:color="auto"/>
            </w:tcBorders>
            <w:shd w:val="clear" w:color="auto" w:fill="auto"/>
            <w:vAlign w:val="center"/>
            <w:hideMark/>
          </w:tcPr>
          <w:p w14:paraId="3B4EB12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1 902</w:t>
            </w:r>
          </w:p>
        </w:tc>
        <w:tc>
          <w:tcPr>
            <w:tcW w:w="357" w:type="pct"/>
            <w:tcBorders>
              <w:top w:val="nil"/>
              <w:left w:val="nil"/>
              <w:bottom w:val="single" w:sz="4" w:space="0" w:color="auto"/>
              <w:right w:val="single" w:sz="4" w:space="0" w:color="auto"/>
            </w:tcBorders>
            <w:shd w:val="clear" w:color="auto" w:fill="auto"/>
            <w:vAlign w:val="center"/>
            <w:hideMark/>
          </w:tcPr>
          <w:p w14:paraId="54EEB23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643765F5"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1 902</w:t>
            </w:r>
          </w:p>
        </w:tc>
        <w:tc>
          <w:tcPr>
            <w:tcW w:w="264" w:type="pct"/>
            <w:tcBorders>
              <w:top w:val="nil"/>
              <w:left w:val="nil"/>
              <w:bottom w:val="single" w:sz="4" w:space="0" w:color="auto"/>
              <w:right w:val="single" w:sz="4" w:space="0" w:color="auto"/>
            </w:tcBorders>
            <w:shd w:val="clear" w:color="auto" w:fill="auto"/>
            <w:vAlign w:val="center"/>
            <w:hideMark/>
          </w:tcPr>
          <w:p w14:paraId="3C4F458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482AA6CE"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49368409"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75CD9EC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27</w:t>
            </w:r>
          </w:p>
        </w:tc>
        <w:tc>
          <w:tcPr>
            <w:tcW w:w="853" w:type="pct"/>
            <w:tcBorders>
              <w:top w:val="nil"/>
              <w:left w:val="nil"/>
              <w:bottom w:val="single" w:sz="4" w:space="0" w:color="auto"/>
              <w:right w:val="single" w:sz="4" w:space="0" w:color="auto"/>
            </w:tcBorders>
            <w:shd w:val="clear" w:color="auto" w:fill="auto"/>
            <w:vAlign w:val="center"/>
            <w:hideMark/>
          </w:tcPr>
          <w:p w14:paraId="6C50311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Ročné príspevky dohliadaného subjektu pre NBS</w:t>
            </w:r>
          </w:p>
        </w:tc>
        <w:tc>
          <w:tcPr>
            <w:tcW w:w="353" w:type="pct"/>
            <w:tcBorders>
              <w:top w:val="nil"/>
              <w:left w:val="nil"/>
              <w:bottom w:val="single" w:sz="4" w:space="0" w:color="auto"/>
              <w:right w:val="single" w:sz="4" w:space="0" w:color="auto"/>
            </w:tcBorders>
            <w:shd w:val="clear" w:color="auto" w:fill="auto"/>
            <w:vAlign w:val="center"/>
            <w:hideMark/>
          </w:tcPr>
          <w:p w14:paraId="5B79586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5940BDF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1132" w:type="pct"/>
            <w:tcBorders>
              <w:top w:val="nil"/>
              <w:left w:val="nil"/>
              <w:bottom w:val="single" w:sz="4" w:space="0" w:color="auto"/>
              <w:right w:val="single" w:sz="4" w:space="0" w:color="auto"/>
            </w:tcBorders>
            <w:shd w:val="clear" w:color="auto" w:fill="auto"/>
            <w:vAlign w:val="center"/>
            <w:hideMark/>
          </w:tcPr>
          <w:p w14:paraId="23C5353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5F97D34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5E902EA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5C5A3519"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0BB3F30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500</w:t>
            </w:r>
          </w:p>
        </w:tc>
        <w:tc>
          <w:tcPr>
            <w:tcW w:w="250" w:type="pct"/>
            <w:tcBorders>
              <w:top w:val="nil"/>
              <w:left w:val="nil"/>
              <w:bottom w:val="single" w:sz="4" w:space="0" w:color="auto"/>
              <w:right w:val="single" w:sz="4" w:space="0" w:color="auto"/>
            </w:tcBorders>
            <w:shd w:val="clear" w:color="auto" w:fill="auto"/>
            <w:vAlign w:val="center"/>
            <w:hideMark/>
          </w:tcPr>
          <w:p w14:paraId="117EF91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1 500</w:t>
            </w:r>
          </w:p>
        </w:tc>
        <w:tc>
          <w:tcPr>
            <w:tcW w:w="357" w:type="pct"/>
            <w:tcBorders>
              <w:top w:val="nil"/>
              <w:left w:val="nil"/>
              <w:bottom w:val="single" w:sz="4" w:space="0" w:color="auto"/>
              <w:right w:val="single" w:sz="4" w:space="0" w:color="auto"/>
            </w:tcBorders>
            <w:shd w:val="clear" w:color="auto" w:fill="auto"/>
            <w:vAlign w:val="center"/>
            <w:hideMark/>
          </w:tcPr>
          <w:p w14:paraId="4F26748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1151D124"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1 500</w:t>
            </w:r>
          </w:p>
        </w:tc>
        <w:tc>
          <w:tcPr>
            <w:tcW w:w="264" w:type="pct"/>
            <w:tcBorders>
              <w:top w:val="nil"/>
              <w:left w:val="nil"/>
              <w:bottom w:val="single" w:sz="4" w:space="0" w:color="auto"/>
              <w:right w:val="single" w:sz="4" w:space="0" w:color="auto"/>
            </w:tcBorders>
            <w:shd w:val="clear" w:color="auto" w:fill="auto"/>
            <w:vAlign w:val="center"/>
            <w:hideMark/>
          </w:tcPr>
          <w:p w14:paraId="0AD100F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0F1F9226"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77E2AA07"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4B742B0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28</w:t>
            </w:r>
          </w:p>
        </w:tc>
        <w:tc>
          <w:tcPr>
            <w:tcW w:w="853" w:type="pct"/>
            <w:tcBorders>
              <w:top w:val="nil"/>
              <w:left w:val="nil"/>
              <w:bottom w:val="single" w:sz="4" w:space="0" w:color="auto"/>
              <w:right w:val="single" w:sz="4" w:space="0" w:color="auto"/>
            </w:tcBorders>
            <w:shd w:val="clear" w:color="auto" w:fill="auto"/>
            <w:vAlign w:val="center"/>
            <w:hideMark/>
          </w:tcPr>
          <w:p w14:paraId="42A2A81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Prílohy k žiadosti o povolenie</w:t>
            </w:r>
          </w:p>
        </w:tc>
        <w:tc>
          <w:tcPr>
            <w:tcW w:w="353" w:type="pct"/>
            <w:tcBorders>
              <w:top w:val="nil"/>
              <w:left w:val="nil"/>
              <w:bottom w:val="single" w:sz="4" w:space="0" w:color="auto"/>
              <w:right w:val="single" w:sz="4" w:space="0" w:color="auto"/>
            </w:tcBorders>
            <w:shd w:val="clear" w:color="auto" w:fill="auto"/>
            <w:vAlign w:val="center"/>
            <w:hideMark/>
          </w:tcPr>
          <w:p w14:paraId="7518702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459429B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28 ods. 5</w:t>
            </w:r>
          </w:p>
        </w:tc>
        <w:tc>
          <w:tcPr>
            <w:tcW w:w="1132" w:type="pct"/>
            <w:tcBorders>
              <w:top w:val="nil"/>
              <w:left w:val="nil"/>
              <w:bottom w:val="single" w:sz="4" w:space="0" w:color="auto"/>
              <w:right w:val="single" w:sz="4" w:space="0" w:color="auto"/>
            </w:tcBorders>
            <w:shd w:val="clear" w:color="auto" w:fill="auto"/>
            <w:vAlign w:val="center"/>
            <w:hideMark/>
          </w:tcPr>
          <w:p w14:paraId="60103FB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6A6A510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0BB4A20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2BB826B5"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52B1AA8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41</w:t>
            </w:r>
          </w:p>
        </w:tc>
        <w:tc>
          <w:tcPr>
            <w:tcW w:w="250" w:type="pct"/>
            <w:tcBorders>
              <w:top w:val="nil"/>
              <w:left w:val="nil"/>
              <w:bottom w:val="single" w:sz="4" w:space="0" w:color="auto"/>
              <w:right w:val="single" w:sz="4" w:space="0" w:color="auto"/>
            </w:tcBorders>
            <w:shd w:val="clear" w:color="auto" w:fill="auto"/>
            <w:vAlign w:val="center"/>
            <w:hideMark/>
          </w:tcPr>
          <w:p w14:paraId="04E7961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123</w:t>
            </w:r>
          </w:p>
        </w:tc>
        <w:tc>
          <w:tcPr>
            <w:tcW w:w="357" w:type="pct"/>
            <w:tcBorders>
              <w:top w:val="nil"/>
              <w:left w:val="nil"/>
              <w:bottom w:val="single" w:sz="4" w:space="0" w:color="auto"/>
              <w:right w:val="single" w:sz="4" w:space="0" w:color="auto"/>
            </w:tcBorders>
            <w:shd w:val="clear" w:color="auto" w:fill="auto"/>
            <w:vAlign w:val="center"/>
            <w:hideMark/>
          </w:tcPr>
          <w:p w14:paraId="4374FDA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7A3352E4"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123</w:t>
            </w:r>
          </w:p>
        </w:tc>
        <w:tc>
          <w:tcPr>
            <w:tcW w:w="264" w:type="pct"/>
            <w:tcBorders>
              <w:top w:val="nil"/>
              <w:left w:val="nil"/>
              <w:bottom w:val="single" w:sz="4" w:space="0" w:color="auto"/>
              <w:right w:val="single" w:sz="4" w:space="0" w:color="auto"/>
            </w:tcBorders>
            <w:shd w:val="clear" w:color="auto" w:fill="auto"/>
            <w:vAlign w:val="center"/>
            <w:hideMark/>
          </w:tcPr>
          <w:p w14:paraId="1DFFFEA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00D7F51A"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3E976F46"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4DA1C89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lastRenderedPageBreak/>
              <w:t>29</w:t>
            </w:r>
          </w:p>
        </w:tc>
        <w:tc>
          <w:tcPr>
            <w:tcW w:w="853" w:type="pct"/>
            <w:tcBorders>
              <w:top w:val="nil"/>
              <w:left w:val="nil"/>
              <w:bottom w:val="single" w:sz="4" w:space="0" w:color="auto"/>
              <w:right w:val="single" w:sz="4" w:space="0" w:color="auto"/>
            </w:tcBorders>
            <w:shd w:val="clear" w:color="auto" w:fill="auto"/>
            <w:vAlign w:val="center"/>
            <w:hideMark/>
          </w:tcPr>
          <w:p w14:paraId="52999D4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Úradne osvedčenia príloh potrebných k žiadosti o udelenie povolenia</w:t>
            </w:r>
          </w:p>
        </w:tc>
        <w:tc>
          <w:tcPr>
            <w:tcW w:w="353" w:type="pct"/>
            <w:tcBorders>
              <w:top w:val="nil"/>
              <w:left w:val="nil"/>
              <w:bottom w:val="single" w:sz="4" w:space="0" w:color="auto"/>
              <w:right w:val="single" w:sz="4" w:space="0" w:color="auto"/>
            </w:tcBorders>
            <w:shd w:val="clear" w:color="auto" w:fill="auto"/>
            <w:vAlign w:val="center"/>
            <w:hideMark/>
          </w:tcPr>
          <w:p w14:paraId="6A3384C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5578E9C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28 ods. 5 písm. c) až e)</w:t>
            </w:r>
          </w:p>
        </w:tc>
        <w:tc>
          <w:tcPr>
            <w:tcW w:w="1132" w:type="pct"/>
            <w:tcBorders>
              <w:top w:val="nil"/>
              <w:left w:val="nil"/>
              <w:bottom w:val="single" w:sz="4" w:space="0" w:color="auto"/>
              <w:right w:val="single" w:sz="4" w:space="0" w:color="auto"/>
            </w:tcBorders>
            <w:shd w:val="clear" w:color="auto" w:fill="auto"/>
            <w:vAlign w:val="center"/>
            <w:hideMark/>
          </w:tcPr>
          <w:p w14:paraId="1AAC84C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676F97B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3F1B5EB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180E0853"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6D620A3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16</w:t>
            </w:r>
          </w:p>
        </w:tc>
        <w:tc>
          <w:tcPr>
            <w:tcW w:w="250" w:type="pct"/>
            <w:tcBorders>
              <w:top w:val="nil"/>
              <w:left w:val="nil"/>
              <w:bottom w:val="single" w:sz="4" w:space="0" w:color="auto"/>
              <w:right w:val="single" w:sz="4" w:space="0" w:color="auto"/>
            </w:tcBorders>
            <w:shd w:val="clear" w:color="auto" w:fill="auto"/>
            <w:vAlign w:val="center"/>
            <w:hideMark/>
          </w:tcPr>
          <w:p w14:paraId="652E539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48</w:t>
            </w:r>
          </w:p>
        </w:tc>
        <w:tc>
          <w:tcPr>
            <w:tcW w:w="357" w:type="pct"/>
            <w:tcBorders>
              <w:top w:val="nil"/>
              <w:left w:val="nil"/>
              <w:bottom w:val="single" w:sz="4" w:space="0" w:color="auto"/>
              <w:right w:val="single" w:sz="4" w:space="0" w:color="auto"/>
            </w:tcBorders>
            <w:shd w:val="clear" w:color="auto" w:fill="auto"/>
            <w:vAlign w:val="center"/>
            <w:hideMark/>
          </w:tcPr>
          <w:p w14:paraId="3D4AAF7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753929C3"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48</w:t>
            </w:r>
          </w:p>
        </w:tc>
        <w:tc>
          <w:tcPr>
            <w:tcW w:w="264" w:type="pct"/>
            <w:tcBorders>
              <w:top w:val="nil"/>
              <w:left w:val="nil"/>
              <w:bottom w:val="single" w:sz="4" w:space="0" w:color="auto"/>
              <w:right w:val="single" w:sz="4" w:space="0" w:color="auto"/>
            </w:tcBorders>
            <w:shd w:val="clear" w:color="auto" w:fill="auto"/>
            <w:vAlign w:val="center"/>
            <w:hideMark/>
          </w:tcPr>
          <w:p w14:paraId="2D04020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0DCE4E1D"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6F67E1B"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5294A7D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30</w:t>
            </w:r>
          </w:p>
        </w:tc>
        <w:tc>
          <w:tcPr>
            <w:tcW w:w="853" w:type="pct"/>
            <w:tcBorders>
              <w:top w:val="nil"/>
              <w:left w:val="nil"/>
              <w:bottom w:val="single" w:sz="4" w:space="0" w:color="auto"/>
              <w:right w:val="single" w:sz="4" w:space="0" w:color="auto"/>
            </w:tcBorders>
            <w:shd w:val="clear" w:color="auto" w:fill="auto"/>
            <w:vAlign w:val="center"/>
            <w:hideMark/>
          </w:tcPr>
          <w:p w14:paraId="2BF8EEE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Zápis veriteľa podľa § 25 ods. 1 písm. c) do Obchodného registra</w:t>
            </w:r>
          </w:p>
        </w:tc>
        <w:tc>
          <w:tcPr>
            <w:tcW w:w="353" w:type="pct"/>
            <w:tcBorders>
              <w:top w:val="nil"/>
              <w:left w:val="nil"/>
              <w:bottom w:val="single" w:sz="4" w:space="0" w:color="auto"/>
              <w:right w:val="single" w:sz="4" w:space="0" w:color="auto"/>
            </w:tcBorders>
            <w:shd w:val="clear" w:color="auto" w:fill="auto"/>
            <w:vAlign w:val="center"/>
            <w:hideMark/>
          </w:tcPr>
          <w:p w14:paraId="07F0F18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416F707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25 ods. 9</w:t>
            </w:r>
          </w:p>
        </w:tc>
        <w:tc>
          <w:tcPr>
            <w:tcW w:w="1132" w:type="pct"/>
            <w:tcBorders>
              <w:top w:val="nil"/>
              <w:left w:val="nil"/>
              <w:bottom w:val="single" w:sz="4" w:space="0" w:color="auto"/>
              <w:right w:val="single" w:sz="4" w:space="0" w:color="auto"/>
            </w:tcBorders>
            <w:shd w:val="clear" w:color="auto" w:fill="auto"/>
            <w:vAlign w:val="center"/>
            <w:hideMark/>
          </w:tcPr>
          <w:p w14:paraId="6B3A283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3125E5E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15F0B43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4E3D9244"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2B212C1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61</w:t>
            </w:r>
          </w:p>
        </w:tc>
        <w:tc>
          <w:tcPr>
            <w:tcW w:w="250" w:type="pct"/>
            <w:tcBorders>
              <w:top w:val="nil"/>
              <w:left w:val="nil"/>
              <w:bottom w:val="single" w:sz="4" w:space="0" w:color="auto"/>
              <w:right w:val="single" w:sz="4" w:space="0" w:color="auto"/>
            </w:tcBorders>
            <w:shd w:val="clear" w:color="auto" w:fill="auto"/>
            <w:vAlign w:val="center"/>
            <w:hideMark/>
          </w:tcPr>
          <w:p w14:paraId="32A4819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183</w:t>
            </w:r>
          </w:p>
        </w:tc>
        <w:tc>
          <w:tcPr>
            <w:tcW w:w="357" w:type="pct"/>
            <w:tcBorders>
              <w:top w:val="nil"/>
              <w:left w:val="nil"/>
              <w:bottom w:val="single" w:sz="4" w:space="0" w:color="auto"/>
              <w:right w:val="single" w:sz="4" w:space="0" w:color="auto"/>
            </w:tcBorders>
            <w:shd w:val="clear" w:color="auto" w:fill="auto"/>
            <w:vAlign w:val="center"/>
            <w:hideMark/>
          </w:tcPr>
          <w:p w14:paraId="6C0B2EA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040A99FD"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183</w:t>
            </w:r>
          </w:p>
        </w:tc>
        <w:tc>
          <w:tcPr>
            <w:tcW w:w="264" w:type="pct"/>
            <w:tcBorders>
              <w:top w:val="nil"/>
              <w:left w:val="nil"/>
              <w:bottom w:val="single" w:sz="4" w:space="0" w:color="auto"/>
              <w:right w:val="single" w:sz="4" w:space="0" w:color="auto"/>
            </w:tcBorders>
            <w:shd w:val="clear" w:color="auto" w:fill="auto"/>
            <w:vAlign w:val="center"/>
            <w:hideMark/>
          </w:tcPr>
          <w:p w14:paraId="25C22B3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24FFDE0E"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57F6781D"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39507C1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31</w:t>
            </w:r>
          </w:p>
        </w:tc>
        <w:tc>
          <w:tcPr>
            <w:tcW w:w="853" w:type="pct"/>
            <w:tcBorders>
              <w:top w:val="nil"/>
              <w:left w:val="nil"/>
              <w:bottom w:val="single" w:sz="4" w:space="0" w:color="auto"/>
              <w:right w:val="single" w:sz="4" w:space="0" w:color="auto"/>
            </w:tcBorders>
            <w:shd w:val="clear" w:color="auto" w:fill="auto"/>
            <w:vAlign w:val="center"/>
            <w:hideMark/>
          </w:tcPr>
          <w:p w14:paraId="5FB4831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Výpis z registra trestov zabezpečený NBS</w:t>
            </w:r>
          </w:p>
        </w:tc>
        <w:tc>
          <w:tcPr>
            <w:tcW w:w="353" w:type="pct"/>
            <w:tcBorders>
              <w:top w:val="nil"/>
              <w:left w:val="nil"/>
              <w:bottom w:val="single" w:sz="4" w:space="0" w:color="auto"/>
              <w:right w:val="single" w:sz="4" w:space="0" w:color="auto"/>
            </w:tcBorders>
            <w:shd w:val="clear" w:color="auto" w:fill="auto"/>
            <w:vAlign w:val="center"/>
            <w:hideMark/>
          </w:tcPr>
          <w:p w14:paraId="2B1637A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0E61551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28 ods. 5 písm. d)</w:t>
            </w:r>
          </w:p>
        </w:tc>
        <w:tc>
          <w:tcPr>
            <w:tcW w:w="1132" w:type="pct"/>
            <w:tcBorders>
              <w:top w:val="nil"/>
              <w:left w:val="nil"/>
              <w:bottom w:val="single" w:sz="4" w:space="0" w:color="auto"/>
              <w:right w:val="single" w:sz="4" w:space="0" w:color="auto"/>
            </w:tcBorders>
            <w:shd w:val="clear" w:color="auto" w:fill="auto"/>
            <w:vAlign w:val="center"/>
            <w:hideMark/>
          </w:tcPr>
          <w:p w14:paraId="470A03E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6644D01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78F0096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2BA48DDB"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62E2C64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14</w:t>
            </w:r>
          </w:p>
        </w:tc>
        <w:tc>
          <w:tcPr>
            <w:tcW w:w="250" w:type="pct"/>
            <w:tcBorders>
              <w:top w:val="nil"/>
              <w:left w:val="nil"/>
              <w:bottom w:val="single" w:sz="4" w:space="0" w:color="auto"/>
              <w:right w:val="single" w:sz="4" w:space="0" w:color="auto"/>
            </w:tcBorders>
            <w:shd w:val="clear" w:color="auto" w:fill="auto"/>
            <w:vAlign w:val="center"/>
            <w:hideMark/>
          </w:tcPr>
          <w:p w14:paraId="30DD62B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42</w:t>
            </w:r>
          </w:p>
        </w:tc>
        <w:tc>
          <w:tcPr>
            <w:tcW w:w="357" w:type="pct"/>
            <w:tcBorders>
              <w:top w:val="nil"/>
              <w:left w:val="nil"/>
              <w:bottom w:val="single" w:sz="4" w:space="0" w:color="auto"/>
              <w:right w:val="single" w:sz="4" w:space="0" w:color="auto"/>
            </w:tcBorders>
            <w:shd w:val="clear" w:color="auto" w:fill="auto"/>
            <w:vAlign w:val="center"/>
            <w:hideMark/>
          </w:tcPr>
          <w:p w14:paraId="3820E6E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Out (znižuje náklady)</w:t>
            </w:r>
          </w:p>
        </w:tc>
        <w:tc>
          <w:tcPr>
            <w:tcW w:w="357" w:type="pct"/>
            <w:tcBorders>
              <w:top w:val="nil"/>
              <w:left w:val="nil"/>
              <w:bottom w:val="single" w:sz="4" w:space="0" w:color="auto"/>
              <w:right w:val="single" w:sz="4" w:space="0" w:color="auto"/>
            </w:tcBorders>
            <w:shd w:val="clear" w:color="auto" w:fill="auto"/>
            <w:vAlign w:val="center"/>
            <w:hideMark/>
          </w:tcPr>
          <w:p w14:paraId="61477014"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42</w:t>
            </w:r>
          </w:p>
        </w:tc>
        <w:tc>
          <w:tcPr>
            <w:tcW w:w="264" w:type="pct"/>
            <w:tcBorders>
              <w:top w:val="nil"/>
              <w:left w:val="nil"/>
              <w:bottom w:val="single" w:sz="4" w:space="0" w:color="auto"/>
              <w:right w:val="single" w:sz="4" w:space="0" w:color="auto"/>
            </w:tcBorders>
            <w:shd w:val="clear" w:color="auto" w:fill="auto"/>
            <w:vAlign w:val="center"/>
            <w:hideMark/>
          </w:tcPr>
          <w:p w14:paraId="0CA39DA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7BE33F0B"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1466D214"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256AD8C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32</w:t>
            </w:r>
          </w:p>
        </w:tc>
        <w:tc>
          <w:tcPr>
            <w:tcW w:w="853" w:type="pct"/>
            <w:tcBorders>
              <w:top w:val="nil"/>
              <w:left w:val="nil"/>
              <w:bottom w:val="single" w:sz="4" w:space="0" w:color="auto"/>
              <w:right w:val="single" w:sz="4" w:space="0" w:color="auto"/>
            </w:tcBorders>
            <w:shd w:val="clear" w:color="auto" w:fill="auto"/>
            <w:vAlign w:val="center"/>
            <w:hideMark/>
          </w:tcPr>
          <w:p w14:paraId="0F0A7DB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Vytvorenie štruktúry zamestnancov zodpovedných za poskytovanie spotrebiteľských úverov</w:t>
            </w:r>
          </w:p>
        </w:tc>
        <w:tc>
          <w:tcPr>
            <w:tcW w:w="353" w:type="pct"/>
            <w:tcBorders>
              <w:top w:val="nil"/>
              <w:left w:val="nil"/>
              <w:bottom w:val="single" w:sz="4" w:space="0" w:color="auto"/>
              <w:right w:val="single" w:sz="4" w:space="0" w:color="auto"/>
            </w:tcBorders>
            <w:shd w:val="clear" w:color="auto" w:fill="auto"/>
            <w:vAlign w:val="center"/>
            <w:hideMark/>
          </w:tcPr>
          <w:p w14:paraId="2085BD4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45BA566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28</w:t>
            </w:r>
          </w:p>
        </w:tc>
        <w:tc>
          <w:tcPr>
            <w:tcW w:w="1132" w:type="pct"/>
            <w:tcBorders>
              <w:top w:val="nil"/>
              <w:left w:val="nil"/>
              <w:bottom w:val="single" w:sz="4" w:space="0" w:color="auto"/>
              <w:right w:val="single" w:sz="4" w:space="0" w:color="auto"/>
            </w:tcBorders>
            <w:shd w:val="clear" w:color="auto" w:fill="auto"/>
            <w:vAlign w:val="center"/>
            <w:hideMark/>
          </w:tcPr>
          <w:p w14:paraId="1891ADE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27C9FDE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0B1EE94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3BE81884"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520163F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1 294</w:t>
            </w:r>
          </w:p>
        </w:tc>
        <w:tc>
          <w:tcPr>
            <w:tcW w:w="250" w:type="pct"/>
            <w:tcBorders>
              <w:top w:val="nil"/>
              <w:left w:val="nil"/>
              <w:bottom w:val="single" w:sz="4" w:space="0" w:color="auto"/>
              <w:right w:val="single" w:sz="4" w:space="0" w:color="auto"/>
            </w:tcBorders>
            <w:shd w:val="clear" w:color="auto" w:fill="auto"/>
            <w:vAlign w:val="center"/>
            <w:hideMark/>
          </w:tcPr>
          <w:p w14:paraId="1A6580D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3 882</w:t>
            </w:r>
          </w:p>
        </w:tc>
        <w:tc>
          <w:tcPr>
            <w:tcW w:w="357" w:type="pct"/>
            <w:tcBorders>
              <w:top w:val="nil"/>
              <w:left w:val="nil"/>
              <w:bottom w:val="single" w:sz="4" w:space="0" w:color="auto"/>
              <w:right w:val="single" w:sz="4" w:space="0" w:color="auto"/>
            </w:tcBorders>
            <w:shd w:val="clear" w:color="auto" w:fill="auto"/>
            <w:vAlign w:val="center"/>
            <w:hideMark/>
          </w:tcPr>
          <w:p w14:paraId="430C2D6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45363024"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3 882</w:t>
            </w:r>
          </w:p>
        </w:tc>
        <w:tc>
          <w:tcPr>
            <w:tcW w:w="264" w:type="pct"/>
            <w:tcBorders>
              <w:top w:val="nil"/>
              <w:left w:val="nil"/>
              <w:bottom w:val="single" w:sz="4" w:space="0" w:color="auto"/>
              <w:right w:val="single" w:sz="4" w:space="0" w:color="auto"/>
            </w:tcBorders>
            <w:shd w:val="clear" w:color="auto" w:fill="auto"/>
            <w:vAlign w:val="center"/>
            <w:hideMark/>
          </w:tcPr>
          <w:p w14:paraId="4AE1B49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4FDAB537"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56D79D2F"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47960D9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33</w:t>
            </w:r>
          </w:p>
        </w:tc>
        <w:tc>
          <w:tcPr>
            <w:tcW w:w="853" w:type="pct"/>
            <w:tcBorders>
              <w:top w:val="nil"/>
              <w:left w:val="nil"/>
              <w:bottom w:val="single" w:sz="4" w:space="0" w:color="auto"/>
              <w:right w:val="single" w:sz="4" w:space="0" w:color="auto"/>
            </w:tcBorders>
            <w:shd w:val="clear" w:color="auto" w:fill="auto"/>
            <w:vAlign w:val="center"/>
            <w:hideMark/>
          </w:tcPr>
          <w:p w14:paraId="6294999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Registrácia finančných agentov u veriteľa podľa § 25 ods. 1 písm. c)</w:t>
            </w:r>
          </w:p>
        </w:tc>
        <w:tc>
          <w:tcPr>
            <w:tcW w:w="353" w:type="pct"/>
            <w:tcBorders>
              <w:top w:val="nil"/>
              <w:left w:val="nil"/>
              <w:bottom w:val="single" w:sz="4" w:space="0" w:color="auto"/>
              <w:right w:val="single" w:sz="4" w:space="0" w:color="auto"/>
            </w:tcBorders>
            <w:shd w:val="clear" w:color="auto" w:fill="auto"/>
            <w:vAlign w:val="center"/>
            <w:hideMark/>
          </w:tcPr>
          <w:p w14:paraId="79D5557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083C18F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28</w:t>
            </w:r>
          </w:p>
        </w:tc>
        <w:tc>
          <w:tcPr>
            <w:tcW w:w="1132" w:type="pct"/>
            <w:tcBorders>
              <w:top w:val="nil"/>
              <w:left w:val="nil"/>
              <w:bottom w:val="single" w:sz="4" w:space="0" w:color="auto"/>
              <w:right w:val="single" w:sz="4" w:space="0" w:color="auto"/>
            </w:tcBorders>
            <w:shd w:val="clear" w:color="auto" w:fill="auto"/>
            <w:vAlign w:val="center"/>
            <w:hideMark/>
          </w:tcPr>
          <w:p w14:paraId="049561E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71DA26B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590C637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finančný agent</w:t>
            </w:r>
          </w:p>
        </w:tc>
        <w:tc>
          <w:tcPr>
            <w:tcW w:w="204" w:type="pct"/>
            <w:tcBorders>
              <w:top w:val="nil"/>
              <w:left w:val="nil"/>
              <w:bottom w:val="single" w:sz="4" w:space="0" w:color="auto"/>
              <w:right w:val="single" w:sz="4" w:space="0" w:color="auto"/>
            </w:tcBorders>
            <w:shd w:val="clear" w:color="auto" w:fill="auto"/>
            <w:vAlign w:val="center"/>
            <w:hideMark/>
          </w:tcPr>
          <w:p w14:paraId="4B4FD6F8"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900 </w:t>
            </w:r>
          </w:p>
        </w:tc>
        <w:tc>
          <w:tcPr>
            <w:tcW w:w="225" w:type="pct"/>
            <w:tcBorders>
              <w:top w:val="nil"/>
              <w:left w:val="nil"/>
              <w:bottom w:val="single" w:sz="4" w:space="0" w:color="auto"/>
              <w:right w:val="single" w:sz="4" w:space="0" w:color="auto"/>
            </w:tcBorders>
            <w:shd w:val="clear" w:color="auto" w:fill="auto"/>
            <w:vAlign w:val="center"/>
            <w:hideMark/>
          </w:tcPr>
          <w:p w14:paraId="50F6B7A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41</w:t>
            </w:r>
          </w:p>
        </w:tc>
        <w:tc>
          <w:tcPr>
            <w:tcW w:w="250" w:type="pct"/>
            <w:tcBorders>
              <w:top w:val="nil"/>
              <w:left w:val="nil"/>
              <w:bottom w:val="single" w:sz="4" w:space="0" w:color="auto"/>
              <w:right w:val="single" w:sz="4" w:space="0" w:color="auto"/>
            </w:tcBorders>
            <w:shd w:val="clear" w:color="auto" w:fill="auto"/>
            <w:vAlign w:val="center"/>
            <w:hideMark/>
          </w:tcPr>
          <w:p w14:paraId="23F0F13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36 486</w:t>
            </w:r>
          </w:p>
        </w:tc>
        <w:tc>
          <w:tcPr>
            <w:tcW w:w="357" w:type="pct"/>
            <w:tcBorders>
              <w:top w:val="nil"/>
              <w:left w:val="nil"/>
              <w:bottom w:val="single" w:sz="4" w:space="0" w:color="auto"/>
              <w:right w:val="single" w:sz="4" w:space="0" w:color="auto"/>
            </w:tcBorders>
            <w:shd w:val="clear" w:color="auto" w:fill="auto"/>
            <w:vAlign w:val="center"/>
            <w:hideMark/>
          </w:tcPr>
          <w:p w14:paraId="6D62998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7AA7D17C"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36 486</w:t>
            </w:r>
          </w:p>
        </w:tc>
        <w:tc>
          <w:tcPr>
            <w:tcW w:w="264" w:type="pct"/>
            <w:tcBorders>
              <w:top w:val="nil"/>
              <w:left w:val="nil"/>
              <w:bottom w:val="single" w:sz="4" w:space="0" w:color="auto"/>
              <w:right w:val="single" w:sz="4" w:space="0" w:color="auto"/>
            </w:tcBorders>
            <w:shd w:val="clear" w:color="auto" w:fill="auto"/>
            <w:vAlign w:val="center"/>
            <w:hideMark/>
          </w:tcPr>
          <w:p w14:paraId="131C8A5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48F41508"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D2A5E21"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28B606A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34</w:t>
            </w:r>
          </w:p>
        </w:tc>
        <w:tc>
          <w:tcPr>
            <w:tcW w:w="853" w:type="pct"/>
            <w:tcBorders>
              <w:top w:val="nil"/>
              <w:left w:val="nil"/>
              <w:bottom w:val="single" w:sz="4" w:space="0" w:color="auto"/>
              <w:right w:val="single" w:sz="4" w:space="0" w:color="auto"/>
            </w:tcBorders>
            <w:shd w:val="clear" w:color="auto" w:fill="auto"/>
            <w:vAlign w:val="center"/>
            <w:hideMark/>
          </w:tcPr>
          <w:p w14:paraId="6A29910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Predkladanie výkazov, hlásení, správ a iných informácií NBS veriteľom podľa § 25 ods. 1 písm. c)</w:t>
            </w:r>
          </w:p>
        </w:tc>
        <w:tc>
          <w:tcPr>
            <w:tcW w:w="353" w:type="pct"/>
            <w:tcBorders>
              <w:top w:val="nil"/>
              <w:left w:val="nil"/>
              <w:bottom w:val="single" w:sz="4" w:space="0" w:color="auto"/>
              <w:right w:val="single" w:sz="4" w:space="0" w:color="auto"/>
            </w:tcBorders>
            <w:shd w:val="clear" w:color="auto" w:fill="auto"/>
            <w:vAlign w:val="center"/>
            <w:hideMark/>
          </w:tcPr>
          <w:p w14:paraId="57AC9B8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13D7141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34</w:t>
            </w:r>
          </w:p>
        </w:tc>
        <w:tc>
          <w:tcPr>
            <w:tcW w:w="1132" w:type="pct"/>
            <w:tcBorders>
              <w:top w:val="nil"/>
              <w:left w:val="nil"/>
              <w:bottom w:val="single" w:sz="4" w:space="0" w:color="auto"/>
              <w:right w:val="single" w:sz="4" w:space="0" w:color="auto"/>
            </w:tcBorders>
            <w:shd w:val="clear" w:color="auto" w:fill="auto"/>
            <w:vAlign w:val="center"/>
            <w:hideMark/>
          </w:tcPr>
          <w:p w14:paraId="3D2A508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1B5F4DC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32371712"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067CD03B"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7D4D0DD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91</w:t>
            </w:r>
          </w:p>
        </w:tc>
        <w:tc>
          <w:tcPr>
            <w:tcW w:w="250" w:type="pct"/>
            <w:tcBorders>
              <w:top w:val="nil"/>
              <w:left w:val="nil"/>
              <w:bottom w:val="single" w:sz="4" w:space="0" w:color="auto"/>
              <w:right w:val="single" w:sz="4" w:space="0" w:color="auto"/>
            </w:tcBorders>
            <w:shd w:val="clear" w:color="auto" w:fill="auto"/>
            <w:vAlign w:val="center"/>
            <w:hideMark/>
          </w:tcPr>
          <w:p w14:paraId="101A04D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274</w:t>
            </w:r>
          </w:p>
        </w:tc>
        <w:tc>
          <w:tcPr>
            <w:tcW w:w="357" w:type="pct"/>
            <w:tcBorders>
              <w:top w:val="nil"/>
              <w:left w:val="nil"/>
              <w:bottom w:val="single" w:sz="4" w:space="0" w:color="auto"/>
              <w:right w:val="single" w:sz="4" w:space="0" w:color="auto"/>
            </w:tcBorders>
            <w:shd w:val="clear" w:color="auto" w:fill="auto"/>
            <w:vAlign w:val="center"/>
            <w:hideMark/>
          </w:tcPr>
          <w:p w14:paraId="5137B9D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61E146DE"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274</w:t>
            </w:r>
          </w:p>
        </w:tc>
        <w:tc>
          <w:tcPr>
            <w:tcW w:w="264" w:type="pct"/>
            <w:tcBorders>
              <w:top w:val="nil"/>
              <w:left w:val="nil"/>
              <w:bottom w:val="single" w:sz="4" w:space="0" w:color="auto"/>
              <w:right w:val="single" w:sz="4" w:space="0" w:color="auto"/>
            </w:tcBorders>
            <w:shd w:val="clear" w:color="auto" w:fill="auto"/>
            <w:vAlign w:val="center"/>
            <w:hideMark/>
          </w:tcPr>
          <w:p w14:paraId="1A68A3B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3B5D80FE"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4CB79B9"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2D69C0E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35</w:t>
            </w:r>
          </w:p>
        </w:tc>
        <w:tc>
          <w:tcPr>
            <w:tcW w:w="853" w:type="pct"/>
            <w:tcBorders>
              <w:top w:val="nil"/>
              <w:left w:val="nil"/>
              <w:bottom w:val="single" w:sz="4" w:space="0" w:color="auto"/>
              <w:right w:val="single" w:sz="4" w:space="0" w:color="auto"/>
            </w:tcBorders>
            <w:shd w:val="clear" w:color="auto" w:fill="auto"/>
            <w:vAlign w:val="center"/>
            <w:hideMark/>
          </w:tcPr>
          <w:p w14:paraId="4D1A182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Predkladanie údajov o novoposkytnutých a poskytnutých spotrebiteľských úveroch </w:t>
            </w:r>
            <w:r w:rsidRPr="00F819B4">
              <w:rPr>
                <w:rFonts w:ascii="Times New Roman" w:eastAsia="Times New Roman" w:hAnsi="Times New Roman" w:cs="Times New Roman"/>
                <w:color w:val="000000"/>
                <w:sz w:val="20"/>
                <w:szCs w:val="20"/>
                <w:lang w:eastAsia="sk-SK"/>
              </w:rPr>
              <w:lastRenderedPageBreak/>
              <w:t>veriteľom podľa § 25 ods. 1 písm. c)</w:t>
            </w:r>
          </w:p>
        </w:tc>
        <w:tc>
          <w:tcPr>
            <w:tcW w:w="353" w:type="pct"/>
            <w:tcBorders>
              <w:top w:val="nil"/>
              <w:left w:val="nil"/>
              <w:bottom w:val="single" w:sz="4" w:space="0" w:color="auto"/>
              <w:right w:val="single" w:sz="4" w:space="0" w:color="auto"/>
            </w:tcBorders>
            <w:shd w:val="clear" w:color="auto" w:fill="auto"/>
            <w:vAlign w:val="center"/>
            <w:hideMark/>
          </w:tcPr>
          <w:p w14:paraId="7D1CD5B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lastRenderedPageBreak/>
              <w:t>návrh zákona</w:t>
            </w:r>
          </w:p>
        </w:tc>
        <w:tc>
          <w:tcPr>
            <w:tcW w:w="354" w:type="pct"/>
            <w:tcBorders>
              <w:top w:val="nil"/>
              <w:left w:val="nil"/>
              <w:bottom w:val="single" w:sz="4" w:space="0" w:color="auto"/>
              <w:right w:val="single" w:sz="4" w:space="0" w:color="auto"/>
            </w:tcBorders>
            <w:shd w:val="clear" w:color="auto" w:fill="auto"/>
            <w:vAlign w:val="center"/>
            <w:hideMark/>
          </w:tcPr>
          <w:p w14:paraId="5640005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33</w:t>
            </w:r>
          </w:p>
        </w:tc>
        <w:tc>
          <w:tcPr>
            <w:tcW w:w="1132" w:type="pct"/>
            <w:tcBorders>
              <w:top w:val="nil"/>
              <w:left w:val="nil"/>
              <w:bottom w:val="single" w:sz="4" w:space="0" w:color="auto"/>
              <w:right w:val="single" w:sz="4" w:space="0" w:color="auto"/>
            </w:tcBorders>
            <w:shd w:val="clear" w:color="auto" w:fill="auto"/>
            <w:vAlign w:val="center"/>
            <w:hideMark/>
          </w:tcPr>
          <w:p w14:paraId="7059ACE5"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3B4ABC3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3D242B2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2F9768F5"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5EA23BE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365</w:t>
            </w:r>
          </w:p>
        </w:tc>
        <w:tc>
          <w:tcPr>
            <w:tcW w:w="250" w:type="pct"/>
            <w:tcBorders>
              <w:top w:val="nil"/>
              <w:left w:val="nil"/>
              <w:bottom w:val="single" w:sz="4" w:space="0" w:color="auto"/>
              <w:right w:val="single" w:sz="4" w:space="0" w:color="auto"/>
            </w:tcBorders>
            <w:shd w:val="clear" w:color="auto" w:fill="auto"/>
            <w:vAlign w:val="center"/>
            <w:hideMark/>
          </w:tcPr>
          <w:p w14:paraId="10E19A10"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1 096</w:t>
            </w:r>
          </w:p>
        </w:tc>
        <w:tc>
          <w:tcPr>
            <w:tcW w:w="357" w:type="pct"/>
            <w:tcBorders>
              <w:top w:val="nil"/>
              <w:left w:val="nil"/>
              <w:bottom w:val="single" w:sz="4" w:space="0" w:color="auto"/>
              <w:right w:val="single" w:sz="4" w:space="0" w:color="auto"/>
            </w:tcBorders>
            <w:shd w:val="clear" w:color="auto" w:fill="auto"/>
            <w:vAlign w:val="center"/>
            <w:hideMark/>
          </w:tcPr>
          <w:p w14:paraId="39E01CA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65B8C98D"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1 096</w:t>
            </w:r>
          </w:p>
        </w:tc>
        <w:tc>
          <w:tcPr>
            <w:tcW w:w="264" w:type="pct"/>
            <w:tcBorders>
              <w:top w:val="nil"/>
              <w:left w:val="nil"/>
              <w:bottom w:val="single" w:sz="4" w:space="0" w:color="auto"/>
              <w:right w:val="single" w:sz="4" w:space="0" w:color="auto"/>
            </w:tcBorders>
            <w:shd w:val="clear" w:color="auto" w:fill="auto"/>
            <w:vAlign w:val="center"/>
            <w:hideMark/>
          </w:tcPr>
          <w:p w14:paraId="7D19029B"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4385F316"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070CDF27"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0D0962C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36</w:t>
            </w:r>
          </w:p>
        </w:tc>
        <w:tc>
          <w:tcPr>
            <w:tcW w:w="853" w:type="pct"/>
            <w:tcBorders>
              <w:top w:val="nil"/>
              <w:left w:val="nil"/>
              <w:bottom w:val="single" w:sz="4" w:space="0" w:color="auto"/>
              <w:right w:val="single" w:sz="4" w:space="0" w:color="auto"/>
            </w:tcBorders>
            <w:shd w:val="clear" w:color="auto" w:fill="auto"/>
            <w:vAlign w:val="center"/>
            <w:hideMark/>
          </w:tcPr>
          <w:p w14:paraId="3C20664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Zavedenie evidencie a účtovníctva o spotrebiteľských úveroch u veriteľa podľa § 25 ods. 1 písm. c)</w:t>
            </w:r>
          </w:p>
        </w:tc>
        <w:tc>
          <w:tcPr>
            <w:tcW w:w="353" w:type="pct"/>
            <w:tcBorders>
              <w:top w:val="nil"/>
              <w:left w:val="nil"/>
              <w:bottom w:val="single" w:sz="4" w:space="0" w:color="auto"/>
              <w:right w:val="single" w:sz="4" w:space="0" w:color="auto"/>
            </w:tcBorders>
            <w:shd w:val="clear" w:color="auto" w:fill="auto"/>
            <w:vAlign w:val="center"/>
            <w:hideMark/>
          </w:tcPr>
          <w:p w14:paraId="4201A6A3"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54628F0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31</w:t>
            </w:r>
          </w:p>
        </w:tc>
        <w:tc>
          <w:tcPr>
            <w:tcW w:w="1132" w:type="pct"/>
            <w:tcBorders>
              <w:top w:val="nil"/>
              <w:left w:val="nil"/>
              <w:bottom w:val="single" w:sz="4" w:space="0" w:color="auto"/>
              <w:right w:val="single" w:sz="4" w:space="0" w:color="auto"/>
            </w:tcBorders>
            <w:shd w:val="clear" w:color="auto" w:fill="auto"/>
            <w:vAlign w:val="center"/>
            <w:hideMark/>
          </w:tcPr>
          <w:p w14:paraId="6417161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64B7D39C"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7B3E04A6"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1545539C"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1FA5528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1 303</w:t>
            </w:r>
          </w:p>
        </w:tc>
        <w:tc>
          <w:tcPr>
            <w:tcW w:w="250" w:type="pct"/>
            <w:tcBorders>
              <w:top w:val="nil"/>
              <w:left w:val="nil"/>
              <w:bottom w:val="single" w:sz="4" w:space="0" w:color="auto"/>
              <w:right w:val="single" w:sz="4" w:space="0" w:color="auto"/>
            </w:tcBorders>
            <w:shd w:val="clear" w:color="auto" w:fill="auto"/>
            <w:vAlign w:val="center"/>
            <w:hideMark/>
          </w:tcPr>
          <w:p w14:paraId="245BCA2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3 910</w:t>
            </w:r>
          </w:p>
        </w:tc>
        <w:tc>
          <w:tcPr>
            <w:tcW w:w="357" w:type="pct"/>
            <w:tcBorders>
              <w:top w:val="nil"/>
              <w:left w:val="nil"/>
              <w:bottom w:val="single" w:sz="4" w:space="0" w:color="auto"/>
              <w:right w:val="single" w:sz="4" w:space="0" w:color="auto"/>
            </w:tcBorders>
            <w:shd w:val="clear" w:color="auto" w:fill="auto"/>
            <w:vAlign w:val="center"/>
            <w:hideMark/>
          </w:tcPr>
          <w:p w14:paraId="70661998"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17F0D29C"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3 910</w:t>
            </w:r>
          </w:p>
        </w:tc>
        <w:tc>
          <w:tcPr>
            <w:tcW w:w="264" w:type="pct"/>
            <w:tcBorders>
              <w:top w:val="nil"/>
              <w:left w:val="nil"/>
              <w:bottom w:val="single" w:sz="4" w:space="0" w:color="auto"/>
              <w:right w:val="single" w:sz="4" w:space="0" w:color="auto"/>
            </w:tcBorders>
            <w:shd w:val="clear" w:color="auto" w:fill="auto"/>
            <w:vAlign w:val="center"/>
            <w:hideMark/>
          </w:tcPr>
          <w:p w14:paraId="0CCC5DDA"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173929FF"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r w:rsidR="00F819B4" w:rsidRPr="00F819B4" w14:paraId="56256970" w14:textId="77777777" w:rsidTr="00F819B4">
        <w:trPr>
          <w:trHeight w:val="278"/>
        </w:trPr>
        <w:tc>
          <w:tcPr>
            <w:tcW w:w="169" w:type="pct"/>
            <w:tcBorders>
              <w:top w:val="nil"/>
              <w:left w:val="single" w:sz="4" w:space="0" w:color="auto"/>
              <w:bottom w:val="single" w:sz="4" w:space="0" w:color="auto"/>
              <w:right w:val="single" w:sz="4" w:space="0" w:color="auto"/>
            </w:tcBorders>
            <w:shd w:val="clear" w:color="auto" w:fill="auto"/>
            <w:vAlign w:val="center"/>
            <w:hideMark/>
          </w:tcPr>
          <w:p w14:paraId="13D98189"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37</w:t>
            </w:r>
          </w:p>
        </w:tc>
        <w:tc>
          <w:tcPr>
            <w:tcW w:w="853" w:type="pct"/>
            <w:tcBorders>
              <w:top w:val="nil"/>
              <w:left w:val="nil"/>
              <w:bottom w:val="single" w:sz="4" w:space="0" w:color="auto"/>
              <w:right w:val="single" w:sz="4" w:space="0" w:color="auto"/>
            </w:tcBorders>
            <w:shd w:val="clear" w:color="auto" w:fill="auto"/>
            <w:vAlign w:val="center"/>
            <w:hideMark/>
          </w:tcPr>
          <w:p w14:paraId="1A4B183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Administratíva a náklady na vybavovanie reklamácií u veriteľa podľa § 25 ods. 1 písm. c)</w:t>
            </w:r>
          </w:p>
        </w:tc>
        <w:tc>
          <w:tcPr>
            <w:tcW w:w="353" w:type="pct"/>
            <w:tcBorders>
              <w:top w:val="nil"/>
              <w:left w:val="nil"/>
              <w:bottom w:val="single" w:sz="4" w:space="0" w:color="auto"/>
              <w:right w:val="single" w:sz="4" w:space="0" w:color="auto"/>
            </w:tcBorders>
            <w:shd w:val="clear" w:color="auto" w:fill="auto"/>
            <w:vAlign w:val="center"/>
            <w:hideMark/>
          </w:tcPr>
          <w:p w14:paraId="4DEDFA8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návrh zákona</w:t>
            </w:r>
          </w:p>
        </w:tc>
        <w:tc>
          <w:tcPr>
            <w:tcW w:w="354" w:type="pct"/>
            <w:tcBorders>
              <w:top w:val="nil"/>
              <w:left w:val="nil"/>
              <w:bottom w:val="single" w:sz="4" w:space="0" w:color="auto"/>
              <w:right w:val="single" w:sz="4" w:space="0" w:color="auto"/>
            </w:tcBorders>
            <w:shd w:val="clear" w:color="auto" w:fill="auto"/>
            <w:vAlign w:val="center"/>
            <w:hideMark/>
          </w:tcPr>
          <w:p w14:paraId="3DB2195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50</w:t>
            </w:r>
          </w:p>
        </w:tc>
        <w:tc>
          <w:tcPr>
            <w:tcW w:w="1132" w:type="pct"/>
            <w:tcBorders>
              <w:top w:val="nil"/>
              <w:left w:val="nil"/>
              <w:bottom w:val="single" w:sz="4" w:space="0" w:color="auto"/>
              <w:right w:val="single" w:sz="4" w:space="0" w:color="auto"/>
            </w:tcBorders>
            <w:shd w:val="clear" w:color="auto" w:fill="auto"/>
            <w:vAlign w:val="center"/>
            <w:hideMark/>
          </w:tcPr>
          <w:p w14:paraId="7482ECD4"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1.SK</w:t>
            </w:r>
          </w:p>
        </w:tc>
        <w:tc>
          <w:tcPr>
            <w:tcW w:w="189" w:type="pct"/>
            <w:tcBorders>
              <w:top w:val="nil"/>
              <w:left w:val="nil"/>
              <w:bottom w:val="single" w:sz="4" w:space="0" w:color="auto"/>
              <w:right w:val="single" w:sz="4" w:space="0" w:color="auto"/>
            </w:tcBorders>
            <w:shd w:val="clear" w:color="auto" w:fill="auto"/>
            <w:vAlign w:val="center"/>
            <w:hideMark/>
          </w:tcPr>
          <w:p w14:paraId="5DC47321"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20.11.26</w:t>
            </w:r>
          </w:p>
        </w:tc>
        <w:tc>
          <w:tcPr>
            <w:tcW w:w="265" w:type="pct"/>
            <w:tcBorders>
              <w:top w:val="nil"/>
              <w:left w:val="nil"/>
              <w:bottom w:val="single" w:sz="4" w:space="0" w:color="auto"/>
              <w:right w:val="single" w:sz="4" w:space="0" w:color="auto"/>
            </w:tcBorders>
            <w:shd w:val="clear" w:color="auto" w:fill="auto"/>
            <w:vAlign w:val="center"/>
            <w:hideMark/>
          </w:tcPr>
          <w:p w14:paraId="5481AB6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veriteľ podľa § 25 ods. 1 písm. c)</w:t>
            </w:r>
          </w:p>
        </w:tc>
        <w:tc>
          <w:tcPr>
            <w:tcW w:w="204" w:type="pct"/>
            <w:tcBorders>
              <w:top w:val="nil"/>
              <w:left w:val="nil"/>
              <w:bottom w:val="single" w:sz="4" w:space="0" w:color="auto"/>
              <w:right w:val="single" w:sz="4" w:space="0" w:color="auto"/>
            </w:tcBorders>
            <w:shd w:val="clear" w:color="auto" w:fill="auto"/>
            <w:vAlign w:val="center"/>
            <w:hideMark/>
          </w:tcPr>
          <w:p w14:paraId="0D997646" w14:textId="77777777" w:rsidR="00F819B4" w:rsidRPr="00F819B4" w:rsidRDefault="00F819B4" w:rsidP="00F819B4">
            <w:pPr>
              <w:spacing w:after="0" w:line="240" w:lineRule="auto"/>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 xml:space="preserve">                   3 </w:t>
            </w:r>
          </w:p>
        </w:tc>
        <w:tc>
          <w:tcPr>
            <w:tcW w:w="225" w:type="pct"/>
            <w:tcBorders>
              <w:top w:val="nil"/>
              <w:left w:val="nil"/>
              <w:bottom w:val="single" w:sz="4" w:space="0" w:color="auto"/>
              <w:right w:val="single" w:sz="4" w:space="0" w:color="auto"/>
            </w:tcBorders>
            <w:shd w:val="clear" w:color="auto" w:fill="auto"/>
            <w:vAlign w:val="center"/>
            <w:hideMark/>
          </w:tcPr>
          <w:p w14:paraId="535B0577"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61 461</w:t>
            </w:r>
          </w:p>
        </w:tc>
        <w:tc>
          <w:tcPr>
            <w:tcW w:w="250" w:type="pct"/>
            <w:tcBorders>
              <w:top w:val="nil"/>
              <w:left w:val="nil"/>
              <w:bottom w:val="single" w:sz="4" w:space="0" w:color="auto"/>
              <w:right w:val="single" w:sz="4" w:space="0" w:color="auto"/>
            </w:tcBorders>
            <w:shd w:val="clear" w:color="auto" w:fill="auto"/>
            <w:vAlign w:val="center"/>
            <w:hideMark/>
          </w:tcPr>
          <w:p w14:paraId="65ED7C3F"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184 382</w:t>
            </w:r>
          </w:p>
        </w:tc>
        <w:tc>
          <w:tcPr>
            <w:tcW w:w="357" w:type="pct"/>
            <w:tcBorders>
              <w:top w:val="nil"/>
              <w:left w:val="nil"/>
              <w:bottom w:val="single" w:sz="4" w:space="0" w:color="auto"/>
              <w:right w:val="single" w:sz="4" w:space="0" w:color="auto"/>
            </w:tcBorders>
            <w:shd w:val="clear" w:color="auto" w:fill="auto"/>
            <w:vAlign w:val="center"/>
            <w:hideMark/>
          </w:tcPr>
          <w:p w14:paraId="62C46ACE"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24424C96" w14:textId="77777777" w:rsidR="00F819B4" w:rsidRPr="00F819B4" w:rsidRDefault="00F819B4" w:rsidP="00F819B4">
            <w:pPr>
              <w:spacing w:after="0" w:line="240" w:lineRule="auto"/>
              <w:jc w:val="center"/>
              <w:rPr>
                <w:rFonts w:ascii="Times New Roman" w:eastAsia="Times New Roman" w:hAnsi="Times New Roman" w:cs="Times New Roman"/>
                <w:sz w:val="20"/>
                <w:szCs w:val="20"/>
                <w:lang w:eastAsia="sk-SK"/>
              </w:rPr>
            </w:pPr>
            <w:r w:rsidRPr="00F819B4">
              <w:rPr>
                <w:rFonts w:ascii="Times New Roman" w:eastAsia="Times New Roman" w:hAnsi="Times New Roman" w:cs="Times New Roman"/>
                <w:sz w:val="20"/>
                <w:szCs w:val="20"/>
                <w:lang w:eastAsia="sk-SK"/>
              </w:rPr>
              <w:t>184 382</w:t>
            </w:r>
          </w:p>
        </w:tc>
        <w:tc>
          <w:tcPr>
            <w:tcW w:w="264" w:type="pct"/>
            <w:tcBorders>
              <w:top w:val="nil"/>
              <w:left w:val="nil"/>
              <w:bottom w:val="single" w:sz="4" w:space="0" w:color="auto"/>
              <w:right w:val="single" w:sz="4" w:space="0" w:color="auto"/>
            </w:tcBorders>
            <w:shd w:val="clear" w:color="auto" w:fill="auto"/>
            <w:vAlign w:val="center"/>
            <w:hideMark/>
          </w:tcPr>
          <w:p w14:paraId="1E80D19D" w14:textId="77777777" w:rsidR="00F819B4" w:rsidRPr="00F819B4" w:rsidRDefault="00F819B4" w:rsidP="00F819B4">
            <w:pPr>
              <w:spacing w:after="0" w:line="240" w:lineRule="auto"/>
              <w:jc w:val="center"/>
              <w:rPr>
                <w:rFonts w:ascii="Times New Roman" w:eastAsia="Times New Roman" w:hAnsi="Times New Roman" w:cs="Times New Roman"/>
                <w:color w:val="000000"/>
                <w:sz w:val="20"/>
                <w:szCs w:val="20"/>
                <w:lang w:eastAsia="sk-SK"/>
              </w:rPr>
            </w:pPr>
            <w:r w:rsidRPr="00F819B4">
              <w:rPr>
                <w:rFonts w:ascii="Times New Roman" w:eastAsia="Times New Roman" w:hAnsi="Times New Roman" w:cs="Times New Roman"/>
                <w:color w:val="000000"/>
                <w:sz w:val="20"/>
                <w:szCs w:val="20"/>
                <w:lang w:eastAsia="sk-SK"/>
              </w:rPr>
              <w:t>0</w:t>
            </w:r>
          </w:p>
        </w:tc>
        <w:tc>
          <w:tcPr>
            <w:tcW w:w="28" w:type="pct"/>
            <w:vAlign w:val="center"/>
            <w:hideMark/>
          </w:tcPr>
          <w:p w14:paraId="4EF63393" w14:textId="77777777" w:rsidR="00F819B4" w:rsidRPr="00F819B4" w:rsidRDefault="00F819B4" w:rsidP="00F819B4">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4577C1" w:rsidRDefault="00054C41" w:rsidP="00054C41">
      <w:pPr>
        <w:jc w:val="both"/>
        <w:rPr>
          <w:rFonts w:ascii="Times New Roman" w:eastAsia="Calibri" w:hAnsi="Times New Roman" w:cs="Times New Roman"/>
          <w:i/>
        </w:rPr>
      </w:pPr>
    </w:p>
    <w:p w14:paraId="798179FB" w14:textId="3A949754" w:rsidR="00826D40" w:rsidRPr="004577C1" w:rsidRDefault="00826D40" w:rsidP="00054C41">
      <w:pPr>
        <w:jc w:val="both"/>
        <w:rPr>
          <w:rFonts w:ascii="Times New Roman" w:eastAsia="Calibri" w:hAnsi="Times New Roman" w:cs="Times New Roman"/>
          <w:b/>
          <w:bCs/>
          <w:i/>
          <w:sz w:val="24"/>
          <w:szCs w:val="24"/>
        </w:rPr>
      </w:pPr>
    </w:p>
    <w:p w14:paraId="4F588FE1" w14:textId="77777777" w:rsidR="00826D40" w:rsidRPr="004577C1" w:rsidRDefault="00826D40" w:rsidP="00826D40">
      <w:pPr>
        <w:rPr>
          <w:rFonts w:ascii="Times New Roman" w:eastAsia="Calibri" w:hAnsi="Times New Roman" w:cs="Times New Roman"/>
          <w:sz w:val="24"/>
          <w:szCs w:val="24"/>
        </w:rPr>
      </w:pPr>
    </w:p>
    <w:p w14:paraId="4466EB29" w14:textId="77777777" w:rsidR="00826D40" w:rsidRPr="004577C1" w:rsidRDefault="00826D40" w:rsidP="00826D40">
      <w:pPr>
        <w:rPr>
          <w:rFonts w:ascii="Times New Roman" w:eastAsia="Calibri" w:hAnsi="Times New Roman" w:cs="Times New Roman"/>
          <w:sz w:val="24"/>
          <w:szCs w:val="24"/>
        </w:rPr>
      </w:pPr>
    </w:p>
    <w:p w14:paraId="48B77F78" w14:textId="77777777" w:rsidR="00826D40" w:rsidRPr="004577C1" w:rsidRDefault="00826D40" w:rsidP="00826D40">
      <w:pPr>
        <w:rPr>
          <w:rFonts w:ascii="Times New Roman" w:eastAsia="Calibri" w:hAnsi="Times New Roman" w:cs="Times New Roman"/>
          <w:sz w:val="24"/>
          <w:szCs w:val="24"/>
        </w:rPr>
      </w:pPr>
    </w:p>
    <w:p w14:paraId="0949936E" w14:textId="778A6028" w:rsidR="00826D40" w:rsidRPr="004577C1" w:rsidRDefault="00826D40" w:rsidP="00AE4EC0">
      <w:pPr>
        <w:rPr>
          <w:rFonts w:ascii="Times New Roman" w:eastAsia="Calibri" w:hAnsi="Times New Roman" w:cs="Times New Roman"/>
          <w:sz w:val="24"/>
          <w:szCs w:val="24"/>
        </w:rPr>
      </w:pPr>
    </w:p>
    <w:p w14:paraId="44F2B298" w14:textId="068BCA6F" w:rsidR="00054C41" w:rsidRPr="004577C1" w:rsidRDefault="00054C41" w:rsidP="00826D40">
      <w:pPr>
        <w:rPr>
          <w:rFonts w:ascii="Times New Roman" w:eastAsia="Calibri" w:hAnsi="Times New Roman" w:cs="Times New Roman"/>
          <w:sz w:val="24"/>
          <w:szCs w:val="24"/>
        </w:rPr>
        <w:sectPr w:rsidR="00054C41" w:rsidRPr="004577C1" w:rsidSect="00142154">
          <w:pgSz w:w="16838" w:h="11906" w:orient="landscape"/>
          <w:pgMar w:top="1417" w:right="1417" w:bottom="1417" w:left="1417" w:header="708" w:footer="708" w:gutter="0"/>
          <w:cols w:space="708"/>
          <w:docGrid w:linePitch="360"/>
        </w:sectPr>
      </w:pPr>
    </w:p>
    <w:p w14:paraId="77318665" w14:textId="77777777" w:rsidR="00054C41" w:rsidRPr="004577C1" w:rsidRDefault="00511F8F" w:rsidP="00054C41">
      <w:pPr>
        <w:jc w:val="both"/>
        <w:rPr>
          <w:rFonts w:ascii="Times New Roman" w:eastAsia="Calibri" w:hAnsi="Times New Roman" w:cs="Times New Roman"/>
          <w:b/>
          <w:bCs/>
          <w:i/>
          <w:sz w:val="24"/>
          <w:szCs w:val="24"/>
          <w:u w:val="single"/>
        </w:rPr>
      </w:pPr>
      <w:r w:rsidRPr="004577C1">
        <w:rPr>
          <w:rFonts w:ascii="Times New Roman" w:eastAsia="Calibri" w:hAnsi="Times New Roman" w:cs="Times New Roman"/>
          <w:b/>
          <w:bCs/>
          <w:i/>
          <w:sz w:val="24"/>
          <w:szCs w:val="24"/>
          <w:u w:val="single"/>
        </w:rPr>
        <w:lastRenderedPageBreak/>
        <w:t xml:space="preserve">3.1.3 </w:t>
      </w:r>
      <w:r w:rsidR="00054C41" w:rsidRPr="004577C1">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Pr="004577C1" w:rsidRDefault="00054C41" w:rsidP="00054C41">
      <w:pPr>
        <w:jc w:val="both"/>
        <w:rPr>
          <w:rFonts w:ascii="Times New Roman" w:eastAsia="Calibri" w:hAnsi="Times New Roman" w:cs="Times New Roman"/>
          <w:bCs/>
          <w:i/>
          <w:iCs/>
          <w:color w:val="000000"/>
          <w:sz w:val="24"/>
          <w:szCs w:val="24"/>
        </w:rPr>
      </w:pPr>
      <w:r w:rsidRPr="004577C1">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sidRPr="004577C1">
        <w:rPr>
          <w:rFonts w:ascii="Times New Roman" w:eastAsia="Calibri" w:hAnsi="Times New Roman" w:cs="Times New Roman"/>
          <w:bCs/>
          <w:i/>
          <w:iCs/>
          <w:color w:val="000000"/>
          <w:sz w:val="24"/>
          <w:szCs w:val="24"/>
        </w:rPr>
        <w:t xml:space="preserve"> a poplatky, ktorých cieľom je znižovať negatívne externality</w:t>
      </w:r>
      <w:r w:rsidRPr="004577C1">
        <w:rPr>
          <w:rFonts w:ascii="Times New Roman" w:eastAsia="Calibri" w:hAnsi="Times New Roman" w:cs="Times New Roman"/>
          <w:bCs/>
          <w:i/>
          <w:iCs/>
          <w:color w:val="000000"/>
          <w:sz w:val="24"/>
          <w:szCs w:val="24"/>
        </w:rPr>
        <w:t xml:space="preserve">, B. </w:t>
      </w:r>
      <w:r w:rsidR="00A000DA" w:rsidRPr="004577C1">
        <w:rPr>
          <w:rFonts w:ascii="Times New Roman" w:eastAsia="Calibri" w:hAnsi="Times New Roman" w:cs="Times New Roman"/>
          <w:bCs/>
          <w:i/>
          <w:iCs/>
          <w:color w:val="000000"/>
          <w:sz w:val="24"/>
          <w:szCs w:val="24"/>
        </w:rPr>
        <w:t>Iné p</w:t>
      </w:r>
      <w:r w:rsidRPr="004577C1">
        <w:rPr>
          <w:rFonts w:ascii="Times New Roman" w:eastAsia="Calibri" w:hAnsi="Times New Roman" w:cs="Times New Roman"/>
          <w:bCs/>
          <w:i/>
          <w:iCs/>
          <w:color w:val="000000"/>
          <w:sz w:val="24"/>
          <w:szCs w:val="24"/>
        </w:rPr>
        <w:t xml:space="preserve">oplatky, C. </w:t>
      </w:r>
      <w:r w:rsidR="00024EE4" w:rsidRPr="004577C1">
        <w:rPr>
          <w:rFonts w:ascii="Times New Roman" w:eastAsia="Calibri" w:hAnsi="Times New Roman" w:cs="Times New Roman"/>
          <w:bCs/>
          <w:i/>
          <w:iCs/>
          <w:color w:val="000000"/>
          <w:sz w:val="24"/>
          <w:szCs w:val="24"/>
        </w:rPr>
        <w:t>Sankcie</w:t>
      </w:r>
      <w:r w:rsidRPr="004577C1">
        <w:rPr>
          <w:rFonts w:ascii="Times New Roman" w:eastAsia="Calibri" w:hAnsi="Times New Roman" w:cs="Times New Roman"/>
          <w:bCs/>
          <w:i/>
          <w:iCs/>
          <w:color w:val="000000"/>
          <w:sz w:val="24"/>
          <w:szCs w:val="24"/>
        </w:rPr>
        <w:t xml:space="preserve">, D. </w:t>
      </w:r>
      <w:r w:rsidR="00024EE4" w:rsidRPr="004577C1">
        <w:rPr>
          <w:rFonts w:ascii="Times New Roman" w:eastAsia="Calibri" w:hAnsi="Times New Roman" w:cs="Times New Roman"/>
          <w:bCs/>
          <w:i/>
          <w:iCs/>
          <w:color w:val="000000"/>
          <w:sz w:val="24"/>
          <w:szCs w:val="24"/>
        </w:rPr>
        <w:t>Nepriame finančné náklady</w:t>
      </w:r>
      <w:r w:rsidR="00A94A0F" w:rsidRPr="004577C1">
        <w:rPr>
          <w:rFonts w:ascii="Times New Roman" w:eastAsia="Calibri" w:hAnsi="Times New Roman" w:cs="Times New Roman"/>
          <w:bCs/>
          <w:i/>
          <w:iCs/>
          <w:color w:val="000000"/>
          <w:sz w:val="24"/>
          <w:szCs w:val="24"/>
        </w:rPr>
        <w:t xml:space="preserve">, E. </w:t>
      </w:r>
      <w:r w:rsidRPr="004577C1">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72E7CBE0" w14:textId="75DE84C3" w:rsidR="00A13A61" w:rsidRPr="004577C1" w:rsidRDefault="00A13A61" w:rsidP="00054C41">
      <w:pPr>
        <w:jc w:val="both"/>
        <w:rPr>
          <w:rFonts w:ascii="Times New Roman" w:eastAsia="Calibri" w:hAnsi="Times New Roman" w:cs="Times New Roman"/>
          <w:bCs/>
          <w:iCs/>
          <w:color w:val="000000"/>
          <w:sz w:val="24"/>
          <w:szCs w:val="24"/>
        </w:rPr>
      </w:pPr>
      <w:r w:rsidRPr="004577C1">
        <w:rPr>
          <w:rFonts w:ascii="Times New Roman" w:eastAsia="Calibri" w:hAnsi="Times New Roman" w:cs="Times New Roman"/>
          <w:bCs/>
          <w:iCs/>
          <w:color w:val="000000"/>
          <w:sz w:val="24"/>
          <w:szCs w:val="24"/>
        </w:rPr>
        <w:t xml:space="preserve">Návrh zákona predpokladá viaceré vplyvy na podnikateľské prostredie vo forme </w:t>
      </w:r>
      <w:r w:rsidR="00675B8D" w:rsidRPr="004577C1">
        <w:rPr>
          <w:rFonts w:ascii="Times New Roman" w:eastAsia="Calibri" w:hAnsi="Times New Roman" w:cs="Times New Roman"/>
          <w:bCs/>
          <w:iCs/>
          <w:color w:val="000000"/>
          <w:sz w:val="24"/>
          <w:szCs w:val="24"/>
        </w:rPr>
        <w:t xml:space="preserve">zníženia alebo zvýšenia </w:t>
      </w:r>
      <w:r w:rsidRPr="004577C1">
        <w:rPr>
          <w:rFonts w:ascii="Times New Roman" w:eastAsia="Calibri" w:hAnsi="Times New Roman" w:cs="Times New Roman"/>
          <w:bCs/>
          <w:iCs/>
          <w:color w:val="000000"/>
          <w:sz w:val="24"/>
          <w:szCs w:val="24"/>
        </w:rPr>
        <w:t>nákladov. Keďže predkladaný návrh zákona obsahuje z veľkej časti ustanovenia, ktoré už boli zavedené do slovenského právneho poriadku prostredníctvom zákona č. 129/2010 Z. z. o spotrebiteľských úveroch a o iných úveroch a pôžičkách pre spotrebiteľov a o zmene a doplnení niektorých zákonov</w:t>
      </w:r>
      <w:r w:rsidR="0000411C" w:rsidRPr="004577C1">
        <w:rPr>
          <w:rFonts w:ascii="Times New Roman" w:eastAsia="Calibri" w:hAnsi="Times New Roman" w:cs="Times New Roman"/>
          <w:bCs/>
          <w:iCs/>
          <w:color w:val="000000"/>
          <w:sz w:val="24"/>
          <w:szCs w:val="24"/>
        </w:rPr>
        <w:t xml:space="preserve"> </w:t>
      </w:r>
      <w:r w:rsidR="0000411C" w:rsidRPr="004577C1">
        <w:rPr>
          <w:rFonts w:ascii="Times New Roman" w:eastAsia="Calibri" w:hAnsi="Times New Roman" w:cs="Times New Roman"/>
          <w:sz w:val="24"/>
          <w:szCs w:val="24"/>
        </w:rPr>
        <w:t>(ďalej len „zákon č. 129/2010 Z. z.“)</w:t>
      </w:r>
      <w:r w:rsidRPr="004577C1">
        <w:rPr>
          <w:rFonts w:ascii="Times New Roman" w:eastAsia="Calibri" w:hAnsi="Times New Roman" w:cs="Times New Roman"/>
          <w:bCs/>
          <w:iCs/>
          <w:color w:val="000000"/>
          <w:sz w:val="24"/>
          <w:szCs w:val="24"/>
        </w:rPr>
        <w:t>, v súčasnosti boli vyčíslené len náklady, ktoré doteraz nevznikli</w:t>
      </w:r>
      <w:r w:rsidR="001C5B6C" w:rsidRPr="004577C1">
        <w:rPr>
          <w:rFonts w:ascii="Times New Roman" w:eastAsia="Calibri" w:hAnsi="Times New Roman" w:cs="Times New Roman"/>
          <w:bCs/>
          <w:iCs/>
          <w:color w:val="000000"/>
          <w:sz w:val="24"/>
          <w:szCs w:val="24"/>
        </w:rPr>
        <w:t xml:space="preserve"> dotknutým subjektom</w:t>
      </w:r>
      <w:r w:rsidRPr="004577C1">
        <w:rPr>
          <w:rFonts w:ascii="Times New Roman" w:eastAsia="Calibri" w:hAnsi="Times New Roman" w:cs="Times New Roman"/>
          <w:bCs/>
          <w:iCs/>
          <w:color w:val="000000"/>
          <w:sz w:val="24"/>
          <w:szCs w:val="24"/>
        </w:rPr>
        <w:t xml:space="preserve"> z dôvodu, že predchádzajúci zákon č. 129/2010 Z. z. neobsahoval príslušné ustanovenia.</w:t>
      </w:r>
    </w:p>
    <w:p w14:paraId="2BA1036C" w14:textId="4A46E2C1" w:rsidR="00AD00AF" w:rsidRPr="004577C1" w:rsidRDefault="00AD00AF" w:rsidP="00054C41">
      <w:pPr>
        <w:jc w:val="both"/>
        <w:rPr>
          <w:rFonts w:ascii="Times New Roman" w:hAnsi="Times New Roman" w:cs="Times New Roman"/>
          <w:sz w:val="24"/>
          <w:szCs w:val="24"/>
        </w:rPr>
      </w:pPr>
      <w:r w:rsidRPr="004577C1">
        <w:rPr>
          <w:rFonts w:ascii="Times New Roman" w:eastAsia="Calibri" w:hAnsi="Times New Roman" w:cs="Times New Roman"/>
          <w:bCs/>
          <w:iCs/>
          <w:color w:val="000000"/>
          <w:sz w:val="24"/>
          <w:szCs w:val="24"/>
        </w:rPr>
        <w:t xml:space="preserve">V predkladanom návrhu zákona bolo </w:t>
      </w:r>
      <w:r w:rsidR="00A13A61" w:rsidRPr="004577C1">
        <w:rPr>
          <w:rFonts w:ascii="Times New Roman" w:eastAsia="Calibri" w:hAnsi="Times New Roman" w:cs="Times New Roman"/>
          <w:bCs/>
          <w:iCs/>
          <w:color w:val="000000"/>
          <w:sz w:val="24"/>
          <w:szCs w:val="24"/>
        </w:rPr>
        <w:t xml:space="preserve">teda </w:t>
      </w:r>
      <w:r w:rsidRPr="004577C1">
        <w:rPr>
          <w:rFonts w:ascii="Times New Roman" w:eastAsia="Calibri" w:hAnsi="Times New Roman" w:cs="Times New Roman"/>
          <w:bCs/>
          <w:iCs/>
          <w:color w:val="000000"/>
          <w:sz w:val="24"/>
          <w:szCs w:val="24"/>
        </w:rPr>
        <w:t xml:space="preserve">identifikovaných </w:t>
      </w:r>
      <w:r w:rsidR="000257BA" w:rsidRPr="004577C1">
        <w:rPr>
          <w:rFonts w:ascii="Times New Roman" w:eastAsia="Calibri" w:hAnsi="Times New Roman" w:cs="Times New Roman"/>
          <w:bCs/>
          <w:iCs/>
          <w:color w:val="000000"/>
          <w:sz w:val="24"/>
          <w:szCs w:val="24"/>
        </w:rPr>
        <w:t>3</w:t>
      </w:r>
      <w:r w:rsidR="00186633" w:rsidRPr="004577C1">
        <w:rPr>
          <w:rFonts w:ascii="Times New Roman" w:eastAsia="Calibri" w:hAnsi="Times New Roman" w:cs="Times New Roman"/>
          <w:bCs/>
          <w:iCs/>
          <w:color w:val="000000"/>
          <w:sz w:val="24"/>
          <w:szCs w:val="24"/>
        </w:rPr>
        <w:t>7</w:t>
      </w:r>
      <w:r w:rsidRPr="004577C1">
        <w:rPr>
          <w:rFonts w:ascii="Times New Roman" w:eastAsia="Calibri" w:hAnsi="Times New Roman" w:cs="Times New Roman"/>
          <w:bCs/>
          <w:iCs/>
          <w:color w:val="000000"/>
          <w:sz w:val="24"/>
          <w:szCs w:val="24"/>
        </w:rPr>
        <w:t xml:space="preserve"> </w:t>
      </w:r>
      <w:r w:rsidR="00A13A61" w:rsidRPr="004577C1">
        <w:rPr>
          <w:rFonts w:ascii="Times New Roman" w:eastAsia="Calibri" w:hAnsi="Times New Roman" w:cs="Times New Roman"/>
          <w:bCs/>
          <w:iCs/>
          <w:color w:val="000000"/>
          <w:sz w:val="24"/>
          <w:szCs w:val="24"/>
        </w:rPr>
        <w:t xml:space="preserve">nových </w:t>
      </w:r>
      <w:r w:rsidRPr="004577C1">
        <w:rPr>
          <w:rFonts w:ascii="Times New Roman" w:eastAsia="Calibri" w:hAnsi="Times New Roman" w:cs="Times New Roman"/>
          <w:bCs/>
          <w:iCs/>
          <w:color w:val="000000"/>
          <w:sz w:val="24"/>
          <w:szCs w:val="24"/>
        </w:rPr>
        <w:t xml:space="preserve">regulácií s vplyvom na podnikateľské prostredie, z ktorých </w:t>
      </w:r>
      <w:r w:rsidR="00186633" w:rsidRPr="004577C1">
        <w:rPr>
          <w:rFonts w:ascii="Times New Roman" w:eastAsia="Calibri" w:hAnsi="Times New Roman" w:cs="Times New Roman"/>
          <w:bCs/>
          <w:iCs/>
          <w:color w:val="000000"/>
          <w:sz w:val="24"/>
          <w:szCs w:val="24"/>
        </w:rPr>
        <w:t>5</w:t>
      </w:r>
      <w:r w:rsidRPr="004577C1">
        <w:rPr>
          <w:rFonts w:ascii="Times New Roman" w:eastAsia="Calibri" w:hAnsi="Times New Roman" w:cs="Times New Roman"/>
          <w:bCs/>
          <w:iCs/>
          <w:color w:val="000000"/>
          <w:sz w:val="24"/>
          <w:szCs w:val="24"/>
        </w:rPr>
        <w:t xml:space="preserve"> znižuj</w:t>
      </w:r>
      <w:r w:rsidR="006C202B">
        <w:rPr>
          <w:rFonts w:ascii="Times New Roman" w:eastAsia="Calibri" w:hAnsi="Times New Roman" w:cs="Times New Roman"/>
          <w:bCs/>
          <w:iCs/>
          <w:color w:val="000000"/>
          <w:sz w:val="24"/>
          <w:szCs w:val="24"/>
        </w:rPr>
        <w:t>e</w:t>
      </w:r>
      <w:r w:rsidRPr="004577C1">
        <w:rPr>
          <w:rFonts w:ascii="Times New Roman" w:eastAsia="Calibri" w:hAnsi="Times New Roman" w:cs="Times New Roman"/>
          <w:bCs/>
          <w:iCs/>
          <w:color w:val="000000"/>
          <w:sz w:val="24"/>
          <w:szCs w:val="24"/>
        </w:rPr>
        <w:t xml:space="preserve"> náklady a </w:t>
      </w:r>
      <w:r w:rsidR="00186633" w:rsidRPr="004577C1">
        <w:rPr>
          <w:rFonts w:ascii="Times New Roman" w:eastAsia="Calibri" w:hAnsi="Times New Roman" w:cs="Times New Roman"/>
          <w:bCs/>
          <w:iCs/>
          <w:color w:val="000000"/>
          <w:sz w:val="24"/>
          <w:szCs w:val="24"/>
        </w:rPr>
        <w:t>32</w:t>
      </w:r>
      <w:r w:rsidRPr="004577C1">
        <w:rPr>
          <w:rFonts w:ascii="Times New Roman" w:eastAsia="Calibri" w:hAnsi="Times New Roman" w:cs="Times New Roman"/>
          <w:bCs/>
          <w:iCs/>
          <w:color w:val="000000"/>
          <w:sz w:val="24"/>
          <w:szCs w:val="24"/>
        </w:rPr>
        <w:t xml:space="preserve"> zvyšuje náklady pre dotknuté subjekty.</w:t>
      </w:r>
      <w:r w:rsidRPr="004577C1">
        <w:rPr>
          <w:rFonts w:ascii="Times New Roman" w:hAnsi="Times New Roman" w:cs="Times New Roman"/>
          <w:sz w:val="24"/>
          <w:szCs w:val="24"/>
        </w:rPr>
        <w:t xml:space="preserve"> </w:t>
      </w:r>
      <w:r w:rsidRPr="004577C1">
        <w:rPr>
          <w:rFonts w:ascii="Times New Roman" w:eastAsia="Calibri" w:hAnsi="Times New Roman" w:cs="Times New Roman"/>
          <w:bCs/>
          <w:iCs/>
          <w:color w:val="000000"/>
          <w:sz w:val="24"/>
          <w:szCs w:val="24"/>
        </w:rPr>
        <w:t>Predmetom kalkulačky nákladov sú regulácie súvisiace so zvýšením a</w:t>
      </w:r>
      <w:r w:rsidR="00186633" w:rsidRPr="004577C1">
        <w:rPr>
          <w:rFonts w:ascii="Times New Roman" w:eastAsia="Calibri" w:hAnsi="Times New Roman" w:cs="Times New Roman"/>
          <w:bCs/>
          <w:iCs/>
          <w:color w:val="000000"/>
          <w:sz w:val="24"/>
          <w:szCs w:val="24"/>
        </w:rPr>
        <w:t>lebo</w:t>
      </w:r>
      <w:r w:rsidRPr="004577C1">
        <w:rPr>
          <w:rFonts w:ascii="Times New Roman" w:eastAsia="Calibri" w:hAnsi="Times New Roman" w:cs="Times New Roman"/>
          <w:bCs/>
          <w:iCs/>
          <w:color w:val="000000"/>
          <w:sz w:val="24"/>
          <w:szCs w:val="24"/>
        </w:rPr>
        <w:t xml:space="preserve"> znížením </w:t>
      </w:r>
      <w:r w:rsidR="00186633" w:rsidRPr="004577C1">
        <w:rPr>
          <w:rFonts w:ascii="Times New Roman" w:eastAsia="Calibri" w:hAnsi="Times New Roman" w:cs="Times New Roman"/>
          <w:bCs/>
          <w:iCs/>
          <w:color w:val="000000"/>
          <w:sz w:val="24"/>
          <w:szCs w:val="24"/>
        </w:rPr>
        <w:t xml:space="preserve">priamych finančných nákladov, </w:t>
      </w:r>
      <w:r w:rsidRPr="004577C1">
        <w:rPr>
          <w:rFonts w:ascii="Times New Roman" w:eastAsia="Calibri" w:hAnsi="Times New Roman" w:cs="Times New Roman"/>
          <w:bCs/>
          <w:iCs/>
          <w:color w:val="000000"/>
          <w:sz w:val="24"/>
          <w:szCs w:val="24"/>
        </w:rPr>
        <w:t>nepriamych finančných nákladov a administratívnej záťaže pre subjekty ako sú úverové inštitúcie (b</w:t>
      </w:r>
      <w:r w:rsidR="00165BDC" w:rsidRPr="004577C1">
        <w:rPr>
          <w:rFonts w:ascii="Times New Roman" w:eastAsia="Calibri" w:hAnsi="Times New Roman" w:cs="Times New Roman"/>
          <w:bCs/>
          <w:iCs/>
          <w:color w:val="000000"/>
          <w:sz w:val="24"/>
          <w:szCs w:val="24"/>
        </w:rPr>
        <w:t>anky, pobočky zahraničnej banky), nebankoví veritelia</w:t>
      </w:r>
      <w:r w:rsidRPr="004577C1">
        <w:rPr>
          <w:rFonts w:ascii="Times New Roman" w:eastAsia="Calibri" w:hAnsi="Times New Roman" w:cs="Times New Roman"/>
          <w:bCs/>
          <w:iCs/>
          <w:color w:val="000000"/>
          <w:sz w:val="24"/>
          <w:szCs w:val="24"/>
        </w:rPr>
        <w:t xml:space="preserve">, </w:t>
      </w:r>
      <w:r w:rsidR="00165BDC" w:rsidRPr="004577C1">
        <w:rPr>
          <w:rFonts w:ascii="Times New Roman" w:eastAsia="Calibri" w:hAnsi="Times New Roman" w:cs="Times New Roman"/>
          <w:bCs/>
          <w:iCs/>
          <w:color w:val="000000"/>
          <w:sz w:val="24"/>
          <w:szCs w:val="24"/>
        </w:rPr>
        <w:t>prevádzkovatelia registrov</w:t>
      </w:r>
      <w:r w:rsidRPr="004577C1">
        <w:rPr>
          <w:rFonts w:ascii="Times New Roman" w:eastAsia="Calibri" w:hAnsi="Times New Roman" w:cs="Times New Roman"/>
          <w:bCs/>
          <w:iCs/>
          <w:color w:val="000000"/>
          <w:sz w:val="24"/>
          <w:szCs w:val="24"/>
        </w:rPr>
        <w:t xml:space="preserve"> údajov o spotrebiteľských úveroch, sprostredkovatelia spotrebiteľských úverov (finan</w:t>
      </w:r>
      <w:r w:rsidR="001C5B6C" w:rsidRPr="004577C1">
        <w:rPr>
          <w:rFonts w:ascii="Times New Roman" w:eastAsia="Calibri" w:hAnsi="Times New Roman" w:cs="Times New Roman"/>
          <w:bCs/>
          <w:iCs/>
          <w:color w:val="000000"/>
          <w:sz w:val="24"/>
          <w:szCs w:val="24"/>
        </w:rPr>
        <w:t>ční agenti a finanční poradcovia</w:t>
      </w:r>
      <w:r w:rsidR="00165BDC" w:rsidRPr="004577C1">
        <w:rPr>
          <w:rFonts w:ascii="Times New Roman" w:eastAsia="Calibri" w:hAnsi="Times New Roman" w:cs="Times New Roman"/>
          <w:bCs/>
          <w:iCs/>
          <w:color w:val="000000"/>
          <w:sz w:val="24"/>
          <w:szCs w:val="24"/>
        </w:rPr>
        <w:t xml:space="preserve">), správcovia úverov, </w:t>
      </w:r>
      <w:r w:rsidR="008411E4" w:rsidRPr="004577C1">
        <w:rPr>
          <w:rFonts w:ascii="Times New Roman" w:eastAsia="Calibri" w:hAnsi="Times New Roman" w:cs="Times New Roman"/>
          <w:bCs/>
          <w:iCs/>
          <w:color w:val="000000"/>
          <w:sz w:val="24"/>
          <w:szCs w:val="24"/>
        </w:rPr>
        <w:t xml:space="preserve">v súvislosti s ich povinnosťami vyplývajúcimi z implementovanej smernice Európskeho parlamentu a Rady (EÚ) 2023/2225 </w:t>
      </w:r>
      <w:r w:rsidR="008411E4" w:rsidRPr="004577C1">
        <w:rPr>
          <w:rFonts w:ascii="Times New Roman" w:hAnsi="Times New Roman" w:cs="Times New Roman"/>
          <w:sz w:val="24"/>
          <w:szCs w:val="24"/>
        </w:rPr>
        <w:t>z 18. októbra 2023 o zmluvách o spotrebiteľskom úvere a o zrušení smernice 2008/48/ES</w:t>
      </w:r>
      <w:r w:rsidR="00F906A0" w:rsidRPr="004577C1">
        <w:rPr>
          <w:rFonts w:ascii="Times New Roman" w:hAnsi="Times New Roman" w:cs="Times New Roman"/>
          <w:sz w:val="24"/>
          <w:szCs w:val="24"/>
        </w:rPr>
        <w:t xml:space="preserve"> (ďalej len „smernica 2023/2225“)</w:t>
      </w:r>
      <w:r w:rsidR="008411E4" w:rsidRPr="004577C1">
        <w:rPr>
          <w:rFonts w:ascii="Times New Roman" w:hAnsi="Times New Roman" w:cs="Times New Roman"/>
          <w:sz w:val="24"/>
          <w:szCs w:val="24"/>
        </w:rPr>
        <w:t xml:space="preserve">. </w:t>
      </w:r>
    </w:p>
    <w:p w14:paraId="117506F2" w14:textId="77777777" w:rsidR="00165BDC" w:rsidRPr="004577C1" w:rsidRDefault="00165BDC" w:rsidP="008411E4">
      <w:pPr>
        <w:jc w:val="both"/>
        <w:rPr>
          <w:rFonts w:ascii="Times New Roman" w:eastAsia="Calibri" w:hAnsi="Times New Roman" w:cs="Times New Roman"/>
          <w:i/>
          <w:sz w:val="24"/>
          <w:szCs w:val="24"/>
          <w:u w:val="single"/>
        </w:rPr>
      </w:pPr>
    </w:p>
    <w:p w14:paraId="3D293725" w14:textId="37BA46DA" w:rsidR="00654E71" w:rsidRPr="004577C1" w:rsidRDefault="008411E4" w:rsidP="00054C41">
      <w:pPr>
        <w:jc w:val="both"/>
        <w:rPr>
          <w:rFonts w:ascii="Times New Roman" w:eastAsia="Calibri" w:hAnsi="Times New Roman" w:cs="Times New Roman"/>
          <w:i/>
          <w:sz w:val="24"/>
          <w:szCs w:val="24"/>
          <w:u w:val="single"/>
        </w:rPr>
      </w:pPr>
      <w:r w:rsidRPr="004577C1">
        <w:rPr>
          <w:rFonts w:ascii="Times New Roman" w:eastAsia="Calibri" w:hAnsi="Times New Roman" w:cs="Times New Roman"/>
          <w:i/>
          <w:sz w:val="24"/>
          <w:szCs w:val="24"/>
          <w:u w:val="single"/>
        </w:rPr>
        <w:t xml:space="preserve">Opatrenia (opisy regulácií) </w:t>
      </w:r>
      <w:r w:rsidR="000257BA" w:rsidRPr="004577C1">
        <w:rPr>
          <w:rFonts w:ascii="Times New Roman" w:eastAsia="Calibri" w:hAnsi="Times New Roman" w:cs="Times New Roman"/>
          <w:i/>
          <w:sz w:val="24"/>
          <w:szCs w:val="24"/>
          <w:u w:val="single"/>
        </w:rPr>
        <w:t xml:space="preserve">č. 1 až </w:t>
      </w:r>
      <w:r w:rsidR="00186633" w:rsidRPr="004577C1">
        <w:rPr>
          <w:rFonts w:ascii="Times New Roman" w:eastAsia="Calibri" w:hAnsi="Times New Roman" w:cs="Times New Roman"/>
          <w:i/>
          <w:sz w:val="24"/>
          <w:szCs w:val="24"/>
          <w:u w:val="single"/>
        </w:rPr>
        <w:t>37</w:t>
      </w:r>
    </w:p>
    <w:p w14:paraId="61C5C21D" w14:textId="307C0A32" w:rsidR="006E3EB8" w:rsidRPr="004577C1" w:rsidRDefault="006E3EB8" w:rsidP="006E3EB8">
      <w:pPr>
        <w:jc w:val="both"/>
        <w:rPr>
          <w:rFonts w:ascii="Times New Roman" w:eastAsia="Calibri" w:hAnsi="Times New Roman" w:cs="Times New Roman"/>
          <w:bCs/>
          <w:sz w:val="24"/>
          <w:szCs w:val="24"/>
        </w:rPr>
      </w:pPr>
    </w:p>
    <w:p w14:paraId="3089B03E" w14:textId="15D32F2E" w:rsidR="008411E4" w:rsidRPr="004577C1" w:rsidRDefault="00891E1C" w:rsidP="005A4519">
      <w:pPr>
        <w:pStyle w:val="Odsekzoznamu"/>
        <w:numPr>
          <w:ilvl w:val="0"/>
          <w:numId w:val="15"/>
        </w:numPr>
        <w:jc w:val="both"/>
        <w:rPr>
          <w:rFonts w:ascii="Times New Roman" w:eastAsia="Calibri" w:hAnsi="Times New Roman" w:cs="Times New Roman"/>
          <w:bCs/>
          <w:i/>
          <w:iCs/>
          <w:sz w:val="24"/>
          <w:szCs w:val="24"/>
        </w:rPr>
      </w:pPr>
      <w:r w:rsidRPr="004577C1">
        <w:rPr>
          <w:rFonts w:ascii="Times New Roman" w:eastAsia="Calibri" w:hAnsi="Times New Roman" w:cs="Times New Roman"/>
          <w:bCs/>
          <w:i/>
          <w:iCs/>
          <w:sz w:val="24"/>
          <w:szCs w:val="24"/>
        </w:rPr>
        <w:t>Zákaz určitých reklám</w:t>
      </w:r>
    </w:p>
    <w:p w14:paraId="35308769" w14:textId="76F53CAE" w:rsidR="00AD00AF" w:rsidRPr="004577C1" w:rsidRDefault="00891E1C" w:rsidP="00512BA7">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Predmetná regulácia bude predstavovať zvýšenie nepriamych finančných nákladov a administratívnej záťaže dotknutých sub</w:t>
      </w:r>
      <w:r w:rsidR="0061797B" w:rsidRPr="004577C1">
        <w:rPr>
          <w:rFonts w:ascii="Times New Roman" w:eastAsia="Calibri" w:hAnsi="Times New Roman" w:cs="Times New Roman"/>
          <w:sz w:val="24"/>
          <w:szCs w:val="24"/>
        </w:rPr>
        <w:t xml:space="preserve">jektov, ktorými sú </w:t>
      </w:r>
      <w:r w:rsidR="000F6842" w:rsidRPr="004577C1">
        <w:rPr>
          <w:rFonts w:ascii="Times New Roman" w:eastAsia="Calibri" w:hAnsi="Times New Roman" w:cs="Times New Roman"/>
          <w:sz w:val="24"/>
          <w:szCs w:val="24"/>
        </w:rPr>
        <w:t xml:space="preserve">veritelia - </w:t>
      </w:r>
      <w:r w:rsidR="000F6842" w:rsidRPr="004577C1">
        <w:rPr>
          <w:rFonts w:ascii="Times New Roman" w:hAnsi="Times New Roman" w:cs="Times New Roman"/>
          <w:sz w:val="24"/>
          <w:szCs w:val="24"/>
        </w:rPr>
        <w:t>podľa návrhu zákona sa delia na bankové a nebankové subjekty, kde banky a pobočky zahraničných bánk predstavujú 22 subjektov a nebankové spoločnosti 3</w:t>
      </w:r>
      <w:r w:rsidR="00502CB2" w:rsidRPr="004577C1">
        <w:rPr>
          <w:rFonts w:ascii="Times New Roman" w:hAnsi="Times New Roman" w:cs="Times New Roman"/>
          <w:sz w:val="24"/>
          <w:szCs w:val="24"/>
        </w:rPr>
        <w:t>1</w:t>
      </w:r>
      <w:r w:rsidR="000F6842" w:rsidRPr="004577C1">
        <w:rPr>
          <w:rFonts w:ascii="Times New Roman" w:hAnsi="Times New Roman" w:cs="Times New Roman"/>
          <w:sz w:val="24"/>
          <w:szCs w:val="24"/>
        </w:rPr>
        <w:t xml:space="preserve"> subjektov (štatistika dostupná na:  </w:t>
      </w:r>
      <w:hyperlink r:id="rId12" w:history="1">
        <w:r w:rsidR="000F6842" w:rsidRPr="004577C1">
          <w:rPr>
            <w:rStyle w:val="Hypertextovprepojenie"/>
            <w:rFonts w:ascii="Times New Roman" w:hAnsi="Times New Roman" w:cs="Times New Roman"/>
            <w:color w:val="auto"/>
            <w:sz w:val="24"/>
            <w:szCs w:val="24"/>
            <w:u w:val="none"/>
          </w:rPr>
          <w:t>https://subjekty.nbs.sk/</w:t>
        </w:r>
      </w:hyperlink>
      <w:r w:rsidR="000F6842" w:rsidRPr="004577C1">
        <w:rPr>
          <w:rFonts w:ascii="Times New Roman" w:hAnsi="Times New Roman" w:cs="Times New Roman"/>
          <w:sz w:val="24"/>
          <w:szCs w:val="24"/>
        </w:rPr>
        <w:t>).</w:t>
      </w:r>
      <w:r w:rsidR="000F6842" w:rsidRPr="004577C1">
        <w:rPr>
          <w:rFonts w:ascii="Times New Roman" w:eastAsia="Calibri" w:hAnsi="Times New Roman" w:cs="Times New Roman"/>
          <w:sz w:val="24"/>
          <w:szCs w:val="24"/>
        </w:rPr>
        <w:t xml:space="preserve"> </w:t>
      </w:r>
      <w:r w:rsidR="00BA758E" w:rsidRPr="004577C1">
        <w:rPr>
          <w:rFonts w:ascii="Times New Roman" w:eastAsia="Calibri" w:hAnsi="Times New Roman" w:cs="Times New Roman"/>
          <w:sz w:val="24"/>
          <w:szCs w:val="24"/>
        </w:rPr>
        <w:t xml:space="preserve">Medzi dotknuté subjekty sa zaradia aj spoločnosti, ktoré v súčasnosti nemajú udelené povolenie, ale ponúkajú a poskytujú spotrebiteľské úvery v rámci svojej doplnkovej činnosti, a to bezúročne a bez akýchkoľvek iných poplatkov okrem poplatkov, ktoré musí spotrebiteľ zaplatiť v súvislosti s omeškaním platby (napr. telco spoločnosti). Expertným odhadom bol počet týchto subjektov stanovený na 3. </w:t>
      </w:r>
      <w:r w:rsidRPr="004577C1">
        <w:rPr>
          <w:rFonts w:ascii="Times New Roman" w:eastAsia="Calibri" w:hAnsi="Times New Roman" w:cs="Times New Roman"/>
          <w:sz w:val="24"/>
          <w:szCs w:val="24"/>
        </w:rPr>
        <w:t xml:space="preserve">Reguláciou sa zakazujú určité druhy reklám o spotrebiteľskom úvere. </w:t>
      </w:r>
      <w:r w:rsidRPr="004577C1">
        <w:rPr>
          <w:rFonts w:ascii="Times New Roman" w:hAnsi="Times New Roman" w:cs="Times New Roman"/>
          <w:sz w:val="24"/>
          <w:szCs w:val="24"/>
        </w:rPr>
        <w:t xml:space="preserve">Predpokladané nepriame finančné náklady sú stanovené expertným odhadom do výšky </w:t>
      </w:r>
      <w:r w:rsidR="00502CB2" w:rsidRPr="004577C1">
        <w:rPr>
          <w:rFonts w:ascii="Times New Roman" w:hAnsi="Times New Roman" w:cs="Times New Roman"/>
          <w:sz w:val="24"/>
          <w:szCs w:val="24"/>
        </w:rPr>
        <w:t>2</w:t>
      </w:r>
      <w:r w:rsidRPr="004577C1">
        <w:rPr>
          <w:rFonts w:ascii="Times New Roman" w:hAnsi="Times New Roman" w:cs="Times New Roman"/>
          <w:sz w:val="24"/>
          <w:szCs w:val="24"/>
        </w:rPr>
        <w:t>0 000 eur na jeden dotknutý subjekt, pričom konkrétna výška bude závisieť od prispôsobenia reklám reguláci</w:t>
      </w:r>
      <w:r w:rsidR="00813F95" w:rsidRPr="004577C1">
        <w:rPr>
          <w:rFonts w:ascii="Times New Roman" w:hAnsi="Times New Roman" w:cs="Times New Roman"/>
          <w:sz w:val="24"/>
          <w:szCs w:val="24"/>
        </w:rPr>
        <w:t>i</w:t>
      </w:r>
      <w:r w:rsidRPr="004577C1">
        <w:rPr>
          <w:rFonts w:ascii="Times New Roman" w:hAnsi="Times New Roman" w:cs="Times New Roman"/>
          <w:sz w:val="24"/>
          <w:szCs w:val="24"/>
        </w:rPr>
        <w:t xml:space="preserve"> v závislosti od toho, či sú alebo nie sú v súlade </w:t>
      </w:r>
      <w:r w:rsidRPr="004577C1">
        <w:rPr>
          <w:rFonts w:ascii="Times New Roman" w:hAnsi="Times New Roman" w:cs="Times New Roman"/>
          <w:sz w:val="24"/>
          <w:szCs w:val="24"/>
        </w:rPr>
        <w:lastRenderedPageBreak/>
        <w:t>s navrhovanou právnou úpravou. Nepriame finančné náklady sa predpokladajú jednorazovo, najmä na prispôsobenie systémov veriteľov, resp. na úpravu systémov u dodávateľov. Predmetná regulácia spôsobuje aj zvýšenie administratívnych nákladov</w:t>
      </w:r>
      <w:r w:rsidR="0028770B" w:rsidRPr="004577C1">
        <w:rPr>
          <w:rFonts w:ascii="Times New Roman" w:hAnsi="Times New Roman" w:cs="Times New Roman"/>
          <w:sz w:val="24"/>
          <w:szCs w:val="24"/>
        </w:rPr>
        <w:t xml:space="preserve"> dotknutých subjektov</w:t>
      </w:r>
      <w:r w:rsidRPr="004577C1">
        <w:rPr>
          <w:rFonts w:ascii="Times New Roman" w:hAnsi="Times New Roman" w:cs="Times New Roman"/>
          <w:sz w:val="24"/>
          <w:szCs w:val="24"/>
        </w:rPr>
        <w:t>, a to konkrétne vo forme oboznámenia sa s reguláciou, overenia súladu  - zistenie potrebných skutočností a porovnanie súčasného stavu s novými zákonnými požiadavkami a vo forme zmeny vnútorných procesov. Frekvencia administratívnych nákladov sa predpokladá jednorazovo a</w:t>
      </w:r>
      <w:r w:rsidR="00C40D1F" w:rsidRPr="004577C1">
        <w:rPr>
          <w:rFonts w:ascii="Times New Roman" w:hAnsi="Times New Roman" w:cs="Times New Roman"/>
          <w:sz w:val="24"/>
          <w:szCs w:val="24"/>
        </w:rPr>
        <w:t> </w:t>
      </w:r>
      <w:r w:rsidR="00B66C85" w:rsidRPr="004577C1">
        <w:rPr>
          <w:rFonts w:ascii="Times New Roman" w:hAnsi="Times New Roman" w:cs="Times New Roman"/>
          <w:sz w:val="24"/>
          <w:szCs w:val="24"/>
        </w:rPr>
        <w:t>povinnosti</w:t>
      </w:r>
      <w:r w:rsidR="00C40D1F" w:rsidRPr="004577C1">
        <w:rPr>
          <w:rFonts w:ascii="Times New Roman" w:hAnsi="Times New Roman" w:cs="Times New Roman"/>
          <w:sz w:val="24"/>
          <w:szCs w:val="24"/>
        </w:rPr>
        <w:t>,</w:t>
      </w:r>
      <w:r w:rsidR="00B66C85" w:rsidRPr="004577C1">
        <w:rPr>
          <w:rFonts w:ascii="Times New Roman" w:hAnsi="Times New Roman" w:cs="Times New Roman"/>
          <w:sz w:val="24"/>
          <w:szCs w:val="24"/>
        </w:rPr>
        <w:t xml:space="preserve"> z ktorých vznikn</w:t>
      </w:r>
      <w:r w:rsidR="00524E6F" w:rsidRPr="004577C1">
        <w:rPr>
          <w:rFonts w:ascii="Times New Roman" w:hAnsi="Times New Roman" w:cs="Times New Roman"/>
          <w:sz w:val="24"/>
          <w:szCs w:val="24"/>
        </w:rPr>
        <w:t>e</w:t>
      </w:r>
      <w:r w:rsidR="00B66C85" w:rsidRPr="004577C1">
        <w:rPr>
          <w:rFonts w:ascii="Times New Roman" w:hAnsi="Times New Roman" w:cs="Times New Roman"/>
          <w:sz w:val="24"/>
          <w:szCs w:val="24"/>
        </w:rPr>
        <w:t xml:space="preserve"> </w:t>
      </w:r>
      <w:r w:rsidRPr="004577C1">
        <w:rPr>
          <w:rFonts w:ascii="Times New Roman" w:hAnsi="Times New Roman" w:cs="Times New Roman"/>
          <w:sz w:val="24"/>
          <w:szCs w:val="24"/>
        </w:rPr>
        <w:t>administratívn</w:t>
      </w:r>
      <w:r w:rsidR="00524E6F" w:rsidRPr="004577C1">
        <w:rPr>
          <w:rFonts w:ascii="Times New Roman" w:hAnsi="Times New Roman" w:cs="Times New Roman"/>
          <w:sz w:val="24"/>
          <w:szCs w:val="24"/>
        </w:rPr>
        <w:t>a</w:t>
      </w:r>
      <w:r w:rsidRPr="004577C1">
        <w:rPr>
          <w:rFonts w:ascii="Times New Roman" w:hAnsi="Times New Roman" w:cs="Times New Roman"/>
          <w:sz w:val="24"/>
          <w:szCs w:val="24"/>
        </w:rPr>
        <w:t xml:space="preserve"> </w:t>
      </w:r>
      <w:r w:rsidR="00524E6F" w:rsidRPr="004577C1">
        <w:rPr>
          <w:rFonts w:ascii="Times New Roman" w:hAnsi="Times New Roman" w:cs="Times New Roman"/>
          <w:sz w:val="24"/>
          <w:szCs w:val="24"/>
        </w:rPr>
        <w:t>záťaž</w:t>
      </w:r>
      <w:r w:rsidR="00C40D1F" w:rsidRPr="004577C1">
        <w:rPr>
          <w:rFonts w:ascii="Times New Roman" w:hAnsi="Times New Roman" w:cs="Times New Roman"/>
          <w:sz w:val="24"/>
          <w:szCs w:val="24"/>
        </w:rPr>
        <w:t>,</w:t>
      </w:r>
      <w:r w:rsidRPr="004577C1">
        <w:rPr>
          <w:rFonts w:ascii="Times New Roman" w:hAnsi="Times New Roman" w:cs="Times New Roman"/>
          <w:sz w:val="24"/>
          <w:szCs w:val="24"/>
        </w:rPr>
        <w:t xml:space="preserve"> je možné splniť aj elektronicky.</w:t>
      </w:r>
    </w:p>
    <w:p w14:paraId="29E7C4D8" w14:textId="77777777" w:rsidR="00D8062B" w:rsidRPr="004577C1" w:rsidRDefault="00D8062B" w:rsidP="00512BA7">
      <w:pPr>
        <w:jc w:val="both"/>
        <w:rPr>
          <w:rFonts w:ascii="Times New Roman" w:hAnsi="Times New Roman" w:cs="Times New Roman"/>
          <w:sz w:val="24"/>
          <w:szCs w:val="24"/>
        </w:rPr>
      </w:pPr>
    </w:p>
    <w:p w14:paraId="11A06B27" w14:textId="03643EC3" w:rsidR="00D8062B" w:rsidRPr="004577C1" w:rsidRDefault="006F68A0" w:rsidP="00D8062B">
      <w:pPr>
        <w:pStyle w:val="Odsekzoznamu"/>
        <w:numPr>
          <w:ilvl w:val="0"/>
          <w:numId w:val="15"/>
        </w:numPr>
        <w:jc w:val="both"/>
        <w:rPr>
          <w:rFonts w:ascii="Times New Roman" w:eastAsia="Calibri" w:hAnsi="Times New Roman" w:cs="Times New Roman"/>
          <w:bCs/>
          <w:i/>
          <w:iCs/>
          <w:sz w:val="24"/>
          <w:szCs w:val="24"/>
        </w:rPr>
      </w:pPr>
      <w:r w:rsidRPr="004577C1">
        <w:rPr>
          <w:rFonts w:ascii="Times New Roman" w:eastAsia="Calibri" w:hAnsi="Times New Roman" w:cs="Times New Roman"/>
          <w:bCs/>
          <w:i/>
          <w:iCs/>
          <w:sz w:val="24"/>
          <w:szCs w:val="24"/>
        </w:rPr>
        <w:t>Vypracovani</w:t>
      </w:r>
      <w:r w:rsidR="00E40D4D" w:rsidRPr="004577C1">
        <w:rPr>
          <w:rFonts w:ascii="Times New Roman" w:eastAsia="Calibri" w:hAnsi="Times New Roman" w:cs="Times New Roman"/>
          <w:bCs/>
          <w:i/>
          <w:iCs/>
          <w:sz w:val="24"/>
          <w:szCs w:val="24"/>
        </w:rPr>
        <w:t xml:space="preserve">e všeobecných informácií </w:t>
      </w:r>
    </w:p>
    <w:p w14:paraId="00BC25A4" w14:textId="3F485669" w:rsidR="00E40D4D" w:rsidRPr="004577C1" w:rsidRDefault="006F68A0" w:rsidP="00E40D4D">
      <w:pPr>
        <w:jc w:val="both"/>
        <w:rPr>
          <w:rFonts w:ascii="Times New Roman" w:hAnsi="Times New Roman" w:cs="Times New Roman"/>
          <w:sz w:val="24"/>
          <w:szCs w:val="24"/>
        </w:rPr>
      </w:pPr>
      <w:r w:rsidRPr="004577C1">
        <w:rPr>
          <w:rFonts w:ascii="Times New Roman" w:eastAsia="Calibri" w:hAnsi="Times New Roman" w:cs="Times New Roman"/>
          <w:bCs/>
          <w:iCs/>
          <w:sz w:val="24"/>
          <w:szCs w:val="24"/>
        </w:rPr>
        <w:t>Vypracovanie</w:t>
      </w:r>
      <w:r w:rsidR="00C073BF" w:rsidRPr="004577C1">
        <w:rPr>
          <w:rFonts w:ascii="Times New Roman" w:eastAsia="Calibri" w:hAnsi="Times New Roman" w:cs="Times New Roman"/>
          <w:bCs/>
          <w:iCs/>
          <w:sz w:val="24"/>
          <w:szCs w:val="24"/>
        </w:rPr>
        <w:t xml:space="preserve"> všeobecných informácií spotrebiteľom bude predstavovať nepriame finančné náklady a administratívnu záťaž pre dotknuté subjekty, ktorými sú veritelia </w:t>
      </w:r>
      <w:r w:rsidR="0061797B" w:rsidRPr="004577C1">
        <w:rPr>
          <w:rFonts w:ascii="Times New Roman" w:eastAsia="Calibri" w:hAnsi="Times New Roman" w:cs="Times New Roman"/>
          <w:bCs/>
          <w:iCs/>
          <w:sz w:val="24"/>
          <w:szCs w:val="24"/>
        </w:rPr>
        <w:t>(5</w:t>
      </w:r>
      <w:r w:rsidR="00BA758E" w:rsidRPr="004577C1">
        <w:rPr>
          <w:rFonts w:ascii="Times New Roman" w:eastAsia="Calibri" w:hAnsi="Times New Roman" w:cs="Times New Roman"/>
          <w:bCs/>
          <w:iCs/>
          <w:sz w:val="24"/>
          <w:szCs w:val="24"/>
        </w:rPr>
        <w:t>6</w:t>
      </w:r>
      <w:r w:rsidRPr="004577C1">
        <w:rPr>
          <w:rFonts w:ascii="Times New Roman" w:eastAsia="Calibri" w:hAnsi="Times New Roman" w:cs="Times New Roman"/>
          <w:bCs/>
          <w:iCs/>
          <w:sz w:val="24"/>
          <w:szCs w:val="24"/>
        </w:rPr>
        <w:t xml:space="preserve"> subjektov</w:t>
      </w:r>
      <w:r w:rsidR="00BA758E" w:rsidRPr="004577C1">
        <w:rPr>
          <w:rFonts w:ascii="Times New Roman" w:eastAsia="Calibri" w:hAnsi="Times New Roman" w:cs="Times New Roman"/>
          <w:bCs/>
          <w:iCs/>
          <w:sz w:val="24"/>
          <w:szCs w:val="24"/>
        </w:rPr>
        <w:t xml:space="preserve"> – viď. opis v bode 1). </w:t>
      </w:r>
      <w:r w:rsidR="00265F44" w:rsidRPr="004577C1">
        <w:rPr>
          <w:rFonts w:ascii="Times New Roman" w:hAnsi="Times New Roman" w:cs="Times New Roman"/>
          <w:sz w:val="24"/>
          <w:szCs w:val="24"/>
        </w:rPr>
        <w:t xml:space="preserve">Predpokladané nepriame finančné náklady sú stanovené expertným odhadom do výšky </w:t>
      </w:r>
      <w:r w:rsidRPr="004577C1">
        <w:rPr>
          <w:rFonts w:ascii="Times New Roman" w:hAnsi="Times New Roman" w:cs="Times New Roman"/>
          <w:sz w:val="24"/>
          <w:szCs w:val="24"/>
        </w:rPr>
        <w:t>1</w:t>
      </w:r>
      <w:r w:rsidR="00FE29A3" w:rsidRPr="004577C1">
        <w:rPr>
          <w:rFonts w:ascii="Times New Roman" w:hAnsi="Times New Roman" w:cs="Times New Roman"/>
          <w:sz w:val="24"/>
          <w:szCs w:val="24"/>
        </w:rPr>
        <w:t>5</w:t>
      </w:r>
      <w:r w:rsidR="00265F44" w:rsidRPr="004577C1">
        <w:rPr>
          <w:rFonts w:ascii="Times New Roman" w:hAnsi="Times New Roman" w:cs="Times New Roman"/>
          <w:sz w:val="24"/>
          <w:szCs w:val="24"/>
        </w:rPr>
        <w:t xml:space="preserve"> 000 eur na jeden dotknutý subjekt, pričom tieto náklady sa predpokladajú jednorazovo</w:t>
      </w:r>
      <w:r w:rsidR="00562D41" w:rsidRPr="004577C1">
        <w:rPr>
          <w:rFonts w:ascii="Times New Roman" w:hAnsi="Times New Roman" w:cs="Times New Roman"/>
          <w:sz w:val="24"/>
          <w:szCs w:val="24"/>
        </w:rPr>
        <w:t xml:space="preserve"> a vzniknú</w:t>
      </w:r>
      <w:r w:rsidR="00265F44" w:rsidRPr="004577C1">
        <w:rPr>
          <w:rFonts w:ascii="Times New Roman" w:hAnsi="Times New Roman" w:cs="Times New Roman"/>
          <w:sz w:val="24"/>
          <w:szCs w:val="24"/>
        </w:rPr>
        <w:t xml:space="preserve"> najmä z dôvodu zabezpečenia súladu interných procesov s požiadavkami regulácie (t. j. vypracovanie a zabezpečenie všeobecných informácií pre spotrebiteľa). Predmetná regulácia spôsobuje aj zvýšenie administratívnych nákladov, a to konkrétne vo forme oboznámenia sa s reguláciou a následne vo forme zmeny vnútorných procesov</w:t>
      </w:r>
      <w:r w:rsidR="00562D41" w:rsidRPr="004577C1">
        <w:rPr>
          <w:rFonts w:ascii="Times New Roman" w:hAnsi="Times New Roman" w:cs="Times New Roman"/>
          <w:sz w:val="24"/>
          <w:szCs w:val="24"/>
        </w:rPr>
        <w:t xml:space="preserve"> na</w:t>
      </w:r>
      <w:r w:rsidR="00265F44" w:rsidRPr="004577C1">
        <w:rPr>
          <w:rFonts w:ascii="Times New Roman" w:hAnsi="Times New Roman" w:cs="Times New Roman"/>
          <w:sz w:val="24"/>
          <w:szCs w:val="24"/>
        </w:rPr>
        <w:t xml:space="preserve"> zabezpeč</w:t>
      </w:r>
      <w:r w:rsidR="00562D41" w:rsidRPr="004577C1">
        <w:rPr>
          <w:rFonts w:ascii="Times New Roman" w:hAnsi="Times New Roman" w:cs="Times New Roman"/>
          <w:sz w:val="24"/>
          <w:szCs w:val="24"/>
        </w:rPr>
        <w:t>enie</w:t>
      </w:r>
      <w:r w:rsidR="00265F44" w:rsidRPr="004577C1">
        <w:rPr>
          <w:rFonts w:ascii="Times New Roman" w:hAnsi="Times New Roman" w:cs="Times New Roman"/>
          <w:sz w:val="24"/>
          <w:szCs w:val="24"/>
        </w:rPr>
        <w:t xml:space="preserve"> správn</w:t>
      </w:r>
      <w:r w:rsidR="00562D41" w:rsidRPr="004577C1">
        <w:rPr>
          <w:rFonts w:ascii="Times New Roman" w:hAnsi="Times New Roman" w:cs="Times New Roman"/>
          <w:sz w:val="24"/>
          <w:szCs w:val="24"/>
        </w:rPr>
        <w:t>ej</w:t>
      </w:r>
      <w:r w:rsidR="00265F44" w:rsidRPr="004577C1">
        <w:rPr>
          <w:rFonts w:ascii="Times New Roman" w:hAnsi="Times New Roman" w:cs="Times New Roman"/>
          <w:sz w:val="24"/>
          <w:szCs w:val="24"/>
        </w:rPr>
        <w:t xml:space="preserve"> aplikáci</w:t>
      </w:r>
      <w:r w:rsidR="00562D41" w:rsidRPr="004577C1">
        <w:rPr>
          <w:rFonts w:ascii="Times New Roman" w:hAnsi="Times New Roman" w:cs="Times New Roman"/>
          <w:sz w:val="24"/>
          <w:szCs w:val="24"/>
        </w:rPr>
        <w:t>e</w:t>
      </w:r>
      <w:r w:rsidR="00265F44" w:rsidRPr="004577C1">
        <w:rPr>
          <w:rFonts w:ascii="Times New Roman" w:hAnsi="Times New Roman" w:cs="Times New Roman"/>
          <w:sz w:val="24"/>
          <w:szCs w:val="24"/>
        </w:rPr>
        <w:t xml:space="preserve"> ustanovenia. Administratívne náklady tvorí aj vypracovanie dokumentu so všeobecných informáciami o zmluve o spotrebiteľskom úvere, ktor</w:t>
      </w:r>
      <w:r w:rsidR="00562D41" w:rsidRPr="004577C1">
        <w:rPr>
          <w:rFonts w:ascii="Times New Roman" w:hAnsi="Times New Roman" w:cs="Times New Roman"/>
          <w:sz w:val="24"/>
          <w:szCs w:val="24"/>
        </w:rPr>
        <w:t>ý</w:t>
      </w:r>
      <w:r w:rsidR="00265F44" w:rsidRPr="004577C1">
        <w:rPr>
          <w:rFonts w:ascii="Times New Roman" w:hAnsi="Times New Roman" w:cs="Times New Roman"/>
          <w:sz w:val="24"/>
          <w:szCs w:val="24"/>
        </w:rPr>
        <w:t xml:space="preserve"> sa môže poskytovať v papierovej forme alebo na inom trvanlivom médiu. </w:t>
      </w:r>
    </w:p>
    <w:p w14:paraId="085B9379" w14:textId="77777777" w:rsidR="00FA60BB" w:rsidRPr="004577C1" w:rsidRDefault="00FA60BB" w:rsidP="00E40D4D">
      <w:pPr>
        <w:jc w:val="both"/>
        <w:rPr>
          <w:rFonts w:ascii="Times New Roman" w:hAnsi="Times New Roman" w:cs="Times New Roman"/>
          <w:sz w:val="24"/>
          <w:szCs w:val="24"/>
        </w:rPr>
      </w:pPr>
    </w:p>
    <w:p w14:paraId="56C8545B" w14:textId="1A9065E3" w:rsidR="00FA60BB" w:rsidRPr="004577C1" w:rsidRDefault="00FA60BB" w:rsidP="00FA60BB">
      <w:pPr>
        <w:pStyle w:val="Odsekzoznamu"/>
        <w:numPr>
          <w:ilvl w:val="0"/>
          <w:numId w:val="15"/>
        </w:numPr>
        <w:jc w:val="both"/>
        <w:rPr>
          <w:rFonts w:ascii="Times New Roman" w:eastAsia="Calibri" w:hAnsi="Times New Roman" w:cs="Times New Roman"/>
          <w:bCs/>
          <w:i/>
          <w:iCs/>
          <w:sz w:val="24"/>
          <w:szCs w:val="24"/>
        </w:rPr>
      </w:pPr>
      <w:r w:rsidRPr="004577C1">
        <w:rPr>
          <w:rFonts w:ascii="Times New Roman" w:eastAsia="Calibri" w:hAnsi="Times New Roman" w:cs="Times New Roman"/>
          <w:bCs/>
          <w:i/>
          <w:iCs/>
          <w:sz w:val="24"/>
          <w:szCs w:val="24"/>
        </w:rPr>
        <w:t>Pripomenutie možnosti o odstúpení</w:t>
      </w:r>
    </w:p>
    <w:p w14:paraId="35233EDA" w14:textId="5527D628" w:rsidR="00265F44" w:rsidRPr="004577C1" w:rsidRDefault="00FA60BB" w:rsidP="00512BA7">
      <w:pPr>
        <w:jc w:val="both"/>
        <w:rPr>
          <w:rFonts w:ascii="Times New Roman" w:eastAsia="Calibri" w:hAnsi="Times New Roman" w:cs="Times New Roman"/>
          <w:bCs/>
          <w:sz w:val="24"/>
          <w:szCs w:val="24"/>
        </w:rPr>
      </w:pPr>
      <w:r w:rsidRPr="004577C1">
        <w:rPr>
          <w:rFonts w:ascii="Times New Roman" w:eastAsia="Calibri" w:hAnsi="Times New Roman" w:cs="Times New Roman"/>
          <w:bCs/>
          <w:sz w:val="24"/>
          <w:szCs w:val="24"/>
        </w:rPr>
        <w:t>Ustanovuje sa povinnosť pre veriteľa</w:t>
      </w:r>
      <w:r w:rsidR="00155FB8" w:rsidRPr="004577C1">
        <w:rPr>
          <w:rFonts w:ascii="Times New Roman" w:eastAsia="Calibri" w:hAnsi="Times New Roman" w:cs="Times New Roman"/>
          <w:bCs/>
          <w:sz w:val="24"/>
          <w:szCs w:val="24"/>
        </w:rPr>
        <w:t>,</w:t>
      </w:r>
      <w:r w:rsidRPr="004577C1">
        <w:rPr>
          <w:rFonts w:ascii="Times New Roman" w:eastAsia="Calibri" w:hAnsi="Times New Roman" w:cs="Times New Roman"/>
          <w:bCs/>
          <w:sz w:val="24"/>
          <w:szCs w:val="24"/>
        </w:rPr>
        <w:t xml:space="preserve"> pripomenúť spotrebiteľovi možnosť o odstúpení od zmluvy o spotrebiteľskom úvere v prípade, ak sa predzmluvné informácie poskytnú spotrebiteľovi menej než jeden deň predtým, ako začne byť spotrebiteľ viazaný zmluvou o spotrebiteľskom úvere alebo jej ponukou. Zavedenie predmetnej regulácie bude predstavovať administratívnu záťaž v zmysle potreby oboznámenia sa s reguláciou, zapracovan</w:t>
      </w:r>
      <w:r w:rsidR="00155FB8" w:rsidRPr="004577C1">
        <w:rPr>
          <w:rFonts w:ascii="Times New Roman" w:eastAsia="Calibri" w:hAnsi="Times New Roman" w:cs="Times New Roman"/>
          <w:bCs/>
          <w:sz w:val="24"/>
          <w:szCs w:val="24"/>
        </w:rPr>
        <w:t>ia</w:t>
      </w:r>
      <w:r w:rsidRPr="004577C1">
        <w:rPr>
          <w:rFonts w:ascii="Times New Roman" w:eastAsia="Calibri" w:hAnsi="Times New Roman" w:cs="Times New Roman"/>
          <w:bCs/>
          <w:sz w:val="24"/>
          <w:szCs w:val="24"/>
        </w:rPr>
        <w:t xml:space="preserve"> postupu do vnútorných procesov dotknutého subjektu a vytvoren</w:t>
      </w:r>
      <w:r w:rsidR="00155FB8" w:rsidRPr="004577C1">
        <w:rPr>
          <w:rFonts w:ascii="Times New Roman" w:eastAsia="Calibri" w:hAnsi="Times New Roman" w:cs="Times New Roman"/>
          <w:bCs/>
          <w:sz w:val="24"/>
          <w:szCs w:val="24"/>
        </w:rPr>
        <w:t>ia</w:t>
      </w:r>
      <w:r w:rsidRPr="004577C1">
        <w:rPr>
          <w:rFonts w:ascii="Times New Roman" w:eastAsia="Calibri" w:hAnsi="Times New Roman" w:cs="Times New Roman"/>
          <w:bCs/>
          <w:sz w:val="24"/>
          <w:szCs w:val="24"/>
        </w:rPr>
        <w:t xml:space="preserve"> systému na pripomenutie odstúpenia od zmluvy – konkrétna záťaž bude závisieť od toho, či dotknutý subjekt bude ako trvanlivé médium využívať digitálnu formu alebo listinnú formu. Predpokladané nepriame finančné náklady súvisiace s reguláciou sú odhadované na </w:t>
      </w:r>
      <w:r w:rsidR="008A1044" w:rsidRPr="004577C1">
        <w:rPr>
          <w:rFonts w:ascii="Times New Roman" w:eastAsia="Calibri" w:hAnsi="Times New Roman" w:cs="Times New Roman"/>
          <w:bCs/>
          <w:sz w:val="24"/>
          <w:szCs w:val="24"/>
        </w:rPr>
        <w:t>10</w:t>
      </w:r>
      <w:r w:rsidR="00135C46" w:rsidRPr="004577C1">
        <w:rPr>
          <w:rFonts w:ascii="Times New Roman" w:eastAsia="Calibri" w:hAnsi="Times New Roman" w:cs="Times New Roman"/>
          <w:bCs/>
          <w:sz w:val="24"/>
          <w:szCs w:val="24"/>
        </w:rPr>
        <w:t xml:space="preserve"> </w:t>
      </w:r>
      <w:r w:rsidRPr="004577C1">
        <w:rPr>
          <w:rFonts w:ascii="Times New Roman" w:eastAsia="Calibri" w:hAnsi="Times New Roman" w:cs="Times New Roman"/>
          <w:bCs/>
          <w:sz w:val="24"/>
          <w:szCs w:val="24"/>
        </w:rPr>
        <w:t xml:space="preserve">000 eur na jedného podnikateľa jednorazovo, pričom konkrétna výška bude závisieť hlavne od miery digitalizácie dotknutého subjektu. Rovnako ako v predchádzajúcich reguláciách, počet dotknutých subjektov vychádza </w:t>
      </w:r>
      <w:r w:rsidR="0061797B" w:rsidRPr="004577C1">
        <w:rPr>
          <w:rFonts w:ascii="Times New Roman" w:eastAsia="Calibri" w:hAnsi="Times New Roman" w:cs="Times New Roman"/>
          <w:bCs/>
          <w:sz w:val="24"/>
          <w:szCs w:val="24"/>
        </w:rPr>
        <w:t>z dát zverejnených NBS,</w:t>
      </w:r>
      <w:r w:rsidR="007A6264" w:rsidRPr="004577C1">
        <w:rPr>
          <w:rFonts w:ascii="Times New Roman" w:eastAsia="Calibri" w:hAnsi="Times New Roman" w:cs="Times New Roman"/>
          <w:bCs/>
          <w:sz w:val="24"/>
          <w:szCs w:val="24"/>
        </w:rPr>
        <w:t xml:space="preserve"> doplnený expertným odhadom</w:t>
      </w:r>
      <w:r w:rsidR="0061797B" w:rsidRPr="004577C1">
        <w:rPr>
          <w:rFonts w:ascii="Times New Roman" w:eastAsia="Calibri" w:hAnsi="Times New Roman" w:cs="Times New Roman"/>
          <w:bCs/>
          <w:sz w:val="24"/>
          <w:szCs w:val="24"/>
        </w:rPr>
        <w:t xml:space="preserve"> t. j. 5</w:t>
      </w:r>
      <w:r w:rsidR="007A6264" w:rsidRPr="004577C1">
        <w:rPr>
          <w:rFonts w:ascii="Times New Roman" w:eastAsia="Calibri" w:hAnsi="Times New Roman" w:cs="Times New Roman"/>
          <w:bCs/>
          <w:sz w:val="24"/>
          <w:szCs w:val="24"/>
        </w:rPr>
        <w:t>6</w:t>
      </w:r>
      <w:r w:rsidRPr="004577C1">
        <w:rPr>
          <w:rFonts w:ascii="Times New Roman" w:eastAsia="Calibri" w:hAnsi="Times New Roman" w:cs="Times New Roman"/>
          <w:bCs/>
          <w:sz w:val="24"/>
          <w:szCs w:val="24"/>
        </w:rPr>
        <w:t xml:space="preserve"> subjektov. Administratívna záťaž sa taktiež predpokladá jednorazovo.</w:t>
      </w:r>
    </w:p>
    <w:p w14:paraId="51A38A40" w14:textId="77777777" w:rsidR="00AD3F29" w:rsidRPr="004577C1" w:rsidRDefault="00AD3F29" w:rsidP="00512BA7">
      <w:pPr>
        <w:jc w:val="both"/>
        <w:rPr>
          <w:rFonts w:ascii="Times New Roman" w:eastAsia="Calibri" w:hAnsi="Times New Roman" w:cs="Times New Roman"/>
          <w:bCs/>
          <w:sz w:val="24"/>
          <w:szCs w:val="24"/>
        </w:rPr>
      </w:pPr>
    </w:p>
    <w:p w14:paraId="5D5750B1" w14:textId="360490EA" w:rsidR="00AD3F29" w:rsidRPr="004577C1" w:rsidRDefault="00AD3F29" w:rsidP="00AD3F29">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Úprava formulára pre štandardné európske informácie o spotrebiteľskom úvere</w:t>
      </w:r>
    </w:p>
    <w:p w14:paraId="055BC044" w14:textId="08A79A97" w:rsidR="00AD3F29" w:rsidRPr="004577C1" w:rsidRDefault="00AD3F29" w:rsidP="00AD3F29">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Predmetná regulácia bude predstavovať zvýšenie nepriamych finančných nákladov a administratívnej záťaže pre dotknuté subjekty, ktorými sú </w:t>
      </w:r>
      <w:r w:rsidR="0061797B" w:rsidRPr="004577C1">
        <w:rPr>
          <w:rFonts w:ascii="Times New Roman" w:eastAsia="Calibri" w:hAnsi="Times New Roman" w:cs="Times New Roman"/>
          <w:sz w:val="24"/>
          <w:szCs w:val="24"/>
        </w:rPr>
        <w:t xml:space="preserve">veritelia </w:t>
      </w:r>
      <w:r w:rsidR="00EC431A" w:rsidRPr="004577C1">
        <w:rPr>
          <w:rFonts w:ascii="Times New Roman" w:eastAsia="Calibri" w:hAnsi="Times New Roman" w:cs="Times New Roman"/>
          <w:sz w:val="24"/>
          <w:szCs w:val="24"/>
        </w:rPr>
        <w:t>(56 subjektov – viď. opis v bode 1).</w:t>
      </w:r>
      <w:r w:rsidRPr="004577C1">
        <w:rPr>
          <w:rFonts w:ascii="Times New Roman" w:eastAsia="Calibri" w:hAnsi="Times New Roman" w:cs="Times New Roman"/>
          <w:sz w:val="24"/>
          <w:szCs w:val="24"/>
        </w:rPr>
        <w:t xml:space="preserve"> Administratívna záťaž na úpravu formulára sa predpokladá v oblasti oboznámenia </w:t>
      </w:r>
      <w:r w:rsidRPr="004577C1">
        <w:rPr>
          <w:rFonts w:ascii="Times New Roman" w:eastAsia="Calibri" w:hAnsi="Times New Roman" w:cs="Times New Roman"/>
          <w:sz w:val="24"/>
          <w:szCs w:val="24"/>
        </w:rPr>
        <w:lastRenderedPageBreak/>
        <w:t>sa s reguláciou a vypracovan</w:t>
      </w:r>
      <w:r w:rsidR="000E7F26" w:rsidRPr="004577C1">
        <w:rPr>
          <w:rFonts w:ascii="Times New Roman" w:eastAsia="Calibri" w:hAnsi="Times New Roman" w:cs="Times New Roman"/>
          <w:sz w:val="24"/>
          <w:szCs w:val="24"/>
        </w:rPr>
        <w:t>ia</w:t>
      </w:r>
      <w:r w:rsidRPr="004577C1">
        <w:rPr>
          <w:rFonts w:ascii="Times New Roman" w:eastAsia="Calibri" w:hAnsi="Times New Roman" w:cs="Times New Roman"/>
          <w:sz w:val="24"/>
          <w:szCs w:val="24"/>
        </w:rPr>
        <w:t xml:space="preserve"> dokumentu, konkrétne daného formulára pre štandardné európske informácie o spotrebiteľskom úvere, ktorého zmena bude spôsobená návrhom zákona</w:t>
      </w:r>
      <w:r w:rsidR="008615AA" w:rsidRPr="004577C1">
        <w:rPr>
          <w:rFonts w:ascii="Times New Roman" w:eastAsia="Calibri" w:hAnsi="Times New Roman" w:cs="Times New Roman"/>
          <w:sz w:val="24"/>
          <w:szCs w:val="24"/>
        </w:rPr>
        <w:t xml:space="preserve"> (</w:t>
      </w:r>
      <w:r w:rsidR="001C4856" w:rsidRPr="004577C1">
        <w:rPr>
          <w:rFonts w:ascii="Times New Roman" w:eastAsia="Calibri" w:hAnsi="Times New Roman" w:cs="Times New Roman"/>
          <w:sz w:val="24"/>
          <w:szCs w:val="24"/>
        </w:rPr>
        <w:t xml:space="preserve">v súčasnosti </w:t>
      </w:r>
      <w:r w:rsidR="008615AA" w:rsidRPr="004577C1">
        <w:rPr>
          <w:rFonts w:ascii="Times New Roman" w:eastAsia="Calibri" w:hAnsi="Times New Roman" w:cs="Times New Roman"/>
          <w:sz w:val="24"/>
          <w:szCs w:val="24"/>
        </w:rPr>
        <w:t>formulár už existuje)</w:t>
      </w:r>
      <w:r w:rsidRPr="004577C1">
        <w:rPr>
          <w:rFonts w:ascii="Times New Roman" w:eastAsia="Calibri" w:hAnsi="Times New Roman" w:cs="Times New Roman"/>
          <w:sz w:val="24"/>
          <w:szCs w:val="24"/>
        </w:rPr>
        <w:t xml:space="preserve">. Nepriame finančné náklady sa </w:t>
      </w:r>
      <w:r w:rsidR="006D4183" w:rsidRPr="004577C1">
        <w:rPr>
          <w:rFonts w:ascii="Times New Roman" w:eastAsia="Calibri" w:hAnsi="Times New Roman" w:cs="Times New Roman"/>
          <w:sz w:val="24"/>
          <w:szCs w:val="24"/>
        </w:rPr>
        <w:t xml:space="preserve">expertným odhadom </w:t>
      </w:r>
      <w:r w:rsidR="008615AA" w:rsidRPr="004577C1">
        <w:rPr>
          <w:rFonts w:ascii="Times New Roman" w:eastAsia="Calibri" w:hAnsi="Times New Roman" w:cs="Times New Roman"/>
          <w:sz w:val="24"/>
          <w:szCs w:val="24"/>
        </w:rPr>
        <w:t>predpokladajú vo výške 10</w:t>
      </w:r>
      <w:r w:rsidRPr="004577C1">
        <w:rPr>
          <w:rFonts w:ascii="Times New Roman" w:eastAsia="Calibri" w:hAnsi="Times New Roman" w:cs="Times New Roman"/>
          <w:sz w:val="24"/>
          <w:szCs w:val="24"/>
        </w:rPr>
        <w:t> 000 eur na jeden dotknutý subjekt, konkrétna výška však bude závisieť od viacerých faktorov, ako napríklad forma</w:t>
      </w:r>
      <w:r w:rsidR="00685EE2" w:rsidRPr="004577C1">
        <w:rPr>
          <w:rFonts w:ascii="Times New Roman" w:eastAsia="Calibri" w:hAnsi="Times New Roman" w:cs="Times New Roman"/>
          <w:sz w:val="24"/>
          <w:szCs w:val="24"/>
        </w:rPr>
        <w:t>,</w:t>
      </w:r>
      <w:r w:rsidRPr="004577C1">
        <w:rPr>
          <w:rFonts w:ascii="Times New Roman" w:eastAsia="Calibri" w:hAnsi="Times New Roman" w:cs="Times New Roman"/>
          <w:sz w:val="24"/>
          <w:szCs w:val="24"/>
        </w:rPr>
        <w:t xml:space="preserve"> v akej formulár veriteľ bude využívať a pod. Náklad sa predpokladá jednorazovo, nakoľko potrebná bude len prvotná zmena formulára. </w:t>
      </w:r>
    </w:p>
    <w:p w14:paraId="16D352E9" w14:textId="03933ED3" w:rsidR="00AB7BEF" w:rsidRPr="004577C1" w:rsidRDefault="00AB7BEF" w:rsidP="00AD3F29">
      <w:pPr>
        <w:jc w:val="both"/>
        <w:rPr>
          <w:rFonts w:ascii="Times New Roman" w:eastAsia="Calibri" w:hAnsi="Times New Roman" w:cs="Times New Roman"/>
          <w:sz w:val="24"/>
          <w:szCs w:val="24"/>
        </w:rPr>
      </w:pPr>
    </w:p>
    <w:p w14:paraId="6323706D" w14:textId="26D1E52E" w:rsidR="00AB7BEF" w:rsidRPr="004577C1" w:rsidRDefault="00AB7BEF" w:rsidP="00AB7BE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Informačná povinnosť veriteľa o použití automatizovaného spracovania osobných údajov</w:t>
      </w:r>
    </w:p>
    <w:p w14:paraId="42DDD9DA" w14:textId="0814DDCA" w:rsidR="00AB7BEF" w:rsidRPr="004577C1" w:rsidRDefault="00AB7BEF" w:rsidP="00AD3F29">
      <w:pPr>
        <w:jc w:val="both"/>
        <w:rPr>
          <w:rFonts w:ascii="Times New Roman" w:eastAsia="Calibri" w:hAnsi="Times New Roman" w:cs="Times New Roman"/>
          <w:bCs/>
          <w:sz w:val="24"/>
          <w:szCs w:val="24"/>
        </w:rPr>
      </w:pPr>
      <w:r w:rsidRPr="004577C1">
        <w:rPr>
          <w:rFonts w:ascii="Times New Roman" w:eastAsia="Calibri" w:hAnsi="Times New Roman" w:cs="Times New Roman"/>
          <w:bCs/>
          <w:sz w:val="24"/>
          <w:szCs w:val="24"/>
        </w:rPr>
        <w:t>Predmetná regulácia bude predstavovať zvýšenie nepriamych finančných nákladov a administratívnej záťaže dotknutých subjektov, ktorými sú veritelia (</w:t>
      </w:r>
      <w:r w:rsidR="00EC431A" w:rsidRPr="004577C1">
        <w:rPr>
          <w:rFonts w:ascii="Times New Roman" w:eastAsia="Calibri" w:hAnsi="Times New Roman" w:cs="Times New Roman"/>
          <w:bCs/>
          <w:sz w:val="24"/>
          <w:szCs w:val="24"/>
        </w:rPr>
        <w:t>56 subjektov – viď. opis v bode 1)</w:t>
      </w:r>
      <w:r w:rsidRPr="004577C1">
        <w:rPr>
          <w:rFonts w:ascii="Times New Roman" w:eastAsia="Calibri" w:hAnsi="Times New Roman" w:cs="Times New Roman"/>
          <w:bCs/>
          <w:sz w:val="24"/>
          <w:szCs w:val="24"/>
        </w:rPr>
        <w:t>. Predpokladané nepriame finančné náklady sú stanovené expertným odhadom do výšky 5 000 eur na jeden dotknutý subjekt, pričom konkrétna výška bude závisieť od formy, v akej sa splní informačná povinnosť veriteľa. Nepriame finančné náklady sa predpokladajú jednorazovo, najmä na nastavenie interných postupov. Predmetná regulácia spôsobuje aj zvýšenie administratívnych nákladov, a to konkrétne vo forme oboznámenia sa s reguláciou a vo forme zmeny vnútorných procesov. Frekvencia administratívnych nákladov sa predpokladá jednorazovo a povinnosti, z ktorých vznikne administratívna záťaž, je možné splniť aj elektronicky.</w:t>
      </w:r>
    </w:p>
    <w:p w14:paraId="61D4217E" w14:textId="77777777" w:rsidR="007F1385" w:rsidRPr="004577C1" w:rsidRDefault="007F1385" w:rsidP="00AD3F29">
      <w:pPr>
        <w:jc w:val="both"/>
        <w:rPr>
          <w:rFonts w:ascii="Times New Roman" w:eastAsia="Calibri" w:hAnsi="Times New Roman" w:cs="Times New Roman"/>
          <w:sz w:val="24"/>
          <w:szCs w:val="24"/>
        </w:rPr>
      </w:pPr>
    </w:p>
    <w:p w14:paraId="5B3BCC39" w14:textId="400C5C55" w:rsidR="00AD3F29" w:rsidRPr="004577C1" w:rsidRDefault="007F1385" w:rsidP="00AB7BE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Informačná povinnosť o zamietnutí žiadosti spotrebiteľa</w:t>
      </w:r>
    </w:p>
    <w:p w14:paraId="682178AC" w14:textId="2D457550" w:rsidR="00265F44" w:rsidRPr="004577C1" w:rsidRDefault="007F1385" w:rsidP="00512BA7">
      <w:pPr>
        <w:jc w:val="both"/>
        <w:rPr>
          <w:rFonts w:ascii="Times New Roman" w:eastAsia="Calibri" w:hAnsi="Times New Roman" w:cs="Times New Roman"/>
          <w:bCs/>
          <w:sz w:val="24"/>
          <w:szCs w:val="24"/>
        </w:rPr>
      </w:pPr>
      <w:r w:rsidRPr="004577C1">
        <w:rPr>
          <w:rFonts w:ascii="Times New Roman" w:eastAsia="Calibri" w:hAnsi="Times New Roman" w:cs="Times New Roman"/>
          <w:bCs/>
          <w:sz w:val="24"/>
          <w:szCs w:val="24"/>
        </w:rPr>
        <w:t>Predmetná regulácia bude predstavovať zvýšenie nepriamych finančných nákladov a administratívnej záťaže dotknutých subjektov, ktorými sú veritelia (</w:t>
      </w:r>
      <w:r w:rsidR="00EC431A" w:rsidRPr="004577C1">
        <w:rPr>
          <w:rFonts w:ascii="Times New Roman" w:eastAsia="Calibri" w:hAnsi="Times New Roman" w:cs="Times New Roman"/>
          <w:bCs/>
          <w:sz w:val="24"/>
          <w:szCs w:val="24"/>
        </w:rPr>
        <w:t>56 subjektov – viď. opis v bode 1).</w:t>
      </w:r>
      <w:r w:rsidRPr="004577C1">
        <w:rPr>
          <w:rFonts w:ascii="Times New Roman" w:eastAsia="Calibri" w:hAnsi="Times New Roman" w:cs="Times New Roman"/>
          <w:bCs/>
          <w:sz w:val="24"/>
          <w:szCs w:val="24"/>
        </w:rPr>
        <w:t xml:space="preserve"> Predpokladané nepriame finančné náklady sú stanovené expertným odhadom do výšky 5 000 eur na jeden dotknutý subjekt, pričom konkrétna výška bude závisieť od formy</w:t>
      </w:r>
      <w:r w:rsidR="00D800F1" w:rsidRPr="004577C1">
        <w:rPr>
          <w:rFonts w:ascii="Times New Roman" w:eastAsia="Calibri" w:hAnsi="Times New Roman" w:cs="Times New Roman"/>
          <w:bCs/>
          <w:sz w:val="24"/>
          <w:szCs w:val="24"/>
        </w:rPr>
        <w:t>,</w:t>
      </w:r>
      <w:r w:rsidRPr="004577C1">
        <w:rPr>
          <w:rFonts w:ascii="Times New Roman" w:eastAsia="Calibri" w:hAnsi="Times New Roman" w:cs="Times New Roman"/>
          <w:bCs/>
          <w:sz w:val="24"/>
          <w:szCs w:val="24"/>
        </w:rPr>
        <w:t xml:space="preserve"> v akej sa splní informačná povinnosť veriteľa. Nepriame finančné náklady sa predpokladajú jednorazovo, najmä na nastavenie interných postupov. Predmetná regulácia spôsobuje aj zvýšenie administratívnych nákladov, a to konkrétne vo forme oboznámenia sa s reguláciou a vo forme zmeny vnútorných procesov. Frekvencia administratívnych nákladov sa predpokladá jednorazovo a</w:t>
      </w:r>
      <w:r w:rsidR="00135C46" w:rsidRPr="004577C1">
        <w:rPr>
          <w:rFonts w:ascii="Times New Roman" w:eastAsia="Calibri" w:hAnsi="Times New Roman" w:cs="Times New Roman"/>
          <w:bCs/>
          <w:sz w:val="24"/>
          <w:szCs w:val="24"/>
        </w:rPr>
        <w:t> </w:t>
      </w:r>
      <w:r w:rsidR="00B66C85" w:rsidRPr="004577C1">
        <w:rPr>
          <w:rFonts w:ascii="Times New Roman" w:eastAsia="Calibri" w:hAnsi="Times New Roman" w:cs="Times New Roman"/>
          <w:bCs/>
          <w:sz w:val="24"/>
          <w:szCs w:val="24"/>
        </w:rPr>
        <w:t>povinnosti</w:t>
      </w:r>
      <w:r w:rsidR="00135C46" w:rsidRPr="004577C1">
        <w:rPr>
          <w:rFonts w:ascii="Times New Roman" w:eastAsia="Calibri" w:hAnsi="Times New Roman" w:cs="Times New Roman"/>
          <w:bCs/>
          <w:sz w:val="24"/>
          <w:szCs w:val="24"/>
        </w:rPr>
        <w:t>,</w:t>
      </w:r>
      <w:r w:rsidR="00B66C85" w:rsidRPr="004577C1">
        <w:rPr>
          <w:rFonts w:ascii="Times New Roman" w:eastAsia="Calibri" w:hAnsi="Times New Roman" w:cs="Times New Roman"/>
          <w:bCs/>
          <w:sz w:val="24"/>
          <w:szCs w:val="24"/>
        </w:rPr>
        <w:t xml:space="preserve"> z ktorých vznikn</w:t>
      </w:r>
      <w:r w:rsidR="00524E6F" w:rsidRPr="004577C1">
        <w:rPr>
          <w:rFonts w:ascii="Times New Roman" w:eastAsia="Calibri" w:hAnsi="Times New Roman" w:cs="Times New Roman"/>
          <w:bCs/>
          <w:sz w:val="24"/>
          <w:szCs w:val="24"/>
        </w:rPr>
        <w:t>e</w:t>
      </w:r>
      <w:r w:rsidRPr="004577C1">
        <w:rPr>
          <w:rFonts w:ascii="Times New Roman" w:eastAsia="Calibri" w:hAnsi="Times New Roman" w:cs="Times New Roman"/>
          <w:bCs/>
          <w:sz w:val="24"/>
          <w:szCs w:val="24"/>
        </w:rPr>
        <w:t xml:space="preserve"> administratívn</w:t>
      </w:r>
      <w:r w:rsidR="00524E6F" w:rsidRPr="004577C1">
        <w:rPr>
          <w:rFonts w:ascii="Times New Roman" w:eastAsia="Calibri" w:hAnsi="Times New Roman" w:cs="Times New Roman"/>
          <w:bCs/>
          <w:sz w:val="24"/>
          <w:szCs w:val="24"/>
        </w:rPr>
        <w:t>a</w:t>
      </w:r>
      <w:r w:rsidRPr="004577C1">
        <w:rPr>
          <w:rFonts w:ascii="Times New Roman" w:eastAsia="Calibri" w:hAnsi="Times New Roman" w:cs="Times New Roman"/>
          <w:bCs/>
          <w:sz w:val="24"/>
          <w:szCs w:val="24"/>
        </w:rPr>
        <w:t xml:space="preserve"> </w:t>
      </w:r>
      <w:r w:rsidR="00524E6F" w:rsidRPr="004577C1">
        <w:rPr>
          <w:rFonts w:ascii="Times New Roman" w:eastAsia="Calibri" w:hAnsi="Times New Roman" w:cs="Times New Roman"/>
          <w:bCs/>
          <w:sz w:val="24"/>
          <w:szCs w:val="24"/>
        </w:rPr>
        <w:t>záťaž</w:t>
      </w:r>
      <w:r w:rsidR="00DB29E4" w:rsidRPr="004577C1">
        <w:rPr>
          <w:rFonts w:ascii="Times New Roman" w:eastAsia="Calibri" w:hAnsi="Times New Roman" w:cs="Times New Roman"/>
          <w:bCs/>
          <w:sz w:val="24"/>
          <w:szCs w:val="24"/>
        </w:rPr>
        <w:t>,</w:t>
      </w:r>
      <w:r w:rsidRPr="004577C1">
        <w:rPr>
          <w:rFonts w:ascii="Times New Roman" w:eastAsia="Calibri" w:hAnsi="Times New Roman" w:cs="Times New Roman"/>
          <w:bCs/>
          <w:sz w:val="24"/>
          <w:szCs w:val="24"/>
        </w:rPr>
        <w:t xml:space="preserve"> je možné splniť aj elektronicky.</w:t>
      </w:r>
    </w:p>
    <w:p w14:paraId="3BA270CD" w14:textId="75ED5066" w:rsidR="00AB7BEF" w:rsidRPr="004577C1" w:rsidRDefault="00AB7BEF" w:rsidP="00512BA7">
      <w:pPr>
        <w:jc w:val="both"/>
        <w:rPr>
          <w:rFonts w:ascii="Times New Roman" w:eastAsia="Calibri" w:hAnsi="Times New Roman" w:cs="Times New Roman"/>
          <w:bCs/>
          <w:sz w:val="24"/>
          <w:szCs w:val="24"/>
        </w:rPr>
      </w:pPr>
    </w:p>
    <w:p w14:paraId="2C323EF5" w14:textId="3470588E" w:rsidR="00726615" w:rsidRPr="004577C1" w:rsidRDefault="00726615" w:rsidP="00726615">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Zavedenie interných postupov o správnosti údajov</w:t>
      </w:r>
    </w:p>
    <w:p w14:paraId="55021C6C" w14:textId="37EF74AC" w:rsidR="00726615" w:rsidRPr="004577C1" w:rsidRDefault="00726615" w:rsidP="00726615">
      <w:pPr>
        <w:jc w:val="both"/>
        <w:rPr>
          <w:rFonts w:ascii="Times New Roman" w:eastAsia="Calibri" w:hAnsi="Times New Roman" w:cs="Times New Roman"/>
          <w:bCs/>
          <w:sz w:val="24"/>
          <w:szCs w:val="24"/>
        </w:rPr>
      </w:pPr>
      <w:r w:rsidRPr="004577C1">
        <w:rPr>
          <w:rFonts w:ascii="Times New Roman" w:eastAsia="Calibri" w:hAnsi="Times New Roman" w:cs="Times New Roman"/>
          <w:bCs/>
          <w:sz w:val="24"/>
          <w:szCs w:val="24"/>
        </w:rPr>
        <w:t>Návrhom zákona sa ustanovuje povinnosť pre prevádzkovateľa registra zaviesť interné postupy na zabezpečenie správnosti a aktuálnosti údajov o spotrebiteľských úveroch. Počet prevádzkovateľ</w:t>
      </w:r>
      <w:r w:rsidR="005D5344" w:rsidRPr="004577C1">
        <w:rPr>
          <w:rFonts w:ascii="Times New Roman" w:eastAsia="Calibri" w:hAnsi="Times New Roman" w:cs="Times New Roman"/>
          <w:bCs/>
          <w:sz w:val="24"/>
          <w:szCs w:val="24"/>
        </w:rPr>
        <w:t>ov</w:t>
      </w:r>
      <w:r w:rsidRPr="004577C1">
        <w:rPr>
          <w:rFonts w:ascii="Times New Roman" w:eastAsia="Calibri" w:hAnsi="Times New Roman" w:cs="Times New Roman"/>
          <w:bCs/>
          <w:sz w:val="24"/>
          <w:szCs w:val="24"/>
        </w:rPr>
        <w:t xml:space="preserve"> registra vychádza z dostupných informácií na webovej stránke </w:t>
      </w:r>
      <w:r w:rsidR="00894F0E" w:rsidRPr="004577C1">
        <w:rPr>
          <w:rFonts w:ascii="Times New Roman" w:eastAsia="Calibri" w:hAnsi="Times New Roman" w:cs="Times New Roman"/>
          <w:bCs/>
          <w:sz w:val="24"/>
          <w:szCs w:val="24"/>
        </w:rPr>
        <w:t>NBS</w:t>
      </w:r>
      <w:r w:rsidRPr="004577C1">
        <w:rPr>
          <w:rFonts w:ascii="Times New Roman" w:eastAsia="Calibri" w:hAnsi="Times New Roman" w:cs="Times New Roman"/>
          <w:bCs/>
          <w:sz w:val="24"/>
          <w:szCs w:val="24"/>
        </w:rPr>
        <w:t xml:space="preserve"> (dostupné na: </w:t>
      </w:r>
      <w:hyperlink r:id="rId13" w:history="1">
        <w:r w:rsidRPr="004577C1">
          <w:rPr>
            <w:rStyle w:val="Hypertextovprepojenie"/>
            <w:rFonts w:ascii="Times New Roman" w:eastAsia="Calibri" w:hAnsi="Times New Roman" w:cs="Times New Roman"/>
            <w:bCs/>
            <w:color w:val="auto"/>
            <w:sz w:val="24"/>
            <w:szCs w:val="24"/>
            <w:u w:val="none"/>
          </w:rPr>
          <w:t>https://nbs.sk/dokument/4961cbac-faf3-4aca-9ce8-11af642ca306/stiahnut?force=false</w:t>
        </w:r>
      </w:hyperlink>
      <w:r w:rsidRPr="004577C1">
        <w:rPr>
          <w:rFonts w:ascii="Times New Roman" w:eastAsia="Calibri" w:hAnsi="Times New Roman" w:cs="Times New Roman"/>
          <w:bCs/>
          <w:sz w:val="24"/>
          <w:szCs w:val="24"/>
        </w:rPr>
        <w:t xml:space="preserve">). Predmetná regulácia bude predstavovať zvýšenie nepriamych finančných nákladov a administratívnej záťaže dotknutých subjektov. Predpokladané nepriame finančné náklady sú stanovené expertným odhadom do výšky 10 000 eur na jeden dotknutý subjekt, pričom konkrétna výška bude závisieť od formy, v akej sa splní </w:t>
      </w:r>
      <w:r w:rsidRPr="004577C1">
        <w:rPr>
          <w:rFonts w:ascii="Times New Roman" w:eastAsia="Calibri" w:hAnsi="Times New Roman" w:cs="Times New Roman"/>
          <w:bCs/>
          <w:sz w:val="24"/>
          <w:szCs w:val="24"/>
        </w:rPr>
        <w:lastRenderedPageBreak/>
        <w:t>uvedená povinnosť. Nepriame finančné náklady sa predpokladajú jednorazovo, najmä na nastavenie interných postupov. Administratívne náklady sa predpokladajú jednorazovo, vo forme oboznámenia sa s reguláciou, zmeny vnútorných procesov a vypracovania dokumentu o interných postupoch na zabezpečenie správnosti a aktuálnosti údajov o spotrebiteľských úveroch. Povinnos</w:t>
      </w:r>
      <w:r w:rsidR="005D5344" w:rsidRPr="004577C1">
        <w:rPr>
          <w:rFonts w:ascii="Times New Roman" w:eastAsia="Calibri" w:hAnsi="Times New Roman" w:cs="Times New Roman"/>
          <w:bCs/>
          <w:sz w:val="24"/>
          <w:szCs w:val="24"/>
        </w:rPr>
        <w:t>ti</w:t>
      </w:r>
      <w:r w:rsidRPr="004577C1">
        <w:rPr>
          <w:rFonts w:ascii="Times New Roman" w:eastAsia="Calibri" w:hAnsi="Times New Roman" w:cs="Times New Roman"/>
          <w:bCs/>
          <w:sz w:val="24"/>
          <w:szCs w:val="24"/>
        </w:rPr>
        <w:t>, z ktor</w:t>
      </w:r>
      <w:r w:rsidR="005D5344" w:rsidRPr="004577C1">
        <w:rPr>
          <w:rFonts w:ascii="Times New Roman" w:eastAsia="Calibri" w:hAnsi="Times New Roman" w:cs="Times New Roman"/>
          <w:bCs/>
          <w:sz w:val="24"/>
          <w:szCs w:val="24"/>
        </w:rPr>
        <w:t>ých</w:t>
      </w:r>
      <w:r w:rsidRPr="004577C1">
        <w:rPr>
          <w:rFonts w:ascii="Times New Roman" w:eastAsia="Calibri" w:hAnsi="Times New Roman" w:cs="Times New Roman"/>
          <w:bCs/>
          <w:sz w:val="24"/>
          <w:szCs w:val="24"/>
        </w:rPr>
        <w:t xml:space="preserve"> vznikne administratívna záťaž</w:t>
      </w:r>
      <w:r w:rsidR="007F725D" w:rsidRPr="004577C1">
        <w:rPr>
          <w:rFonts w:ascii="Times New Roman" w:eastAsia="Calibri" w:hAnsi="Times New Roman" w:cs="Times New Roman"/>
          <w:bCs/>
          <w:sz w:val="24"/>
          <w:szCs w:val="24"/>
        </w:rPr>
        <w:t>,</w:t>
      </w:r>
      <w:r w:rsidRPr="004577C1">
        <w:rPr>
          <w:rFonts w:ascii="Times New Roman" w:eastAsia="Calibri" w:hAnsi="Times New Roman" w:cs="Times New Roman"/>
          <w:bCs/>
          <w:sz w:val="24"/>
          <w:szCs w:val="24"/>
        </w:rPr>
        <w:t xml:space="preserve"> je možné splniť aj elektronicky.</w:t>
      </w:r>
    </w:p>
    <w:p w14:paraId="1B232FCE" w14:textId="68B303D9" w:rsidR="00AB7BEF" w:rsidRPr="004577C1" w:rsidRDefault="00AB7BEF" w:rsidP="00512BA7">
      <w:pPr>
        <w:jc w:val="both"/>
        <w:rPr>
          <w:rFonts w:ascii="Times New Roman" w:eastAsia="Calibri" w:hAnsi="Times New Roman" w:cs="Times New Roman"/>
          <w:bCs/>
          <w:sz w:val="24"/>
          <w:szCs w:val="24"/>
        </w:rPr>
      </w:pPr>
    </w:p>
    <w:p w14:paraId="47AB2BE9" w14:textId="4B492BB6" w:rsidR="00457FBF" w:rsidRPr="004577C1" w:rsidRDefault="00457FBF" w:rsidP="00457FB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 xml:space="preserve">Žiadosť o výmaz/zápis údajov z/do registra pri postúpení pohľadávky </w:t>
      </w:r>
    </w:p>
    <w:p w14:paraId="4E32E33D" w14:textId="08734C7C" w:rsidR="00AB7BEF" w:rsidRPr="004577C1" w:rsidRDefault="00457FBF" w:rsidP="00512BA7">
      <w:pPr>
        <w:jc w:val="both"/>
        <w:rPr>
          <w:rFonts w:ascii="Times New Roman" w:eastAsia="Calibri" w:hAnsi="Times New Roman" w:cs="Times New Roman"/>
          <w:bCs/>
          <w:sz w:val="24"/>
          <w:szCs w:val="24"/>
        </w:rPr>
      </w:pPr>
      <w:r w:rsidRPr="004577C1">
        <w:rPr>
          <w:rFonts w:ascii="Times New Roman" w:eastAsia="Calibri" w:hAnsi="Times New Roman" w:cs="Times New Roman"/>
          <w:bCs/>
          <w:sz w:val="24"/>
          <w:szCs w:val="24"/>
        </w:rPr>
        <w:t xml:space="preserve">Predmetná regulácia bude predstavovať zvýšenie nepriamych finančných nákladov a administratívnej záťaže pre dotknuté subjekty, ktorými sú veritelia </w:t>
      </w:r>
      <w:r w:rsidR="00EC431A" w:rsidRPr="004577C1">
        <w:rPr>
          <w:rFonts w:ascii="Times New Roman" w:eastAsia="Calibri" w:hAnsi="Times New Roman" w:cs="Times New Roman"/>
          <w:bCs/>
          <w:sz w:val="24"/>
          <w:szCs w:val="24"/>
        </w:rPr>
        <w:t>(56 subjektov – viď. opis v bode 1).</w:t>
      </w:r>
      <w:r w:rsidR="00EC431A" w:rsidRPr="004577C1" w:rsidDel="00EC431A">
        <w:rPr>
          <w:rFonts w:ascii="Times New Roman" w:eastAsia="Calibri" w:hAnsi="Times New Roman" w:cs="Times New Roman"/>
          <w:bCs/>
          <w:sz w:val="24"/>
          <w:szCs w:val="24"/>
        </w:rPr>
        <w:t xml:space="preserve"> </w:t>
      </w:r>
      <w:r w:rsidRPr="004577C1">
        <w:rPr>
          <w:rFonts w:ascii="Times New Roman" w:eastAsia="Calibri" w:hAnsi="Times New Roman" w:cs="Times New Roman"/>
          <w:bCs/>
          <w:sz w:val="24"/>
          <w:szCs w:val="24"/>
        </w:rPr>
        <w:t xml:space="preserve">Administratívna záťaž sa predpokladá v oblasti oboznámenia sa s reguláciou a vo forme zmeny vnútorných procesov. Frekvencia administratívnych nákladov sa predpokladá jednorazovo a povinnosti, ktoré vzniknú v rámci administratívnej záťaže, je možné splniť aj elektronicky. Nepriame finančné náklady sa expertným odhadom predpokladajú vo výške 100 eur na jeden dotknutý subjekt. Náklad je odhadovaný na nepravidelnej báze v dôsledku prechodu alebo postúpenia pohľadávky zo spotrebiteľského úveru, a s tým súvisiacej povinnosti požiadať o výmaz, resp. zápis údajov o spotrebiteľskom úvere z/do registra úverov. </w:t>
      </w:r>
    </w:p>
    <w:p w14:paraId="2A2AE8D3" w14:textId="30D378CF" w:rsidR="00B108B7" w:rsidRPr="004577C1" w:rsidRDefault="00B108B7" w:rsidP="00B108B7">
      <w:pPr>
        <w:jc w:val="both"/>
        <w:rPr>
          <w:rFonts w:ascii="Times New Roman" w:eastAsia="Calibri" w:hAnsi="Times New Roman" w:cs="Times New Roman"/>
          <w:bCs/>
          <w:i/>
          <w:sz w:val="24"/>
          <w:szCs w:val="24"/>
        </w:rPr>
      </w:pPr>
    </w:p>
    <w:p w14:paraId="12DBC860" w14:textId="77777777" w:rsidR="007023D1" w:rsidRPr="004577C1" w:rsidRDefault="00B108B7" w:rsidP="00AB7BE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Postupy na podávanie sťažností spotrebiteľa</w:t>
      </w:r>
    </w:p>
    <w:p w14:paraId="103BBF54" w14:textId="1140A9CD" w:rsidR="003016AC" w:rsidRPr="004577C1" w:rsidRDefault="007023D1" w:rsidP="003016AC">
      <w:pPr>
        <w:jc w:val="both"/>
        <w:rPr>
          <w:rFonts w:ascii="Times New Roman" w:eastAsia="Calibri" w:hAnsi="Times New Roman" w:cs="Times New Roman"/>
          <w:bCs/>
          <w:sz w:val="24"/>
          <w:szCs w:val="24"/>
        </w:rPr>
      </w:pPr>
      <w:r w:rsidRPr="004577C1">
        <w:rPr>
          <w:rFonts w:ascii="Times New Roman" w:eastAsia="Calibri" w:hAnsi="Times New Roman" w:cs="Times New Roman"/>
          <w:bCs/>
          <w:sz w:val="24"/>
          <w:szCs w:val="24"/>
        </w:rPr>
        <w:t xml:space="preserve">Návrhom zákona sa </w:t>
      </w:r>
      <w:r w:rsidR="002146F2" w:rsidRPr="004577C1">
        <w:rPr>
          <w:rFonts w:ascii="Times New Roman" w:eastAsia="Calibri" w:hAnsi="Times New Roman" w:cs="Times New Roman"/>
          <w:bCs/>
          <w:sz w:val="24"/>
          <w:szCs w:val="24"/>
        </w:rPr>
        <w:t xml:space="preserve">ustanovuje </w:t>
      </w:r>
      <w:r w:rsidRPr="004577C1">
        <w:rPr>
          <w:rFonts w:ascii="Times New Roman" w:eastAsia="Calibri" w:hAnsi="Times New Roman" w:cs="Times New Roman"/>
          <w:bCs/>
          <w:sz w:val="24"/>
          <w:szCs w:val="24"/>
        </w:rPr>
        <w:t>povinnosť pre veriteľa a prevádzkovateľa registra zaviesť postupy na podávanie sťažností spotrebiteľa, ale len za účelom riešenia problémov v súvislosti s registrom úverov. Predmetná regul</w:t>
      </w:r>
      <w:r w:rsidR="0061797B" w:rsidRPr="004577C1">
        <w:rPr>
          <w:rFonts w:ascii="Times New Roman" w:eastAsia="Calibri" w:hAnsi="Times New Roman" w:cs="Times New Roman"/>
          <w:bCs/>
          <w:sz w:val="24"/>
          <w:szCs w:val="24"/>
        </w:rPr>
        <w:t xml:space="preserve">ácia sa dotýka </w:t>
      </w:r>
      <w:r w:rsidR="00EC431A" w:rsidRPr="004577C1">
        <w:rPr>
          <w:rFonts w:ascii="Times New Roman" w:eastAsia="Calibri" w:hAnsi="Times New Roman" w:cs="Times New Roman"/>
          <w:bCs/>
          <w:sz w:val="24"/>
          <w:szCs w:val="24"/>
        </w:rPr>
        <w:t>60</w:t>
      </w:r>
      <w:r w:rsidR="0061797B" w:rsidRPr="004577C1">
        <w:rPr>
          <w:rFonts w:ascii="Times New Roman" w:eastAsia="Calibri" w:hAnsi="Times New Roman" w:cs="Times New Roman"/>
          <w:bCs/>
          <w:sz w:val="24"/>
          <w:szCs w:val="24"/>
        </w:rPr>
        <w:t xml:space="preserve"> subjektov – 5</w:t>
      </w:r>
      <w:r w:rsidR="00EC431A" w:rsidRPr="004577C1">
        <w:rPr>
          <w:rFonts w:ascii="Times New Roman" w:eastAsia="Calibri" w:hAnsi="Times New Roman" w:cs="Times New Roman"/>
          <w:bCs/>
          <w:sz w:val="24"/>
          <w:szCs w:val="24"/>
        </w:rPr>
        <w:t>6</w:t>
      </w:r>
      <w:r w:rsidRPr="004577C1">
        <w:rPr>
          <w:rFonts w:ascii="Times New Roman" w:eastAsia="Calibri" w:hAnsi="Times New Roman" w:cs="Times New Roman"/>
          <w:bCs/>
          <w:sz w:val="24"/>
          <w:szCs w:val="24"/>
        </w:rPr>
        <w:t xml:space="preserve"> veriteľov</w:t>
      </w:r>
      <w:r w:rsidR="007E3BFE" w:rsidRPr="004577C1">
        <w:rPr>
          <w:rFonts w:ascii="Times New Roman" w:eastAsia="Calibri" w:hAnsi="Times New Roman" w:cs="Times New Roman"/>
          <w:bCs/>
          <w:sz w:val="24"/>
          <w:szCs w:val="24"/>
        </w:rPr>
        <w:t xml:space="preserve"> </w:t>
      </w:r>
      <w:r w:rsidR="00726615" w:rsidRPr="004577C1">
        <w:rPr>
          <w:rFonts w:ascii="Times New Roman" w:eastAsia="Calibri" w:hAnsi="Times New Roman" w:cs="Times New Roman"/>
          <w:bCs/>
          <w:sz w:val="24"/>
          <w:szCs w:val="24"/>
        </w:rPr>
        <w:t xml:space="preserve">a 4 prevádzkovateľov registra </w:t>
      </w:r>
      <w:r w:rsidR="0061797B" w:rsidRPr="004577C1">
        <w:rPr>
          <w:rFonts w:ascii="Times New Roman" w:eastAsia="Calibri" w:hAnsi="Times New Roman" w:cs="Times New Roman"/>
          <w:bCs/>
          <w:sz w:val="24"/>
          <w:szCs w:val="24"/>
        </w:rPr>
        <w:t>(</w:t>
      </w:r>
      <w:r w:rsidR="007E3BFE" w:rsidRPr="004577C1">
        <w:rPr>
          <w:rFonts w:ascii="Times New Roman" w:eastAsia="Calibri" w:hAnsi="Times New Roman" w:cs="Times New Roman"/>
          <w:sz w:val="24"/>
          <w:szCs w:val="24"/>
        </w:rPr>
        <w:t>počet subjektov vychádza z údajov zverejnených NBS</w:t>
      </w:r>
      <w:r w:rsidR="00EC431A" w:rsidRPr="004577C1">
        <w:rPr>
          <w:rFonts w:ascii="Times New Roman" w:eastAsia="Calibri" w:hAnsi="Times New Roman" w:cs="Times New Roman"/>
          <w:sz w:val="24"/>
          <w:szCs w:val="24"/>
        </w:rPr>
        <w:t>, doplnený expertným odhadom</w:t>
      </w:r>
      <w:r w:rsidR="007E3BFE" w:rsidRPr="004577C1">
        <w:rPr>
          <w:rFonts w:ascii="Times New Roman" w:eastAsia="Calibri" w:hAnsi="Times New Roman" w:cs="Times New Roman"/>
          <w:bCs/>
          <w:sz w:val="24"/>
          <w:szCs w:val="24"/>
        </w:rPr>
        <w:t>)</w:t>
      </w:r>
      <w:r w:rsidR="00726615" w:rsidRPr="004577C1">
        <w:rPr>
          <w:rFonts w:ascii="Times New Roman" w:eastAsia="Calibri" w:hAnsi="Times New Roman" w:cs="Times New Roman"/>
          <w:bCs/>
          <w:sz w:val="24"/>
          <w:szCs w:val="24"/>
        </w:rPr>
        <w:t>.</w:t>
      </w:r>
      <w:r w:rsidRPr="004577C1">
        <w:rPr>
          <w:rFonts w:ascii="Times New Roman" w:eastAsia="Calibri" w:hAnsi="Times New Roman" w:cs="Times New Roman"/>
          <w:bCs/>
          <w:sz w:val="24"/>
          <w:szCs w:val="24"/>
        </w:rPr>
        <w:t xml:space="preserve"> V dôsledku zavedenej regulácie dôjde k zvýšeniu nepriamych finančných nákladov a administratívnej záťaže dotknutých subjektov. Nepriame finančné náklady sa predpokladajú jednorazovo a sú stanov</w:t>
      </w:r>
      <w:r w:rsidR="007F725D" w:rsidRPr="004577C1">
        <w:rPr>
          <w:rFonts w:ascii="Times New Roman" w:eastAsia="Calibri" w:hAnsi="Times New Roman" w:cs="Times New Roman"/>
          <w:bCs/>
          <w:sz w:val="24"/>
          <w:szCs w:val="24"/>
        </w:rPr>
        <w:t>ené expertným odhadom do výšky 10</w:t>
      </w:r>
      <w:r w:rsidRPr="004577C1">
        <w:rPr>
          <w:rFonts w:ascii="Times New Roman" w:eastAsia="Calibri" w:hAnsi="Times New Roman" w:cs="Times New Roman"/>
          <w:bCs/>
          <w:sz w:val="24"/>
          <w:szCs w:val="24"/>
        </w:rPr>
        <w:t xml:space="preserve"> 000 eur na jeden dotknutý subjekt, pričom konkrétna výška bude závisieť od formy a spôsobu, ako  zákonom stanoven</w:t>
      </w:r>
      <w:r w:rsidR="00C0247B" w:rsidRPr="004577C1">
        <w:rPr>
          <w:rFonts w:ascii="Times New Roman" w:eastAsia="Calibri" w:hAnsi="Times New Roman" w:cs="Times New Roman"/>
          <w:bCs/>
          <w:sz w:val="24"/>
          <w:szCs w:val="24"/>
        </w:rPr>
        <w:t>ú</w:t>
      </w:r>
      <w:r w:rsidRPr="004577C1">
        <w:rPr>
          <w:rFonts w:ascii="Times New Roman" w:eastAsia="Calibri" w:hAnsi="Times New Roman" w:cs="Times New Roman"/>
          <w:bCs/>
          <w:sz w:val="24"/>
          <w:szCs w:val="24"/>
        </w:rPr>
        <w:t xml:space="preserve"> požiadavk</w:t>
      </w:r>
      <w:r w:rsidR="00C0247B" w:rsidRPr="004577C1">
        <w:rPr>
          <w:rFonts w:ascii="Times New Roman" w:eastAsia="Calibri" w:hAnsi="Times New Roman" w:cs="Times New Roman"/>
          <w:bCs/>
          <w:sz w:val="24"/>
          <w:szCs w:val="24"/>
        </w:rPr>
        <w:t>u splní konkrétny dotknutý subjekt</w:t>
      </w:r>
      <w:r w:rsidRPr="004577C1">
        <w:rPr>
          <w:rFonts w:ascii="Times New Roman" w:eastAsia="Calibri" w:hAnsi="Times New Roman" w:cs="Times New Roman"/>
          <w:bCs/>
          <w:sz w:val="24"/>
          <w:szCs w:val="24"/>
        </w:rPr>
        <w:t>. Predmetná regulácia spôsobuje aj zvýšenie administratívnych nákladov, a to konkrétne vo forme oboznámenia sa s reguláciou, zmeny vnútorných procesov</w:t>
      </w:r>
      <w:r w:rsidR="00185C38" w:rsidRPr="004577C1">
        <w:rPr>
          <w:rFonts w:ascii="Times New Roman" w:eastAsia="Calibri" w:hAnsi="Times New Roman" w:cs="Times New Roman"/>
          <w:bCs/>
          <w:sz w:val="24"/>
          <w:szCs w:val="24"/>
        </w:rPr>
        <w:t xml:space="preserve"> (nastavenie systémov)</w:t>
      </w:r>
      <w:r w:rsidRPr="004577C1">
        <w:rPr>
          <w:rFonts w:ascii="Times New Roman" w:eastAsia="Calibri" w:hAnsi="Times New Roman" w:cs="Times New Roman"/>
          <w:bCs/>
          <w:sz w:val="24"/>
          <w:szCs w:val="24"/>
        </w:rPr>
        <w:t xml:space="preserve"> a vypracovania súboru dokumentov a procesov, ktoré zabezpečia spotrebiteľovi </w:t>
      </w:r>
      <w:r w:rsidR="009778C1" w:rsidRPr="004577C1">
        <w:rPr>
          <w:rFonts w:ascii="Times New Roman" w:eastAsia="Calibri" w:hAnsi="Times New Roman" w:cs="Times New Roman"/>
          <w:bCs/>
          <w:sz w:val="24"/>
          <w:szCs w:val="24"/>
        </w:rPr>
        <w:t>správne postupovať v prípade konfliktu s registrom úverov</w:t>
      </w:r>
      <w:r w:rsidRPr="004577C1">
        <w:rPr>
          <w:rFonts w:ascii="Times New Roman" w:eastAsia="Calibri" w:hAnsi="Times New Roman" w:cs="Times New Roman"/>
          <w:bCs/>
          <w:sz w:val="24"/>
          <w:szCs w:val="24"/>
        </w:rPr>
        <w:t>. Frekvencia administratívnych nákladov sa predpokladá jednorazovo a</w:t>
      </w:r>
      <w:r w:rsidR="007E3BFE" w:rsidRPr="004577C1">
        <w:rPr>
          <w:rFonts w:ascii="Times New Roman" w:eastAsia="Calibri" w:hAnsi="Times New Roman" w:cs="Times New Roman"/>
          <w:bCs/>
          <w:sz w:val="24"/>
          <w:szCs w:val="24"/>
        </w:rPr>
        <w:t> </w:t>
      </w:r>
      <w:r w:rsidR="004B651D" w:rsidRPr="004577C1">
        <w:rPr>
          <w:rFonts w:ascii="Times New Roman" w:eastAsia="Calibri" w:hAnsi="Times New Roman" w:cs="Times New Roman"/>
          <w:bCs/>
          <w:sz w:val="24"/>
          <w:szCs w:val="24"/>
        </w:rPr>
        <w:t>povinnosti</w:t>
      </w:r>
      <w:r w:rsidR="007E3BFE" w:rsidRPr="004577C1">
        <w:rPr>
          <w:rFonts w:ascii="Times New Roman" w:eastAsia="Calibri" w:hAnsi="Times New Roman" w:cs="Times New Roman"/>
          <w:bCs/>
          <w:sz w:val="24"/>
          <w:szCs w:val="24"/>
        </w:rPr>
        <w:t>,</w:t>
      </w:r>
      <w:r w:rsidR="004B651D" w:rsidRPr="004577C1">
        <w:rPr>
          <w:rFonts w:ascii="Times New Roman" w:eastAsia="Calibri" w:hAnsi="Times New Roman" w:cs="Times New Roman"/>
          <w:bCs/>
          <w:sz w:val="24"/>
          <w:szCs w:val="24"/>
        </w:rPr>
        <w:t xml:space="preserve"> z ktorých </w:t>
      </w:r>
      <w:r w:rsidRPr="004577C1">
        <w:rPr>
          <w:rFonts w:ascii="Times New Roman" w:eastAsia="Calibri" w:hAnsi="Times New Roman" w:cs="Times New Roman"/>
          <w:bCs/>
          <w:sz w:val="24"/>
          <w:szCs w:val="24"/>
        </w:rPr>
        <w:t>vznik</w:t>
      </w:r>
      <w:r w:rsidR="00524E6F" w:rsidRPr="004577C1">
        <w:rPr>
          <w:rFonts w:ascii="Times New Roman" w:eastAsia="Calibri" w:hAnsi="Times New Roman" w:cs="Times New Roman"/>
          <w:bCs/>
          <w:sz w:val="24"/>
          <w:szCs w:val="24"/>
        </w:rPr>
        <w:t xml:space="preserve">ne </w:t>
      </w:r>
      <w:r w:rsidRPr="004577C1">
        <w:rPr>
          <w:rFonts w:ascii="Times New Roman" w:eastAsia="Calibri" w:hAnsi="Times New Roman" w:cs="Times New Roman"/>
          <w:bCs/>
          <w:sz w:val="24"/>
          <w:szCs w:val="24"/>
        </w:rPr>
        <w:t>administratívn</w:t>
      </w:r>
      <w:r w:rsidR="00524E6F" w:rsidRPr="004577C1">
        <w:rPr>
          <w:rFonts w:ascii="Times New Roman" w:eastAsia="Calibri" w:hAnsi="Times New Roman" w:cs="Times New Roman"/>
          <w:bCs/>
          <w:sz w:val="24"/>
          <w:szCs w:val="24"/>
        </w:rPr>
        <w:t>a</w:t>
      </w:r>
      <w:r w:rsidRPr="004577C1">
        <w:rPr>
          <w:rFonts w:ascii="Times New Roman" w:eastAsia="Calibri" w:hAnsi="Times New Roman" w:cs="Times New Roman"/>
          <w:bCs/>
          <w:sz w:val="24"/>
          <w:szCs w:val="24"/>
        </w:rPr>
        <w:t xml:space="preserve"> </w:t>
      </w:r>
      <w:r w:rsidR="00524E6F" w:rsidRPr="004577C1">
        <w:rPr>
          <w:rFonts w:ascii="Times New Roman" w:eastAsia="Calibri" w:hAnsi="Times New Roman" w:cs="Times New Roman"/>
          <w:bCs/>
          <w:sz w:val="24"/>
          <w:szCs w:val="24"/>
        </w:rPr>
        <w:t>záťaž</w:t>
      </w:r>
      <w:r w:rsidR="007E3BFE" w:rsidRPr="004577C1">
        <w:rPr>
          <w:rFonts w:ascii="Times New Roman" w:eastAsia="Calibri" w:hAnsi="Times New Roman" w:cs="Times New Roman"/>
          <w:bCs/>
          <w:sz w:val="24"/>
          <w:szCs w:val="24"/>
        </w:rPr>
        <w:t>,</w:t>
      </w:r>
      <w:r w:rsidR="00524E6F" w:rsidRPr="004577C1">
        <w:rPr>
          <w:rFonts w:ascii="Times New Roman" w:eastAsia="Calibri" w:hAnsi="Times New Roman" w:cs="Times New Roman"/>
          <w:bCs/>
          <w:sz w:val="24"/>
          <w:szCs w:val="24"/>
        </w:rPr>
        <w:t xml:space="preserve"> </w:t>
      </w:r>
      <w:r w:rsidRPr="004577C1">
        <w:rPr>
          <w:rFonts w:ascii="Times New Roman" w:eastAsia="Calibri" w:hAnsi="Times New Roman" w:cs="Times New Roman"/>
          <w:bCs/>
          <w:sz w:val="24"/>
          <w:szCs w:val="24"/>
        </w:rPr>
        <w:t>j</w:t>
      </w:r>
      <w:r w:rsidR="003016AC" w:rsidRPr="004577C1">
        <w:rPr>
          <w:rFonts w:ascii="Times New Roman" w:eastAsia="Calibri" w:hAnsi="Times New Roman" w:cs="Times New Roman"/>
          <w:bCs/>
          <w:sz w:val="24"/>
          <w:szCs w:val="24"/>
        </w:rPr>
        <w:t>e možné splniť aj elektronicky.</w:t>
      </w:r>
    </w:p>
    <w:p w14:paraId="40B922A6" w14:textId="01FE7F1C" w:rsidR="004F642C" w:rsidRPr="004577C1" w:rsidRDefault="004F642C" w:rsidP="00E809F0">
      <w:pPr>
        <w:jc w:val="both"/>
        <w:rPr>
          <w:rFonts w:ascii="Times New Roman" w:eastAsia="Calibri" w:hAnsi="Times New Roman" w:cs="Times New Roman"/>
          <w:bCs/>
          <w:sz w:val="24"/>
          <w:szCs w:val="24"/>
        </w:rPr>
      </w:pPr>
    </w:p>
    <w:p w14:paraId="6901A9C8" w14:textId="3ADF216B" w:rsidR="00E809F0" w:rsidRPr="004577C1" w:rsidRDefault="004F642C" w:rsidP="00AB7BE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Úprava povinných náležitosti zmluvy o spotrebiteľskom úvere</w:t>
      </w:r>
    </w:p>
    <w:p w14:paraId="63371FE9" w14:textId="3C5137D9" w:rsidR="000F6842" w:rsidRPr="004577C1" w:rsidRDefault="004F642C" w:rsidP="000F6842">
      <w:pPr>
        <w:jc w:val="both"/>
        <w:rPr>
          <w:rFonts w:ascii="Times New Roman" w:eastAsia="Calibri" w:hAnsi="Times New Roman" w:cs="Times New Roman"/>
          <w:bCs/>
          <w:sz w:val="24"/>
          <w:szCs w:val="24"/>
        </w:rPr>
      </w:pPr>
      <w:r w:rsidRPr="004577C1">
        <w:rPr>
          <w:rFonts w:ascii="Times New Roman" w:eastAsia="Calibri" w:hAnsi="Times New Roman" w:cs="Times New Roman"/>
          <w:bCs/>
          <w:sz w:val="24"/>
          <w:szCs w:val="24"/>
        </w:rPr>
        <w:t>Predmetná regulácia bude predstavovať zvýšenie nepriamych finančných nákladov a administratívnej záťaže pre dotknuté su</w:t>
      </w:r>
      <w:r w:rsidR="00693660" w:rsidRPr="004577C1">
        <w:rPr>
          <w:rFonts w:ascii="Times New Roman" w:eastAsia="Calibri" w:hAnsi="Times New Roman" w:cs="Times New Roman"/>
          <w:bCs/>
          <w:sz w:val="24"/>
          <w:szCs w:val="24"/>
        </w:rPr>
        <w:t>bjekty, ktorými sú veritelia (</w:t>
      </w:r>
      <w:r w:rsidR="00EC431A" w:rsidRPr="004577C1">
        <w:rPr>
          <w:rFonts w:ascii="Times New Roman" w:eastAsia="Calibri" w:hAnsi="Times New Roman" w:cs="Times New Roman"/>
          <w:bCs/>
          <w:sz w:val="24"/>
          <w:szCs w:val="24"/>
        </w:rPr>
        <w:t xml:space="preserve">56 subjektov – viď. opis v bode 1). </w:t>
      </w:r>
      <w:r w:rsidRPr="004577C1">
        <w:rPr>
          <w:rFonts w:ascii="Times New Roman" w:eastAsia="Calibri" w:hAnsi="Times New Roman" w:cs="Times New Roman"/>
          <w:bCs/>
          <w:sz w:val="24"/>
          <w:szCs w:val="24"/>
        </w:rPr>
        <w:t>Administratívna záťaž na úpravu zmluvnej dokumentácie sa predpokladá v oblasti oboznámenia sa s reguláciou a vypracovan</w:t>
      </w:r>
      <w:r w:rsidR="000C1806" w:rsidRPr="004577C1">
        <w:rPr>
          <w:rFonts w:ascii="Times New Roman" w:eastAsia="Calibri" w:hAnsi="Times New Roman" w:cs="Times New Roman"/>
          <w:bCs/>
          <w:sz w:val="24"/>
          <w:szCs w:val="24"/>
        </w:rPr>
        <w:t>ia</w:t>
      </w:r>
      <w:r w:rsidRPr="004577C1">
        <w:rPr>
          <w:rFonts w:ascii="Times New Roman" w:eastAsia="Calibri" w:hAnsi="Times New Roman" w:cs="Times New Roman"/>
          <w:bCs/>
          <w:sz w:val="24"/>
          <w:szCs w:val="24"/>
        </w:rPr>
        <w:t xml:space="preserve"> dokumentu, konkrétne zmluvy o spotrebiteľskom úvere, ktorej povinné náležitosti budú rozšírené návrhom zákona. Nepriame finančné náklady sa expertným odhadom predpokl</w:t>
      </w:r>
      <w:r w:rsidR="00DB29E4" w:rsidRPr="004577C1">
        <w:rPr>
          <w:rFonts w:ascii="Times New Roman" w:eastAsia="Calibri" w:hAnsi="Times New Roman" w:cs="Times New Roman"/>
          <w:bCs/>
          <w:sz w:val="24"/>
          <w:szCs w:val="24"/>
        </w:rPr>
        <w:t>adajú vo výške 10</w:t>
      </w:r>
      <w:r w:rsidRPr="004577C1">
        <w:rPr>
          <w:rFonts w:ascii="Times New Roman" w:eastAsia="Calibri" w:hAnsi="Times New Roman" w:cs="Times New Roman"/>
          <w:bCs/>
          <w:sz w:val="24"/>
          <w:szCs w:val="24"/>
        </w:rPr>
        <w:t xml:space="preserve"> 000 eur na jeden dotknutý subjekt. Náklad </w:t>
      </w:r>
      <w:r w:rsidRPr="004577C1">
        <w:rPr>
          <w:rFonts w:ascii="Times New Roman" w:eastAsia="Calibri" w:hAnsi="Times New Roman" w:cs="Times New Roman"/>
          <w:bCs/>
          <w:sz w:val="24"/>
          <w:szCs w:val="24"/>
        </w:rPr>
        <w:lastRenderedPageBreak/>
        <w:t xml:space="preserve">sa predpokladá jednorazovo, nakoľko potrebná bude len prvotná zmena povinných náležitosti zmluvy o spotrebiteľskom úvere. </w:t>
      </w:r>
    </w:p>
    <w:p w14:paraId="7CFC2712" w14:textId="77777777" w:rsidR="000F6842" w:rsidRPr="004577C1" w:rsidRDefault="000F6842" w:rsidP="000F6842">
      <w:pPr>
        <w:jc w:val="both"/>
        <w:rPr>
          <w:rFonts w:ascii="Times New Roman" w:eastAsia="Calibri" w:hAnsi="Times New Roman" w:cs="Times New Roman"/>
          <w:bCs/>
          <w:sz w:val="24"/>
          <w:szCs w:val="24"/>
        </w:rPr>
      </w:pPr>
    </w:p>
    <w:p w14:paraId="68599C8C" w14:textId="758F8C7E" w:rsidR="000F6842" w:rsidRPr="004577C1" w:rsidRDefault="000F6842" w:rsidP="00D05A7B">
      <w:pPr>
        <w:pStyle w:val="Odsekzoznamu"/>
        <w:numPr>
          <w:ilvl w:val="0"/>
          <w:numId w:val="15"/>
        </w:numPr>
        <w:jc w:val="both"/>
        <w:rPr>
          <w:rFonts w:ascii="Times New Roman" w:eastAsia="Calibri" w:hAnsi="Times New Roman" w:cs="Times New Roman"/>
          <w:bCs/>
          <w:sz w:val="24"/>
          <w:szCs w:val="24"/>
        </w:rPr>
      </w:pPr>
      <w:r w:rsidRPr="004577C1">
        <w:rPr>
          <w:rFonts w:ascii="Times New Roman" w:eastAsia="Calibri" w:hAnsi="Times New Roman" w:cs="Times New Roman"/>
          <w:bCs/>
          <w:i/>
          <w:sz w:val="24"/>
          <w:szCs w:val="24"/>
        </w:rPr>
        <w:t>Zisťovanie údajov v registri FO a v evidencii OP pre veriteľov</w:t>
      </w:r>
    </w:p>
    <w:p w14:paraId="0155B3FA" w14:textId="12D84A77" w:rsidR="00BF5C0B" w:rsidRPr="004577C1" w:rsidRDefault="000F6842" w:rsidP="000F6842">
      <w:pPr>
        <w:jc w:val="both"/>
        <w:rPr>
          <w:rFonts w:ascii="Times New Roman" w:eastAsia="Calibri" w:hAnsi="Times New Roman" w:cs="Times New Roman"/>
          <w:bCs/>
          <w:sz w:val="24"/>
          <w:szCs w:val="24"/>
        </w:rPr>
      </w:pPr>
      <w:r w:rsidRPr="004577C1">
        <w:rPr>
          <w:rFonts w:ascii="Times New Roman" w:eastAsia="Calibri" w:hAnsi="Times New Roman" w:cs="Times New Roman"/>
          <w:bCs/>
          <w:iCs/>
          <w:sz w:val="24"/>
          <w:szCs w:val="24"/>
        </w:rPr>
        <w:t>Predmetná regulácia znižuje administratívnu záťaž pre dotknuté subjekty, ktorými sú veritelia. Počet dotknutých subjektov je 5</w:t>
      </w:r>
      <w:r w:rsidR="00EC431A" w:rsidRPr="004577C1">
        <w:rPr>
          <w:rFonts w:ascii="Times New Roman" w:eastAsia="Calibri" w:hAnsi="Times New Roman" w:cs="Times New Roman"/>
          <w:bCs/>
          <w:iCs/>
          <w:sz w:val="24"/>
          <w:szCs w:val="24"/>
        </w:rPr>
        <w:t>6</w:t>
      </w:r>
      <w:r w:rsidRPr="004577C1">
        <w:rPr>
          <w:rFonts w:ascii="Times New Roman" w:eastAsia="Calibri" w:hAnsi="Times New Roman" w:cs="Times New Roman"/>
          <w:bCs/>
          <w:iCs/>
          <w:sz w:val="24"/>
          <w:szCs w:val="24"/>
        </w:rPr>
        <w:t xml:space="preserve"> a rovnako ako pri vyššie uvedených reguláciách vychádza z údajov zverejnených NBS</w:t>
      </w:r>
      <w:r w:rsidR="00EC431A" w:rsidRPr="004577C1">
        <w:rPr>
          <w:rFonts w:ascii="Times New Roman" w:eastAsia="Calibri" w:hAnsi="Times New Roman" w:cs="Times New Roman"/>
          <w:bCs/>
          <w:iCs/>
          <w:sz w:val="24"/>
          <w:szCs w:val="24"/>
        </w:rPr>
        <w:t>, doplnený expertným odhadom</w:t>
      </w:r>
      <w:r w:rsidRPr="004577C1">
        <w:rPr>
          <w:rFonts w:ascii="Times New Roman" w:eastAsia="Calibri" w:hAnsi="Times New Roman" w:cs="Times New Roman"/>
          <w:bCs/>
          <w:iCs/>
          <w:sz w:val="24"/>
          <w:szCs w:val="24"/>
        </w:rPr>
        <w:t xml:space="preserve">. Udelenie </w:t>
      </w:r>
      <w:r w:rsidRPr="004577C1">
        <w:rPr>
          <w:rFonts w:ascii="Times New Roman" w:hAnsi="Times New Roman" w:cs="Times New Roman"/>
          <w:sz w:val="24"/>
          <w:szCs w:val="24"/>
        </w:rPr>
        <w:t>právomoci pre veriteľov zisťovať, preverovať a kontrolovať identifikáciu spotrebiteľa a jeho zástupcu na účely uzatvárania a spravovania zmluvy o spotrebiteľskom úvere alebo uzatvárania iných dohôd so spotrebiteľom, ako aj na účely aktualizácie už uchovávaných údajov o spotrebiteľovi a zároveň umožnenie prístupu do evidencie občianskych preukazov bude viesť k jednoduchšiemu získavaniu a aktualizácii údajov zo strany veriteľov. Z toho dôvodu sa predpokladá zníženie administratívnej záťaže vo forme zápisu alebo aktualizácie údajov v registri/evidencii a poskytnutia informácie, oznámenia, vyhlásenia. Zníženie administratívnej záťaže sa predpokladá na nepravidelnej báze a bude závisieť od</w:t>
      </w:r>
      <w:r w:rsidR="00D05A7B" w:rsidRPr="004577C1">
        <w:rPr>
          <w:rFonts w:ascii="Times New Roman" w:hAnsi="Times New Roman" w:cs="Times New Roman"/>
          <w:sz w:val="24"/>
          <w:szCs w:val="24"/>
        </w:rPr>
        <w:t xml:space="preserve"> potreby toho ktorého veriteľa. P</w:t>
      </w:r>
      <w:r w:rsidRPr="004577C1">
        <w:rPr>
          <w:rFonts w:ascii="Times New Roman" w:eastAsia="Calibri" w:hAnsi="Times New Roman" w:cs="Times New Roman"/>
          <w:bCs/>
          <w:sz w:val="24"/>
          <w:szCs w:val="24"/>
        </w:rPr>
        <w:t>ovinnosti, ktoré vzniknú v rámci administratívnej záťaže, je možné splniť aj elektronicky.</w:t>
      </w:r>
    </w:p>
    <w:p w14:paraId="4F3752D8" w14:textId="77777777" w:rsidR="00BF5C0B" w:rsidRPr="004577C1" w:rsidRDefault="00BF5C0B" w:rsidP="000F6842">
      <w:pPr>
        <w:jc w:val="both"/>
        <w:rPr>
          <w:rFonts w:ascii="Times New Roman" w:eastAsia="Calibri" w:hAnsi="Times New Roman" w:cs="Times New Roman"/>
          <w:bCs/>
          <w:sz w:val="24"/>
          <w:szCs w:val="24"/>
        </w:rPr>
      </w:pPr>
    </w:p>
    <w:p w14:paraId="01BF90DF" w14:textId="61E2D856" w:rsidR="00BF5C0B" w:rsidRPr="004577C1" w:rsidRDefault="00BF5C0B" w:rsidP="00CC0531">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Informačná povinnosť finančného agenta voči veriteľovi</w:t>
      </w:r>
    </w:p>
    <w:p w14:paraId="38E75C1B" w14:textId="1C62D272" w:rsidR="00BF5C0B" w:rsidRPr="004577C1" w:rsidRDefault="00BF5C0B" w:rsidP="00BF5C0B">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Návrh zákona zavádza povinnosť pre finančného agenta predložiť veriteľovi potrebné informácie o spotrebiteľovi v súlade s GDPR za účelom vykonania posúdenia schopnosti spotrebiteľa splácať spotrebiteľský úver. Predmetné regulácia </w:t>
      </w:r>
      <w:r w:rsidR="00957F1F" w:rsidRPr="004577C1">
        <w:rPr>
          <w:rFonts w:ascii="Times New Roman" w:eastAsia="Calibri" w:hAnsi="Times New Roman" w:cs="Times New Roman"/>
          <w:sz w:val="24"/>
          <w:szCs w:val="24"/>
        </w:rPr>
        <w:t>zvýši administratívnu záťaž</w:t>
      </w:r>
      <w:r w:rsidRPr="004577C1">
        <w:rPr>
          <w:rFonts w:ascii="Times New Roman" w:eastAsia="Calibri" w:hAnsi="Times New Roman" w:cs="Times New Roman"/>
          <w:sz w:val="24"/>
          <w:szCs w:val="24"/>
        </w:rPr>
        <w:t xml:space="preserve"> pre dotknuté subjekty</w:t>
      </w:r>
      <w:r w:rsidR="00957F1F" w:rsidRPr="004577C1">
        <w:rPr>
          <w:rFonts w:ascii="Times New Roman" w:eastAsia="Calibri" w:hAnsi="Times New Roman" w:cs="Times New Roman"/>
          <w:sz w:val="24"/>
          <w:szCs w:val="24"/>
        </w:rPr>
        <w:t>, ktorými sú</w:t>
      </w:r>
      <w:r w:rsidRPr="004577C1">
        <w:rPr>
          <w:rFonts w:ascii="Times New Roman" w:eastAsia="Calibri" w:hAnsi="Times New Roman" w:cs="Times New Roman"/>
          <w:sz w:val="24"/>
          <w:szCs w:val="24"/>
        </w:rPr>
        <w:t xml:space="preserve"> finanční agenti v sektore</w:t>
      </w:r>
      <w:r w:rsidRPr="004577C1">
        <w:rPr>
          <w:rFonts w:ascii="Times New Roman" w:hAnsi="Times New Roman" w:cs="Times New Roman"/>
          <w:sz w:val="24"/>
          <w:szCs w:val="24"/>
        </w:rPr>
        <w:t xml:space="preserve"> </w:t>
      </w:r>
      <w:r w:rsidRPr="004577C1">
        <w:rPr>
          <w:rFonts w:ascii="Times New Roman" w:eastAsia="Calibri" w:hAnsi="Times New Roman" w:cs="Times New Roman"/>
          <w:sz w:val="24"/>
          <w:szCs w:val="24"/>
        </w:rPr>
        <w:t>poskytovania úverov, úverov na bý</w:t>
      </w:r>
      <w:r w:rsidR="00957F1F" w:rsidRPr="004577C1">
        <w:rPr>
          <w:rFonts w:ascii="Times New Roman" w:eastAsia="Calibri" w:hAnsi="Times New Roman" w:cs="Times New Roman"/>
          <w:sz w:val="24"/>
          <w:szCs w:val="24"/>
        </w:rPr>
        <w:t>vanie a spotrebiteľských úverov</w:t>
      </w:r>
      <w:r w:rsidRPr="004577C1">
        <w:rPr>
          <w:rFonts w:ascii="Times New Roman" w:eastAsia="Calibri" w:hAnsi="Times New Roman" w:cs="Times New Roman"/>
          <w:sz w:val="24"/>
          <w:szCs w:val="24"/>
        </w:rPr>
        <w:t xml:space="preserve"> a ich počet vyplýva z údajov zverejnených NBS (11 484 subjektov, dostupné na: </w:t>
      </w:r>
      <w:hyperlink r:id="rId14" w:history="1">
        <w:r w:rsidRPr="004577C1">
          <w:rPr>
            <w:rStyle w:val="Hypertextovprepojenie"/>
            <w:rFonts w:ascii="Times New Roman" w:eastAsia="Calibri" w:hAnsi="Times New Roman" w:cs="Times New Roman"/>
            <w:color w:val="auto"/>
            <w:sz w:val="24"/>
            <w:szCs w:val="24"/>
            <w:u w:val="none"/>
          </w:rPr>
          <w:t>https://subjekty.nbs.sk/?s=1120</w:t>
        </w:r>
      </w:hyperlink>
      <w:r w:rsidRPr="004577C1">
        <w:rPr>
          <w:rFonts w:ascii="Times New Roman" w:eastAsia="Calibri" w:hAnsi="Times New Roman" w:cs="Times New Roman"/>
          <w:sz w:val="24"/>
          <w:szCs w:val="24"/>
        </w:rPr>
        <w:t>).</w:t>
      </w:r>
      <w:r w:rsidR="00957F1F" w:rsidRPr="004577C1">
        <w:rPr>
          <w:rFonts w:ascii="Times New Roman" w:eastAsia="Calibri" w:hAnsi="Times New Roman" w:cs="Times New Roman"/>
          <w:sz w:val="24"/>
          <w:szCs w:val="24"/>
        </w:rPr>
        <w:t xml:space="preserve"> Administratívna záťaž finančnému agentovi vznikne v dôsledku oboznámenia sa s reguláciou, poskytnutia potrebných informácií veriteľovi, ako aj vypracovania dokumentu s príslušnými informáciami o spotrebiteľovi. Uvedená záťaž bude závisieť od zvolenej formy, a je možné ju splniť aj elektronicky. Frekvencia administratívnej záťaže sa predpokladá na nepravidelnej báze. </w:t>
      </w:r>
    </w:p>
    <w:p w14:paraId="5AC58BF6" w14:textId="474CCE55" w:rsidR="00D05A7B" w:rsidRPr="004577C1" w:rsidRDefault="00D05A7B" w:rsidP="00D05A7B">
      <w:pPr>
        <w:jc w:val="both"/>
        <w:rPr>
          <w:rFonts w:ascii="Times New Roman" w:eastAsia="Calibri" w:hAnsi="Times New Roman" w:cs="Times New Roman"/>
          <w:sz w:val="24"/>
          <w:szCs w:val="24"/>
        </w:rPr>
      </w:pPr>
    </w:p>
    <w:p w14:paraId="5685FB64" w14:textId="46C75E2F" w:rsidR="00EE5C5D" w:rsidRPr="004577C1" w:rsidRDefault="00EE5C5D" w:rsidP="00457FBF">
      <w:pPr>
        <w:pStyle w:val="Odsekzoznamu"/>
        <w:numPr>
          <w:ilvl w:val="0"/>
          <w:numId w:val="15"/>
        </w:numPr>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Dlhové poradenské služby</w:t>
      </w:r>
    </w:p>
    <w:p w14:paraId="4D2DD692" w14:textId="05F05D00" w:rsidR="004878A9" w:rsidRPr="004577C1" w:rsidRDefault="00EE5C5D" w:rsidP="00512BA7">
      <w:pPr>
        <w:jc w:val="both"/>
        <w:rPr>
          <w:rFonts w:ascii="Times New Roman" w:eastAsia="Calibri" w:hAnsi="Times New Roman" w:cs="Times New Roman"/>
          <w:bCs/>
          <w:sz w:val="24"/>
          <w:szCs w:val="24"/>
        </w:rPr>
      </w:pPr>
      <w:r w:rsidRPr="004577C1">
        <w:rPr>
          <w:rFonts w:ascii="Times New Roman" w:eastAsia="Calibri" w:hAnsi="Times New Roman" w:cs="Times New Roman"/>
          <w:sz w:val="24"/>
          <w:szCs w:val="24"/>
        </w:rPr>
        <w:t xml:space="preserve">Návrh zákona zavádza povinnosť pre veriteľa navrhnúť nezávislé dlhové poradenské služby spotrebiteľovi, ak má alebo by mohol mať problémy s plnením svojich finančných záväzkov. V dôsledku toho je veriteľ povinný zaviesť a uplatňovať postupy a politiky na skoré odhalenie spotrebiteľov, ktorí môžu mať finančné problémy. </w:t>
      </w:r>
      <w:r w:rsidR="007A433B" w:rsidRPr="004577C1">
        <w:rPr>
          <w:rFonts w:ascii="Times New Roman" w:eastAsia="Calibri" w:hAnsi="Times New Roman" w:cs="Times New Roman"/>
          <w:sz w:val="24"/>
          <w:szCs w:val="24"/>
        </w:rPr>
        <w:t>Predmetné regulácia spôsobí zvýšenie nepriamych finančných nákladov a administratívnej záťaže pre dotknuté subjekty, kto</w:t>
      </w:r>
      <w:r w:rsidR="00693660" w:rsidRPr="004577C1">
        <w:rPr>
          <w:rFonts w:ascii="Times New Roman" w:eastAsia="Calibri" w:hAnsi="Times New Roman" w:cs="Times New Roman"/>
          <w:sz w:val="24"/>
          <w:szCs w:val="24"/>
        </w:rPr>
        <w:t>rými sú veritelia (</w:t>
      </w:r>
      <w:r w:rsidR="00EC431A" w:rsidRPr="004577C1">
        <w:rPr>
          <w:rFonts w:ascii="Times New Roman" w:eastAsia="Calibri" w:hAnsi="Times New Roman" w:cs="Times New Roman"/>
          <w:sz w:val="24"/>
          <w:szCs w:val="24"/>
        </w:rPr>
        <w:t>56 subjektov – viď. opis v bode 1).</w:t>
      </w:r>
      <w:r w:rsidR="007A433B" w:rsidRPr="004577C1">
        <w:rPr>
          <w:rFonts w:ascii="Times New Roman" w:eastAsia="Calibri" w:hAnsi="Times New Roman" w:cs="Times New Roman"/>
          <w:sz w:val="24"/>
          <w:szCs w:val="24"/>
        </w:rPr>
        <w:t xml:space="preserve"> </w:t>
      </w:r>
      <w:r w:rsidR="007A433B" w:rsidRPr="004577C1">
        <w:rPr>
          <w:rFonts w:ascii="Times New Roman" w:eastAsia="Calibri" w:hAnsi="Times New Roman" w:cs="Times New Roman"/>
          <w:bCs/>
          <w:sz w:val="24"/>
          <w:szCs w:val="24"/>
        </w:rPr>
        <w:t xml:space="preserve">Predpokladané nepriame finančné náklady sú stanovené expertným odhadom do výšky </w:t>
      </w:r>
      <w:r w:rsidR="00F033B4" w:rsidRPr="004577C1">
        <w:rPr>
          <w:rFonts w:ascii="Times New Roman" w:eastAsia="Calibri" w:hAnsi="Times New Roman" w:cs="Times New Roman"/>
          <w:bCs/>
          <w:sz w:val="24"/>
          <w:szCs w:val="24"/>
        </w:rPr>
        <w:t>1</w:t>
      </w:r>
      <w:r w:rsidR="007A433B" w:rsidRPr="004577C1">
        <w:rPr>
          <w:rFonts w:ascii="Times New Roman" w:eastAsia="Calibri" w:hAnsi="Times New Roman" w:cs="Times New Roman"/>
          <w:bCs/>
          <w:sz w:val="24"/>
          <w:szCs w:val="24"/>
        </w:rPr>
        <w:t>5 000 eur na jeden dotknutý subjekt, pričom konkrétna výška bude závisieť od miery, do akej už majú veritelia zavedené predmetné opatrenia. Nepriame finančné náklady sa predpokladajú jednorazovo, najmä z dôvodu nastavenia vnútorných systémov, resp. zavedenia postupov a vytvoreni</w:t>
      </w:r>
      <w:r w:rsidR="009859D2" w:rsidRPr="004577C1">
        <w:rPr>
          <w:rFonts w:ascii="Times New Roman" w:eastAsia="Calibri" w:hAnsi="Times New Roman" w:cs="Times New Roman"/>
          <w:bCs/>
          <w:sz w:val="24"/>
          <w:szCs w:val="24"/>
        </w:rPr>
        <w:t>a</w:t>
      </w:r>
      <w:r w:rsidR="007A433B" w:rsidRPr="004577C1">
        <w:rPr>
          <w:rFonts w:ascii="Times New Roman" w:eastAsia="Calibri" w:hAnsi="Times New Roman" w:cs="Times New Roman"/>
          <w:bCs/>
          <w:sz w:val="24"/>
          <w:szCs w:val="24"/>
        </w:rPr>
        <w:t xml:space="preserve"> politiky na skoré odhalenie spotrebiteľov. Predmetná regulácia spôsobuje aj zvýšenie administratívn</w:t>
      </w:r>
      <w:r w:rsidR="00524E6F" w:rsidRPr="004577C1">
        <w:rPr>
          <w:rFonts w:ascii="Times New Roman" w:eastAsia="Calibri" w:hAnsi="Times New Roman" w:cs="Times New Roman"/>
          <w:bCs/>
          <w:sz w:val="24"/>
          <w:szCs w:val="24"/>
        </w:rPr>
        <w:t>ej</w:t>
      </w:r>
      <w:r w:rsidR="007A433B" w:rsidRPr="004577C1">
        <w:rPr>
          <w:rFonts w:ascii="Times New Roman" w:eastAsia="Calibri" w:hAnsi="Times New Roman" w:cs="Times New Roman"/>
          <w:bCs/>
          <w:sz w:val="24"/>
          <w:szCs w:val="24"/>
        </w:rPr>
        <w:t xml:space="preserve"> </w:t>
      </w:r>
      <w:r w:rsidR="00524E6F" w:rsidRPr="004577C1">
        <w:rPr>
          <w:rFonts w:ascii="Times New Roman" w:eastAsia="Calibri" w:hAnsi="Times New Roman" w:cs="Times New Roman"/>
          <w:bCs/>
          <w:sz w:val="24"/>
          <w:szCs w:val="24"/>
        </w:rPr>
        <w:t>záťaže</w:t>
      </w:r>
      <w:r w:rsidR="007A433B" w:rsidRPr="004577C1">
        <w:rPr>
          <w:rFonts w:ascii="Times New Roman" w:eastAsia="Calibri" w:hAnsi="Times New Roman" w:cs="Times New Roman"/>
          <w:bCs/>
          <w:sz w:val="24"/>
          <w:szCs w:val="24"/>
        </w:rPr>
        <w:t xml:space="preserve">, a </w:t>
      </w:r>
      <w:r w:rsidR="007A433B" w:rsidRPr="004577C1">
        <w:rPr>
          <w:rFonts w:ascii="Times New Roman" w:eastAsia="Calibri" w:hAnsi="Times New Roman" w:cs="Times New Roman"/>
          <w:bCs/>
          <w:sz w:val="24"/>
          <w:szCs w:val="24"/>
        </w:rPr>
        <w:lastRenderedPageBreak/>
        <w:t xml:space="preserve">to konkrétne vo forme oboznámenia sa s reguláciou,  zmeny vnútorných procesov a </w:t>
      </w:r>
      <w:r w:rsidR="007A433B" w:rsidRPr="004577C1">
        <w:rPr>
          <w:rFonts w:ascii="Times New Roman" w:eastAsia="Calibri" w:hAnsi="Times New Roman" w:cs="Times New Roman"/>
          <w:sz w:val="24"/>
          <w:szCs w:val="24"/>
        </w:rPr>
        <w:t>poskytnutia informácie spotrebiteľom, keďže uvedené ustanovenie zavádza aj povinnosť pre veriteľa informovať spotrebiteľa o dlhových poradenských službách</w:t>
      </w:r>
      <w:r w:rsidR="007A433B" w:rsidRPr="004577C1">
        <w:rPr>
          <w:rFonts w:ascii="Times New Roman" w:eastAsia="Calibri" w:hAnsi="Times New Roman" w:cs="Times New Roman"/>
          <w:bCs/>
          <w:sz w:val="24"/>
          <w:szCs w:val="24"/>
        </w:rPr>
        <w:t>. Frekvencia administratívn</w:t>
      </w:r>
      <w:r w:rsidR="00524E6F" w:rsidRPr="004577C1">
        <w:rPr>
          <w:rFonts w:ascii="Times New Roman" w:eastAsia="Calibri" w:hAnsi="Times New Roman" w:cs="Times New Roman"/>
          <w:bCs/>
          <w:sz w:val="24"/>
          <w:szCs w:val="24"/>
        </w:rPr>
        <w:t>ej záťaže</w:t>
      </w:r>
      <w:r w:rsidR="007A433B" w:rsidRPr="004577C1">
        <w:rPr>
          <w:rFonts w:ascii="Times New Roman" w:eastAsia="Calibri" w:hAnsi="Times New Roman" w:cs="Times New Roman"/>
          <w:bCs/>
          <w:sz w:val="24"/>
          <w:szCs w:val="24"/>
        </w:rPr>
        <w:t xml:space="preserve"> sa predpokladá jednorazovo a</w:t>
      </w:r>
      <w:r w:rsidR="00033146" w:rsidRPr="004577C1">
        <w:rPr>
          <w:rFonts w:ascii="Times New Roman" w:eastAsia="Calibri" w:hAnsi="Times New Roman" w:cs="Times New Roman"/>
          <w:bCs/>
          <w:sz w:val="24"/>
          <w:szCs w:val="24"/>
        </w:rPr>
        <w:t> </w:t>
      </w:r>
      <w:r w:rsidR="00524E6F" w:rsidRPr="004577C1">
        <w:rPr>
          <w:rFonts w:ascii="Times New Roman" w:eastAsia="Calibri" w:hAnsi="Times New Roman" w:cs="Times New Roman"/>
          <w:sz w:val="24"/>
          <w:szCs w:val="24"/>
        </w:rPr>
        <w:t>povinnosti</w:t>
      </w:r>
      <w:r w:rsidR="00033146" w:rsidRPr="004577C1">
        <w:rPr>
          <w:rFonts w:ascii="Times New Roman" w:eastAsia="Calibri" w:hAnsi="Times New Roman" w:cs="Times New Roman"/>
          <w:sz w:val="24"/>
          <w:szCs w:val="24"/>
        </w:rPr>
        <w:t>,</w:t>
      </w:r>
      <w:r w:rsidR="00524E6F" w:rsidRPr="004577C1">
        <w:rPr>
          <w:rFonts w:ascii="Times New Roman" w:eastAsia="Calibri" w:hAnsi="Times New Roman" w:cs="Times New Roman"/>
          <w:sz w:val="24"/>
          <w:szCs w:val="24"/>
        </w:rPr>
        <w:t xml:space="preserve"> z ktorých vznikne</w:t>
      </w:r>
      <w:r w:rsidR="007A433B" w:rsidRPr="004577C1">
        <w:rPr>
          <w:rFonts w:ascii="Times New Roman" w:eastAsia="Calibri" w:hAnsi="Times New Roman" w:cs="Times New Roman"/>
          <w:bCs/>
          <w:sz w:val="24"/>
          <w:szCs w:val="24"/>
        </w:rPr>
        <w:t xml:space="preserve"> administratívn</w:t>
      </w:r>
      <w:r w:rsidR="00524E6F" w:rsidRPr="004577C1">
        <w:rPr>
          <w:rFonts w:ascii="Times New Roman" w:eastAsia="Calibri" w:hAnsi="Times New Roman" w:cs="Times New Roman"/>
          <w:bCs/>
          <w:sz w:val="24"/>
          <w:szCs w:val="24"/>
        </w:rPr>
        <w:t>a</w:t>
      </w:r>
      <w:r w:rsidR="007A433B" w:rsidRPr="004577C1">
        <w:rPr>
          <w:rFonts w:ascii="Times New Roman" w:eastAsia="Calibri" w:hAnsi="Times New Roman" w:cs="Times New Roman"/>
          <w:bCs/>
          <w:sz w:val="24"/>
          <w:szCs w:val="24"/>
        </w:rPr>
        <w:t xml:space="preserve"> </w:t>
      </w:r>
      <w:r w:rsidR="00524E6F" w:rsidRPr="004577C1">
        <w:rPr>
          <w:rFonts w:ascii="Times New Roman" w:eastAsia="Calibri" w:hAnsi="Times New Roman" w:cs="Times New Roman"/>
          <w:bCs/>
          <w:sz w:val="24"/>
          <w:szCs w:val="24"/>
        </w:rPr>
        <w:t>záťaž</w:t>
      </w:r>
      <w:r w:rsidR="00033146" w:rsidRPr="004577C1">
        <w:rPr>
          <w:rFonts w:ascii="Times New Roman" w:eastAsia="Calibri" w:hAnsi="Times New Roman" w:cs="Times New Roman"/>
          <w:bCs/>
          <w:sz w:val="24"/>
          <w:szCs w:val="24"/>
        </w:rPr>
        <w:t>,</w:t>
      </w:r>
      <w:r w:rsidR="00524E6F" w:rsidRPr="004577C1">
        <w:rPr>
          <w:rFonts w:ascii="Times New Roman" w:eastAsia="Calibri" w:hAnsi="Times New Roman" w:cs="Times New Roman"/>
          <w:bCs/>
          <w:sz w:val="24"/>
          <w:szCs w:val="24"/>
        </w:rPr>
        <w:t xml:space="preserve"> </w:t>
      </w:r>
      <w:r w:rsidR="007A433B" w:rsidRPr="004577C1">
        <w:rPr>
          <w:rFonts w:ascii="Times New Roman" w:eastAsia="Calibri" w:hAnsi="Times New Roman" w:cs="Times New Roman"/>
          <w:bCs/>
          <w:sz w:val="24"/>
          <w:szCs w:val="24"/>
        </w:rPr>
        <w:t>je možné splniť aj elektronicky.</w:t>
      </w:r>
    </w:p>
    <w:p w14:paraId="2D463E69" w14:textId="77777777" w:rsidR="00B108B7" w:rsidRPr="004577C1" w:rsidRDefault="00B108B7" w:rsidP="00512BA7">
      <w:pPr>
        <w:jc w:val="both"/>
        <w:rPr>
          <w:rFonts w:ascii="Times New Roman" w:eastAsia="Calibri" w:hAnsi="Times New Roman" w:cs="Times New Roman"/>
          <w:bCs/>
          <w:sz w:val="24"/>
          <w:szCs w:val="24"/>
        </w:rPr>
      </w:pPr>
    </w:p>
    <w:p w14:paraId="51B46196" w14:textId="42F85458" w:rsidR="004878A9" w:rsidRPr="004577C1" w:rsidRDefault="007F0B17" w:rsidP="00457FB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Informačná povinnosť o znížení alebo zrušení povoleného prečerpania</w:t>
      </w:r>
    </w:p>
    <w:p w14:paraId="02D350A5" w14:textId="79FC4C12" w:rsidR="008C7F74" w:rsidRPr="004577C1" w:rsidRDefault="008C7F74" w:rsidP="00512BA7">
      <w:pPr>
        <w:jc w:val="both"/>
        <w:rPr>
          <w:rFonts w:ascii="Times New Roman" w:eastAsia="Calibri" w:hAnsi="Times New Roman" w:cs="Times New Roman"/>
          <w:bCs/>
          <w:sz w:val="24"/>
          <w:szCs w:val="24"/>
        </w:rPr>
      </w:pPr>
      <w:r w:rsidRPr="004577C1">
        <w:rPr>
          <w:rFonts w:ascii="Times New Roman" w:eastAsia="Calibri" w:hAnsi="Times New Roman" w:cs="Times New Roman"/>
          <w:bCs/>
          <w:sz w:val="24"/>
          <w:szCs w:val="24"/>
        </w:rPr>
        <w:t>Predmetná regulácia bude predstavovať zvýšenie nepriamych finančných nákladov a administratívnej záťaže dotknutých subjektov, kto</w:t>
      </w:r>
      <w:r w:rsidR="00693660" w:rsidRPr="004577C1">
        <w:rPr>
          <w:rFonts w:ascii="Times New Roman" w:eastAsia="Calibri" w:hAnsi="Times New Roman" w:cs="Times New Roman"/>
          <w:bCs/>
          <w:sz w:val="24"/>
          <w:szCs w:val="24"/>
        </w:rPr>
        <w:t>rými sú veritelia (5</w:t>
      </w:r>
      <w:r w:rsidR="004A6CF1" w:rsidRPr="004577C1">
        <w:rPr>
          <w:rFonts w:ascii="Times New Roman" w:eastAsia="Calibri" w:hAnsi="Times New Roman" w:cs="Times New Roman"/>
          <w:bCs/>
          <w:sz w:val="24"/>
          <w:szCs w:val="24"/>
        </w:rPr>
        <w:t>3</w:t>
      </w:r>
      <w:r w:rsidRPr="004577C1">
        <w:rPr>
          <w:rFonts w:ascii="Times New Roman" w:eastAsia="Calibri" w:hAnsi="Times New Roman" w:cs="Times New Roman"/>
          <w:bCs/>
          <w:sz w:val="24"/>
          <w:szCs w:val="24"/>
        </w:rPr>
        <w:t xml:space="preserve"> subjektov</w:t>
      </w:r>
      <w:r w:rsidR="006C7486" w:rsidRPr="004577C1">
        <w:rPr>
          <w:rFonts w:ascii="Times New Roman" w:eastAsia="Calibri" w:hAnsi="Times New Roman" w:cs="Times New Roman"/>
          <w:bCs/>
          <w:sz w:val="24"/>
          <w:szCs w:val="24"/>
        </w:rPr>
        <w:t xml:space="preserve"> </w:t>
      </w:r>
      <w:r w:rsidR="00F34141" w:rsidRPr="004577C1">
        <w:rPr>
          <w:rFonts w:ascii="Times New Roman" w:eastAsia="Calibri" w:hAnsi="Times New Roman" w:cs="Times New Roman"/>
          <w:bCs/>
          <w:iCs/>
          <w:sz w:val="24"/>
          <w:szCs w:val="24"/>
        </w:rPr>
        <w:t xml:space="preserve">- </w:t>
      </w:r>
      <w:r w:rsidR="00F34141" w:rsidRPr="004577C1">
        <w:rPr>
          <w:rFonts w:ascii="Times New Roman" w:eastAsia="Calibri" w:hAnsi="Times New Roman" w:cs="Times New Roman"/>
          <w:sz w:val="24"/>
          <w:szCs w:val="24"/>
        </w:rPr>
        <w:t>počet subjektov vychádza z údajov zverejnených NBS</w:t>
      </w:r>
      <w:r w:rsidRPr="004577C1">
        <w:rPr>
          <w:rFonts w:ascii="Times New Roman" w:eastAsia="Calibri" w:hAnsi="Times New Roman" w:cs="Times New Roman"/>
          <w:bCs/>
          <w:sz w:val="24"/>
          <w:szCs w:val="24"/>
        </w:rPr>
        <w:t>). Predpokladané nepriame finančné náklady sú stanovené expertným odhadom do výšky 5 000 eur na jeden dotknutý subjekt, pričom konkrétna výška bude závisieť od formy</w:t>
      </w:r>
      <w:r w:rsidR="006C7486" w:rsidRPr="004577C1">
        <w:rPr>
          <w:rFonts w:ascii="Times New Roman" w:eastAsia="Calibri" w:hAnsi="Times New Roman" w:cs="Times New Roman"/>
          <w:bCs/>
          <w:sz w:val="24"/>
          <w:szCs w:val="24"/>
        </w:rPr>
        <w:t>,</w:t>
      </w:r>
      <w:r w:rsidRPr="004577C1">
        <w:rPr>
          <w:rFonts w:ascii="Times New Roman" w:eastAsia="Calibri" w:hAnsi="Times New Roman" w:cs="Times New Roman"/>
          <w:bCs/>
          <w:sz w:val="24"/>
          <w:szCs w:val="24"/>
        </w:rPr>
        <w:t xml:space="preserve"> v akej sa splní informačná povinnosť veriteľa. Nepriame finančné náklady sa predpokladajú jednorazovo, najmä na nastavenie interných postupov. Predmetná regulácia spôsobuje aj zvýšenie administratívn</w:t>
      </w:r>
      <w:r w:rsidR="006B31BE" w:rsidRPr="004577C1">
        <w:rPr>
          <w:rFonts w:ascii="Times New Roman" w:eastAsia="Calibri" w:hAnsi="Times New Roman" w:cs="Times New Roman"/>
          <w:bCs/>
          <w:sz w:val="24"/>
          <w:szCs w:val="24"/>
        </w:rPr>
        <w:t>ej záťaže</w:t>
      </w:r>
      <w:r w:rsidRPr="004577C1">
        <w:rPr>
          <w:rFonts w:ascii="Times New Roman" w:eastAsia="Calibri" w:hAnsi="Times New Roman" w:cs="Times New Roman"/>
          <w:bCs/>
          <w:sz w:val="24"/>
          <w:szCs w:val="24"/>
        </w:rPr>
        <w:t>, a to konkrétne vo forme oboznámenia sa s reguláciou a</w:t>
      </w:r>
      <w:r w:rsidR="000C32B0" w:rsidRPr="004577C1">
        <w:rPr>
          <w:rFonts w:ascii="Times New Roman" w:eastAsia="Calibri" w:hAnsi="Times New Roman" w:cs="Times New Roman"/>
          <w:bCs/>
          <w:sz w:val="24"/>
          <w:szCs w:val="24"/>
        </w:rPr>
        <w:t> poskytnutia informácie</w:t>
      </w:r>
      <w:r w:rsidRPr="004577C1">
        <w:rPr>
          <w:rFonts w:ascii="Times New Roman" w:eastAsia="Calibri" w:hAnsi="Times New Roman" w:cs="Times New Roman"/>
          <w:bCs/>
          <w:sz w:val="24"/>
          <w:szCs w:val="24"/>
        </w:rPr>
        <w:t>. Frekvencia administratívn</w:t>
      </w:r>
      <w:r w:rsidR="006B31BE" w:rsidRPr="004577C1">
        <w:rPr>
          <w:rFonts w:ascii="Times New Roman" w:eastAsia="Calibri" w:hAnsi="Times New Roman" w:cs="Times New Roman"/>
          <w:bCs/>
          <w:sz w:val="24"/>
          <w:szCs w:val="24"/>
        </w:rPr>
        <w:t>ej záťaže</w:t>
      </w:r>
      <w:r w:rsidRPr="004577C1">
        <w:rPr>
          <w:rFonts w:ascii="Times New Roman" w:eastAsia="Calibri" w:hAnsi="Times New Roman" w:cs="Times New Roman"/>
          <w:bCs/>
          <w:sz w:val="24"/>
          <w:szCs w:val="24"/>
        </w:rPr>
        <w:t xml:space="preserve"> sa predpokladá </w:t>
      </w:r>
      <w:r w:rsidR="006B31BE" w:rsidRPr="004577C1">
        <w:rPr>
          <w:rFonts w:ascii="Times New Roman" w:eastAsia="Calibri" w:hAnsi="Times New Roman" w:cs="Times New Roman"/>
          <w:bCs/>
          <w:sz w:val="24"/>
          <w:szCs w:val="24"/>
        </w:rPr>
        <w:t xml:space="preserve">na </w:t>
      </w:r>
      <w:r w:rsidRPr="004577C1">
        <w:rPr>
          <w:rFonts w:ascii="Times New Roman" w:eastAsia="Calibri" w:hAnsi="Times New Roman" w:cs="Times New Roman"/>
          <w:bCs/>
          <w:sz w:val="24"/>
          <w:szCs w:val="24"/>
        </w:rPr>
        <w:t>nepravidelne</w:t>
      </w:r>
      <w:r w:rsidR="006B31BE" w:rsidRPr="004577C1">
        <w:rPr>
          <w:rFonts w:ascii="Times New Roman" w:eastAsia="Calibri" w:hAnsi="Times New Roman" w:cs="Times New Roman"/>
          <w:bCs/>
          <w:sz w:val="24"/>
          <w:szCs w:val="24"/>
        </w:rPr>
        <w:t>j báze</w:t>
      </w:r>
      <w:r w:rsidRPr="004577C1">
        <w:rPr>
          <w:rFonts w:ascii="Times New Roman" w:eastAsia="Calibri" w:hAnsi="Times New Roman" w:cs="Times New Roman"/>
          <w:bCs/>
          <w:sz w:val="24"/>
          <w:szCs w:val="24"/>
        </w:rPr>
        <w:t xml:space="preserve"> a</w:t>
      </w:r>
      <w:r w:rsidR="00E03DEC" w:rsidRPr="004577C1">
        <w:rPr>
          <w:rFonts w:ascii="Times New Roman" w:eastAsia="Calibri" w:hAnsi="Times New Roman" w:cs="Times New Roman"/>
          <w:bCs/>
          <w:sz w:val="24"/>
          <w:szCs w:val="24"/>
        </w:rPr>
        <w:t xml:space="preserve"> povinnosti, ktoré vzniknú v rámci </w:t>
      </w:r>
      <w:r w:rsidRPr="004577C1">
        <w:rPr>
          <w:rFonts w:ascii="Times New Roman" w:eastAsia="Calibri" w:hAnsi="Times New Roman" w:cs="Times New Roman"/>
          <w:bCs/>
          <w:sz w:val="24"/>
          <w:szCs w:val="24"/>
        </w:rPr>
        <w:t xml:space="preserve"> administratívne</w:t>
      </w:r>
      <w:r w:rsidR="00E03DEC" w:rsidRPr="004577C1">
        <w:rPr>
          <w:rFonts w:ascii="Times New Roman" w:eastAsia="Calibri" w:hAnsi="Times New Roman" w:cs="Times New Roman"/>
          <w:bCs/>
          <w:sz w:val="24"/>
          <w:szCs w:val="24"/>
        </w:rPr>
        <w:t>j záťaže</w:t>
      </w:r>
      <w:r w:rsidR="006C7486" w:rsidRPr="004577C1">
        <w:rPr>
          <w:rFonts w:ascii="Times New Roman" w:eastAsia="Calibri" w:hAnsi="Times New Roman" w:cs="Times New Roman"/>
          <w:bCs/>
          <w:sz w:val="24"/>
          <w:szCs w:val="24"/>
        </w:rPr>
        <w:t>,</w:t>
      </w:r>
      <w:r w:rsidRPr="004577C1">
        <w:rPr>
          <w:rFonts w:ascii="Times New Roman" w:eastAsia="Calibri" w:hAnsi="Times New Roman" w:cs="Times New Roman"/>
          <w:bCs/>
          <w:sz w:val="24"/>
          <w:szCs w:val="24"/>
        </w:rPr>
        <w:t xml:space="preserve"> je možné splniť aj elektronicky.</w:t>
      </w:r>
    </w:p>
    <w:p w14:paraId="0CE86454" w14:textId="77777777" w:rsidR="001B3E17" w:rsidRPr="004577C1" w:rsidRDefault="001B3E17" w:rsidP="00512BA7">
      <w:pPr>
        <w:jc w:val="both"/>
        <w:rPr>
          <w:rFonts w:ascii="Times New Roman" w:eastAsia="Calibri" w:hAnsi="Times New Roman" w:cs="Times New Roman"/>
          <w:bCs/>
          <w:sz w:val="24"/>
          <w:szCs w:val="24"/>
        </w:rPr>
      </w:pPr>
    </w:p>
    <w:p w14:paraId="00A38197" w14:textId="4984AFAF" w:rsidR="00E809F0" w:rsidRPr="004577C1" w:rsidRDefault="007F0B17" w:rsidP="00457FB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Informačná povinnosť o znížení limitu alebo zrušení prekročenia</w:t>
      </w:r>
    </w:p>
    <w:p w14:paraId="3395D938" w14:textId="5EFF5914" w:rsidR="007F0B17" w:rsidRPr="004577C1" w:rsidRDefault="001B3E17" w:rsidP="00512BA7">
      <w:pPr>
        <w:jc w:val="both"/>
        <w:rPr>
          <w:rFonts w:ascii="Times New Roman" w:eastAsia="Calibri" w:hAnsi="Times New Roman" w:cs="Times New Roman"/>
          <w:bCs/>
          <w:i/>
          <w:sz w:val="24"/>
          <w:szCs w:val="24"/>
        </w:rPr>
      </w:pPr>
      <w:r w:rsidRPr="004577C1">
        <w:rPr>
          <w:rFonts w:ascii="Times New Roman" w:eastAsia="Calibri" w:hAnsi="Times New Roman" w:cs="Times New Roman"/>
          <w:bCs/>
          <w:sz w:val="24"/>
          <w:szCs w:val="24"/>
        </w:rPr>
        <w:t>Tak ako regulácia vo forme informačnej povinnosti o znížení alebo zrušení povoleného prečerpania, tak aj informačná povinnosť o znížení limitu alebo zrušení prekročenia bude predstavovať zvýšenie nepriamych finančných nákladov a administratívnej záťaže dotknutých sub</w:t>
      </w:r>
      <w:r w:rsidR="00693660" w:rsidRPr="004577C1">
        <w:rPr>
          <w:rFonts w:ascii="Times New Roman" w:eastAsia="Calibri" w:hAnsi="Times New Roman" w:cs="Times New Roman"/>
          <w:bCs/>
          <w:sz w:val="24"/>
          <w:szCs w:val="24"/>
        </w:rPr>
        <w:t>jektov, ktorými sú veritelia (5</w:t>
      </w:r>
      <w:r w:rsidR="004A6CF1" w:rsidRPr="004577C1">
        <w:rPr>
          <w:rFonts w:ascii="Times New Roman" w:eastAsia="Calibri" w:hAnsi="Times New Roman" w:cs="Times New Roman"/>
          <w:bCs/>
          <w:sz w:val="24"/>
          <w:szCs w:val="24"/>
        </w:rPr>
        <w:t>3</w:t>
      </w:r>
      <w:r w:rsidRPr="004577C1">
        <w:rPr>
          <w:rFonts w:ascii="Times New Roman" w:eastAsia="Calibri" w:hAnsi="Times New Roman" w:cs="Times New Roman"/>
          <w:bCs/>
          <w:sz w:val="24"/>
          <w:szCs w:val="24"/>
        </w:rPr>
        <w:t xml:space="preserve"> subjektov</w:t>
      </w:r>
      <w:r w:rsidR="00B34EC2" w:rsidRPr="004577C1">
        <w:rPr>
          <w:rFonts w:ascii="Times New Roman" w:eastAsia="Calibri" w:hAnsi="Times New Roman" w:cs="Times New Roman"/>
          <w:bCs/>
          <w:sz w:val="24"/>
          <w:szCs w:val="24"/>
        </w:rPr>
        <w:t xml:space="preserve"> </w:t>
      </w:r>
      <w:r w:rsidR="00F34141" w:rsidRPr="004577C1">
        <w:rPr>
          <w:rFonts w:ascii="Times New Roman" w:eastAsia="Calibri" w:hAnsi="Times New Roman" w:cs="Times New Roman"/>
          <w:bCs/>
          <w:iCs/>
          <w:sz w:val="24"/>
          <w:szCs w:val="24"/>
        </w:rPr>
        <w:t xml:space="preserve">- </w:t>
      </w:r>
      <w:r w:rsidR="00F34141" w:rsidRPr="004577C1">
        <w:rPr>
          <w:rFonts w:ascii="Times New Roman" w:eastAsia="Calibri" w:hAnsi="Times New Roman" w:cs="Times New Roman"/>
          <w:sz w:val="24"/>
          <w:szCs w:val="24"/>
        </w:rPr>
        <w:t>počet subjektov vychádza z údajov zverejnených NBS</w:t>
      </w:r>
      <w:r w:rsidRPr="004577C1">
        <w:rPr>
          <w:rFonts w:ascii="Times New Roman" w:eastAsia="Calibri" w:hAnsi="Times New Roman" w:cs="Times New Roman"/>
          <w:bCs/>
          <w:sz w:val="24"/>
          <w:szCs w:val="24"/>
        </w:rPr>
        <w:t>). Predpokladané nepriame finančné náklady sú stanovené expertným odhadom do výšky 5 000 eur na jeden dotknutý subjekt, pričom konkrétna výška bude závisieť od formy</w:t>
      </w:r>
      <w:r w:rsidR="00B34EC2" w:rsidRPr="004577C1">
        <w:rPr>
          <w:rFonts w:ascii="Times New Roman" w:eastAsia="Calibri" w:hAnsi="Times New Roman" w:cs="Times New Roman"/>
          <w:bCs/>
          <w:sz w:val="24"/>
          <w:szCs w:val="24"/>
        </w:rPr>
        <w:t>,</w:t>
      </w:r>
      <w:r w:rsidRPr="004577C1">
        <w:rPr>
          <w:rFonts w:ascii="Times New Roman" w:eastAsia="Calibri" w:hAnsi="Times New Roman" w:cs="Times New Roman"/>
          <w:bCs/>
          <w:sz w:val="24"/>
          <w:szCs w:val="24"/>
        </w:rPr>
        <w:t xml:space="preserve"> v akej sa splní informačná povinnosť veriteľa. Nepriame finančné náklady sa predpokladajú jednorazovo, najmä na nastavenie interných postupov. Predmetná regulácia spôsobuje aj zvýšenie administratívnych nákladov, a to konkrétne vo forme oboznámenia sa s reguláciou a</w:t>
      </w:r>
      <w:r w:rsidR="000C32B0" w:rsidRPr="004577C1">
        <w:rPr>
          <w:rFonts w:ascii="Times New Roman" w:eastAsia="Calibri" w:hAnsi="Times New Roman" w:cs="Times New Roman"/>
          <w:bCs/>
          <w:sz w:val="24"/>
          <w:szCs w:val="24"/>
        </w:rPr>
        <w:t> poskytnutia informácie</w:t>
      </w:r>
      <w:r w:rsidRPr="004577C1">
        <w:rPr>
          <w:rFonts w:ascii="Times New Roman" w:eastAsia="Calibri" w:hAnsi="Times New Roman" w:cs="Times New Roman"/>
          <w:bCs/>
          <w:sz w:val="24"/>
          <w:szCs w:val="24"/>
        </w:rPr>
        <w:t>. Frekvencia administratívn</w:t>
      </w:r>
      <w:r w:rsidR="0097026E" w:rsidRPr="004577C1">
        <w:rPr>
          <w:rFonts w:ascii="Times New Roman" w:eastAsia="Calibri" w:hAnsi="Times New Roman" w:cs="Times New Roman"/>
          <w:bCs/>
          <w:sz w:val="24"/>
          <w:szCs w:val="24"/>
        </w:rPr>
        <w:t xml:space="preserve">ej záťaže </w:t>
      </w:r>
      <w:r w:rsidRPr="004577C1">
        <w:rPr>
          <w:rFonts w:ascii="Times New Roman" w:eastAsia="Calibri" w:hAnsi="Times New Roman" w:cs="Times New Roman"/>
          <w:bCs/>
          <w:sz w:val="24"/>
          <w:szCs w:val="24"/>
        </w:rPr>
        <w:t xml:space="preserve">sa predpokladá </w:t>
      </w:r>
      <w:r w:rsidR="0097026E" w:rsidRPr="004577C1">
        <w:rPr>
          <w:rFonts w:ascii="Times New Roman" w:eastAsia="Calibri" w:hAnsi="Times New Roman" w:cs="Times New Roman"/>
          <w:bCs/>
          <w:sz w:val="24"/>
          <w:szCs w:val="24"/>
        </w:rPr>
        <w:t xml:space="preserve">na </w:t>
      </w:r>
      <w:r w:rsidRPr="004577C1">
        <w:rPr>
          <w:rFonts w:ascii="Times New Roman" w:eastAsia="Calibri" w:hAnsi="Times New Roman" w:cs="Times New Roman"/>
          <w:bCs/>
          <w:sz w:val="24"/>
          <w:szCs w:val="24"/>
        </w:rPr>
        <w:t>nepravidelne</w:t>
      </w:r>
      <w:r w:rsidR="0097026E" w:rsidRPr="004577C1">
        <w:rPr>
          <w:rFonts w:ascii="Times New Roman" w:eastAsia="Calibri" w:hAnsi="Times New Roman" w:cs="Times New Roman"/>
          <w:bCs/>
          <w:sz w:val="24"/>
          <w:szCs w:val="24"/>
        </w:rPr>
        <w:t>j báze</w:t>
      </w:r>
      <w:r w:rsidRPr="004577C1">
        <w:rPr>
          <w:rFonts w:ascii="Times New Roman" w:eastAsia="Calibri" w:hAnsi="Times New Roman" w:cs="Times New Roman"/>
          <w:bCs/>
          <w:sz w:val="24"/>
          <w:szCs w:val="24"/>
        </w:rPr>
        <w:t xml:space="preserve">  a</w:t>
      </w:r>
      <w:r w:rsidR="003738BF" w:rsidRPr="004577C1">
        <w:rPr>
          <w:rFonts w:ascii="Times New Roman" w:eastAsia="Calibri" w:hAnsi="Times New Roman" w:cs="Times New Roman"/>
          <w:bCs/>
          <w:sz w:val="24"/>
          <w:szCs w:val="24"/>
        </w:rPr>
        <w:t xml:space="preserve"> povinnosti, ktoré vzniknú v rámci </w:t>
      </w:r>
      <w:r w:rsidRPr="004577C1">
        <w:rPr>
          <w:rFonts w:ascii="Times New Roman" w:eastAsia="Calibri" w:hAnsi="Times New Roman" w:cs="Times New Roman"/>
          <w:bCs/>
          <w:sz w:val="24"/>
          <w:szCs w:val="24"/>
        </w:rPr>
        <w:t>administratívne</w:t>
      </w:r>
      <w:r w:rsidR="003738BF" w:rsidRPr="004577C1">
        <w:rPr>
          <w:rFonts w:ascii="Times New Roman" w:eastAsia="Calibri" w:hAnsi="Times New Roman" w:cs="Times New Roman"/>
          <w:bCs/>
          <w:sz w:val="24"/>
          <w:szCs w:val="24"/>
        </w:rPr>
        <w:t>j</w:t>
      </w:r>
      <w:r w:rsidRPr="004577C1">
        <w:rPr>
          <w:rFonts w:ascii="Times New Roman" w:eastAsia="Calibri" w:hAnsi="Times New Roman" w:cs="Times New Roman"/>
          <w:bCs/>
          <w:sz w:val="24"/>
          <w:szCs w:val="24"/>
        </w:rPr>
        <w:t xml:space="preserve"> </w:t>
      </w:r>
      <w:r w:rsidR="003738BF" w:rsidRPr="004577C1">
        <w:rPr>
          <w:rFonts w:ascii="Times New Roman" w:eastAsia="Calibri" w:hAnsi="Times New Roman" w:cs="Times New Roman"/>
          <w:bCs/>
          <w:sz w:val="24"/>
          <w:szCs w:val="24"/>
        </w:rPr>
        <w:t>záťaže</w:t>
      </w:r>
      <w:r w:rsidR="00B34EC2" w:rsidRPr="004577C1">
        <w:rPr>
          <w:rFonts w:ascii="Times New Roman" w:eastAsia="Calibri" w:hAnsi="Times New Roman" w:cs="Times New Roman"/>
          <w:bCs/>
          <w:sz w:val="24"/>
          <w:szCs w:val="24"/>
        </w:rPr>
        <w:t>,</w:t>
      </w:r>
      <w:r w:rsidRPr="004577C1">
        <w:rPr>
          <w:rFonts w:ascii="Times New Roman" w:eastAsia="Calibri" w:hAnsi="Times New Roman" w:cs="Times New Roman"/>
          <w:bCs/>
          <w:sz w:val="24"/>
          <w:szCs w:val="24"/>
        </w:rPr>
        <w:t xml:space="preserve"> je možné splniť aj elektronicky.</w:t>
      </w:r>
    </w:p>
    <w:p w14:paraId="50C6A356" w14:textId="2B31EEE9" w:rsidR="00072B9C" w:rsidRPr="004577C1" w:rsidRDefault="00072B9C" w:rsidP="00E3395A">
      <w:pPr>
        <w:jc w:val="both"/>
        <w:rPr>
          <w:rFonts w:ascii="Times New Roman" w:eastAsia="Calibri" w:hAnsi="Times New Roman" w:cs="Times New Roman"/>
          <w:bCs/>
          <w:sz w:val="24"/>
          <w:szCs w:val="24"/>
        </w:rPr>
      </w:pPr>
    </w:p>
    <w:p w14:paraId="7DD6E014" w14:textId="7B9EB0FC" w:rsidR="00051565" w:rsidRPr="004577C1" w:rsidRDefault="00051565" w:rsidP="00457FB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Zisťovanie údajov v registri FO a v evidencii OP pre správcov úverov</w:t>
      </w:r>
    </w:p>
    <w:p w14:paraId="3E7179D1" w14:textId="663D26F0" w:rsidR="00051565" w:rsidRPr="004577C1" w:rsidRDefault="00051565" w:rsidP="00051565">
      <w:pPr>
        <w:jc w:val="both"/>
        <w:rPr>
          <w:rFonts w:ascii="Times New Roman" w:hAnsi="Times New Roman" w:cs="Times New Roman"/>
          <w:sz w:val="24"/>
          <w:szCs w:val="24"/>
        </w:rPr>
      </w:pPr>
      <w:r w:rsidRPr="004577C1">
        <w:rPr>
          <w:rFonts w:ascii="Times New Roman" w:eastAsia="Calibri" w:hAnsi="Times New Roman" w:cs="Times New Roman"/>
          <w:bCs/>
          <w:iCs/>
          <w:sz w:val="24"/>
          <w:szCs w:val="24"/>
        </w:rPr>
        <w:t xml:space="preserve">Predmetná regulácia znižuje administratívnu záťaž pre dotknuté subjekty, ktorými sú </w:t>
      </w:r>
      <w:r w:rsidR="004F2E19" w:rsidRPr="004577C1">
        <w:rPr>
          <w:rFonts w:ascii="Times New Roman" w:eastAsia="Calibri" w:hAnsi="Times New Roman" w:cs="Times New Roman"/>
          <w:bCs/>
          <w:iCs/>
          <w:sz w:val="24"/>
          <w:szCs w:val="24"/>
        </w:rPr>
        <w:t>správcovia úverov</w:t>
      </w:r>
      <w:r w:rsidRPr="004577C1">
        <w:rPr>
          <w:rFonts w:ascii="Times New Roman" w:eastAsia="Calibri" w:hAnsi="Times New Roman" w:cs="Times New Roman"/>
          <w:bCs/>
          <w:iCs/>
          <w:sz w:val="24"/>
          <w:szCs w:val="24"/>
        </w:rPr>
        <w:t xml:space="preserve">. Počet dotknutých subjektov je </w:t>
      </w:r>
      <w:r w:rsidR="000E4A1E" w:rsidRPr="004577C1">
        <w:rPr>
          <w:rFonts w:ascii="Times New Roman" w:eastAsia="Calibri" w:hAnsi="Times New Roman" w:cs="Times New Roman"/>
          <w:bCs/>
          <w:iCs/>
          <w:sz w:val="24"/>
          <w:szCs w:val="24"/>
        </w:rPr>
        <w:t>1</w:t>
      </w:r>
      <w:r w:rsidRPr="004577C1">
        <w:rPr>
          <w:rFonts w:ascii="Times New Roman" w:eastAsia="Calibri" w:hAnsi="Times New Roman" w:cs="Times New Roman"/>
          <w:bCs/>
          <w:iCs/>
          <w:sz w:val="24"/>
          <w:szCs w:val="24"/>
        </w:rPr>
        <w:t xml:space="preserve"> a vychádza z údajov </w:t>
      </w:r>
      <w:r w:rsidR="000E4A1E" w:rsidRPr="004577C1">
        <w:rPr>
          <w:rFonts w:ascii="Times New Roman" w:eastAsia="Calibri" w:hAnsi="Times New Roman" w:cs="Times New Roman"/>
          <w:bCs/>
          <w:iCs/>
          <w:sz w:val="24"/>
          <w:szCs w:val="24"/>
        </w:rPr>
        <w:t>zverejnených NBS (dostupné na: https://subjekty.nbs.sk/?c=1395)</w:t>
      </w:r>
      <w:r w:rsidR="004F2E19" w:rsidRPr="004577C1">
        <w:rPr>
          <w:rFonts w:ascii="Times New Roman" w:eastAsia="Calibri" w:hAnsi="Times New Roman" w:cs="Times New Roman"/>
          <w:bCs/>
          <w:iCs/>
          <w:sz w:val="24"/>
          <w:szCs w:val="24"/>
        </w:rPr>
        <w:t>.</w:t>
      </w:r>
      <w:r w:rsidRPr="004577C1">
        <w:rPr>
          <w:rFonts w:ascii="Times New Roman" w:eastAsia="Calibri" w:hAnsi="Times New Roman" w:cs="Times New Roman"/>
          <w:bCs/>
          <w:iCs/>
          <w:sz w:val="24"/>
          <w:szCs w:val="24"/>
        </w:rPr>
        <w:t xml:space="preserve"> Udelenie </w:t>
      </w:r>
      <w:r w:rsidRPr="004577C1">
        <w:rPr>
          <w:rFonts w:ascii="Times New Roman" w:hAnsi="Times New Roman" w:cs="Times New Roman"/>
          <w:sz w:val="24"/>
          <w:szCs w:val="24"/>
        </w:rPr>
        <w:t xml:space="preserve">právomoci pre </w:t>
      </w:r>
      <w:r w:rsidR="004F2E19" w:rsidRPr="004577C1">
        <w:rPr>
          <w:rFonts w:ascii="Times New Roman" w:hAnsi="Times New Roman" w:cs="Times New Roman"/>
          <w:sz w:val="24"/>
          <w:szCs w:val="24"/>
        </w:rPr>
        <w:t>správcov úverov</w:t>
      </w:r>
      <w:r w:rsidRPr="004577C1">
        <w:rPr>
          <w:rFonts w:ascii="Times New Roman" w:hAnsi="Times New Roman" w:cs="Times New Roman"/>
          <w:sz w:val="24"/>
          <w:szCs w:val="24"/>
        </w:rPr>
        <w:t xml:space="preserve"> zisťovať, preverovať a kontrolovať identifikáciu spotrebiteľa a jeho zástupcu na účely </w:t>
      </w:r>
      <w:r w:rsidR="004F2E19" w:rsidRPr="004577C1">
        <w:rPr>
          <w:rFonts w:ascii="Times New Roman" w:hAnsi="Times New Roman" w:cs="Times New Roman"/>
          <w:sz w:val="24"/>
          <w:szCs w:val="24"/>
        </w:rPr>
        <w:t>spravovania práv veriteľa v súvislosti s nesplácanou zmluvou o úvere alebo samotnej nesplácanej zmluvy o úvere alebo uzatvárania iných dohôd so spotrebiteľom, ako aj na účely aktualizácie už uchovávaných údajov o dlžníkovi</w:t>
      </w:r>
      <w:r w:rsidRPr="004577C1">
        <w:rPr>
          <w:rFonts w:ascii="Times New Roman" w:hAnsi="Times New Roman" w:cs="Times New Roman"/>
          <w:sz w:val="24"/>
          <w:szCs w:val="24"/>
        </w:rPr>
        <w:t xml:space="preserve"> a zároveň umožnenie prístupu do evidencie občianskych preukazov bude v</w:t>
      </w:r>
      <w:r w:rsidR="0061797B" w:rsidRPr="004577C1">
        <w:rPr>
          <w:rFonts w:ascii="Times New Roman" w:hAnsi="Times New Roman" w:cs="Times New Roman"/>
          <w:sz w:val="24"/>
          <w:szCs w:val="24"/>
        </w:rPr>
        <w:t>iesť k jednoduchšiemu získavaniu</w:t>
      </w:r>
      <w:r w:rsidRPr="004577C1">
        <w:rPr>
          <w:rFonts w:ascii="Times New Roman" w:hAnsi="Times New Roman" w:cs="Times New Roman"/>
          <w:sz w:val="24"/>
          <w:szCs w:val="24"/>
        </w:rPr>
        <w:t xml:space="preserve"> a aktualizácii údajov zo </w:t>
      </w:r>
      <w:r w:rsidRPr="004577C1">
        <w:rPr>
          <w:rFonts w:ascii="Times New Roman" w:hAnsi="Times New Roman" w:cs="Times New Roman"/>
          <w:sz w:val="24"/>
          <w:szCs w:val="24"/>
        </w:rPr>
        <w:lastRenderedPageBreak/>
        <w:t xml:space="preserve">strany </w:t>
      </w:r>
      <w:r w:rsidR="004F2E19" w:rsidRPr="004577C1">
        <w:rPr>
          <w:rFonts w:ascii="Times New Roman" w:hAnsi="Times New Roman" w:cs="Times New Roman"/>
          <w:sz w:val="24"/>
          <w:szCs w:val="24"/>
        </w:rPr>
        <w:t>správcov úverov</w:t>
      </w:r>
      <w:r w:rsidRPr="004577C1">
        <w:rPr>
          <w:rFonts w:ascii="Times New Roman" w:hAnsi="Times New Roman" w:cs="Times New Roman"/>
          <w:sz w:val="24"/>
          <w:szCs w:val="24"/>
        </w:rPr>
        <w:t xml:space="preserve">. Z toho dôvodu sa predpokladá zníženie administratívnej záťaže vo forme zápisu alebo aktualizácie údajov v registri/evidencii a poskytnutia informácie, oznámenia, vyhlásenia. Zníženie administratívnej záťaže sa predpokladá na nepravidelnej báze a bude závisieť od potreby toho ktorého </w:t>
      </w:r>
      <w:r w:rsidR="004F2E19" w:rsidRPr="004577C1">
        <w:rPr>
          <w:rFonts w:ascii="Times New Roman" w:hAnsi="Times New Roman" w:cs="Times New Roman"/>
          <w:sz w:val="24"/>
          <w:szCs w:val="24"/>
        </w:rPr>
        <w:t>správcu úverov</w:t>
      </w:r>
      <w:r w:rsidR="003861BA" w:rsidRPr="004577C1">
        <w:rPr>
          <w:rFonts w:ascii="Times New Roman" w:hAnsi="Times New Roman" w:cs="Times New Roman"/>
          <w:sz w:val="24"/>
          <w:szCs w:val="24"/>
        </w:rPr>
        <w:t>. P</w:t>
      </w:r>
      <w:r w:rsidR="0061797B" w:rsidRPr="004577C1">
        <w:rPr>
          <w:rFonts w:ascii="Times New Roman" w:eastAsia="Calibri" w:hAnsi="Times New Roman" w:cs="Times New Roman"/>
          <w:bCs/>
          <w:sz w:val="24"/>
          <w:szCs w:val="24"/>
        </w:rPr>
        <w:t>ovinnosti, ktoré vzniknú v rámci administratívnej záťaže, je možné splniť aj elektronicky.</w:t>
      </w:r>
    </w:p>
    <w:p w14:paraId="4761F216" w14:textId="77777777" w:rsidR="0007471B" w:rsidRPr="004577C1" w:rsidRDefault="0007471B" w:rsidP="00051565">
      <w:pPr>
        <w:jc w:val="both"/>
        <w:rPr>
          <w:rFonts w:ascii="Times New Roman" w:hAnsi="Times New Roman" w:cs="Times New Roman"/>
          <w:sz w:val="24"/>
          <w:szCs w:val="24"/>
        </w:rPr>
      </w:pPr>
    </w:p>
    <w:p w14:paraId="41053B83" w14:textId="7626B4A9" w:rsidR="004F2E19" w:rsidRPr="004577C1" w:rsidRDefault="004F2E19" w:rsidP="00457FB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Možnosť NBS rozhodnúť o častejšom zasielaní výkazov</w:t>
      </w:r>
    </w:p>
    <w:p w14:paraId="11F89C4D" w14:textId="2209C6E2" w:rsidR="00051565" w:rsidRPr="004577C1" w:rsidRDefault="00260502" w:rsidP="00051565">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Zmena predmetnej regulácie môže spôsobiť zvýšenie administratívnej záťaže pre dotknuté subjekty, ktorými sú banky a pobočky zahraničných bánk, a to v prípade, ak sa NBS rozhodne toto ustanovenie uplatniť a konkrétnemu dotknutému subjektu určí, že je povinný zasielať výkaz</w:t>
      </w:r>
      <w:r w:rsidR="004309E4" w:rsidRPr="004577C1">
        <w:rPr>
          <w:rFonts w:ascii="Times New Roman" w:eastAsia="Calibri" w:hAnsi="Times New Roman" w:cs="Times New Roman"/>
          <w:bCs/>
          <w:iCs/>
          <w:sz w:val="24"/>
          <w:szCs w:val="24"/>
        </w:rPr>
        <w:t>y</w:t>
      </w:r>
      <w:r w:rsidRPr="004577C1">
        <w:rPr>
          <w:rFonts w:ascii="Times New Roman" w:eastAsia="Calibri" w:hAnsi="Times New Roman" w:cs="Times New Roman"/>
          <w:bCs/>
          <w:iCs/>
          <w:sz w:val="24"/>
          <w:szCs w:val="24"/>
        </w:rPr>
        <w:t xml:space="preserve"> častejšie, a to na štvrťročnej báze. </w:t>
      </w:r>
      <w:r w:rsidR="004309E4" w:rsidRPr="004577C1">
        <w:rPr>
          <w:rFonts w:ascii="Times New Roman" w:eastAsia="Calibri" w:hAnsi="Times New Roman" w:cs="Times New Roman"/>
          <w:bCs/>
          <w:iCs/>
          <w:sz w:val="24"/>
          <w:szCs w:val="24"/>
        </w:rPr>
        <w:t>Počet dotknutých subjektov je 22 a vychádza z údajov zverejnených NBS (</w:t>
      </w:r>
      <w:hyperlink r:id="rId15" w:history="1">
        <w:r w:rsidR="00D34EB6" w:rsidRPr="004577C1">
          <w:rPr>
            <w:rStyle w:val="Hypertextovprepojenie"/>
            <w:rFonts w:ascii="Times New Roman" w:eastAsia="Calibri" w:hAnsi="Times New Roman" w:cs="Times New Roman"/>
            <w:bCs/>
            <w:iCs/>
            <w:color w:val="auto"/>
            <w:sz w:val="24"/>
            <w:szCs w:val="24"/>
            <w:u w:val="none"/>
          </w:rPr>
          <w:t>https://subjekty.nbs.sk/?s=930</w:t>
        </w:r>
      </w:hyperlink>
      <w:r w:rsidR="00D34EB6" w:rsidRPr="004577C1">
        <w:rPr>
          <w:rFonts w:ascii="Times New Roman" w:eastAsia="Calibri" w:hAnsi="Times New Roman" w:cs="Times New Roman"/>
          <w:bCs/>
          <w:iCs/>
          <w:sz w:val="24"/>
          <w:szCs w:val="24"/>
        </w:rPr>
        <w:t>)</w:t>
      </w:r>
      <w:r w:rsidR="004309E4" w:rsidRPr="004577C1">
        <w:rPr>
          <w:rFonts w:ascii="Times New Roman" w:eastAsia="Calibri" w:hAnsi="Times New Roman" w:cs="Times New Roman"/>
          <w:bCs/>
          <w:iCs/>
          <w:sz w:val="24"/>
          <w:szCs w:val="24"/>
        </w:rPr>
        <w:t>. Administratívna záťaž môže vzniknúť konkrétne v oblasti evidencie a vedenia dokumentácie, vypracovaní dokumentu a poskytnutí informácie.</w:t>
      </w:r>
    </w:p>
    <w:p w14:paraId="6C1F92C2" w14:textId="124E0155" w:rsidR="00D77BF3" w:rsidRPr="004577C1" w:rsidRDefault="00D77BF3" w:rsidP="00051565">
      <w:pPr>
        <w:jc w:val="both"/>
        <w:rPr>
          <w:rFonts w:ascii="Times New Roman" w:eastAsia="Calibri" w:hAnsi="Times New Roman" w:cs="Times New Roman"/>
          <w:bCs/>
          <w:iCs/>
          <w:sz w:val="24"/>
          <w:szCs w:val="24"/>
        </w:rPr>
      </w:pPr>
    </w:p>
    <w:p w14:paraId="5595E03C" w14:textId="201F4DF2" w:rsidR="00D77BF3" w:rsidRPr="004577C1" w:rsidRDefault="00D77BF3" w:rsidP="00457FB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Zmena vnútorných procesov a ich premietnutie do IS</w:t>
      </w:r>
    </w:p>
    <w:p w14:paraId="6BFDF1F6" w14:textId="530BB6DA" w:rsidR="00D77BF3" w:rsidRPr="004577C1" w:rsidRDefault="00D77BF3" w:rsidP="00D77BF3">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 xml:space="preserve">Predmetná regulácia mení zákon č. 106/2024 Z. z. o správcoch úverov a nákupcoch úverov a o zmene a doplnení niektorých zákonov, </w:t>
      </w:r>
      <w:r w:rsidR="005F20FB" w:rsidRPr="004577C1">
        <w:rPr>
          <w:rFonts w:ascii="Times New Roman" w:eastAsia="Calibri" w:hAnsi="Times New Roman" w:cs="Times New Roman"/>
          <w:bCs/>
          <w:iCs/>
          <w:sz w:val="24"/>
          <w:szCs w:val="24"/>
        </w:rPr>
        <w:t xml:space="preserve">a </w:t>
      </w:r>
      <w:r w:rsidRPr="004577C1">
        <w:rPr>
          <w:rFonts w:ascii="Times New Roman" w:eastAsia="Calibri" w:hAnsi="Times New Roman" w:cs="Times New Roman"/>
          <w:bCs/>
          <w:iCs/>
          <w:sz w:val="24"/>
          <w:szCs w:val="24"/>
        </w:rPr>
        <w:t xml:space="preserve">to tak, že primerane rozširuje pôsobnosť niektorých jeho ustanovení aj na subjekty, ktorými sú veriteľ podľa osobitného predpisu a banka a pobočka zahraničnej banky. </w:t>
      </w:r>
      <w:r w:rsidR="0049244B" w:rsidRPr="004577C1">
        <w:rPr>
          <w:rFonts w:ascii="Times New Roman" w:eastAsia="Calibri" w:hAnsi="Times New Roman" w:cs="Times New Roman"/>
          <w:bCs/>
          <w:iCs/>
          <w:sz w:val="24"/>
          <w:szCs w:val="24"/>
        </w:rPr>
        <w:t>To pre dotknuté subjekty, ktorými sú veritelia podľa osobitného predpisu</w:t>
      </w:r>
      <w:r w:rsidR="005F20FB" w:rsidRPr="004577C1">
        <w:rPr>
          <w:rFonts w:ascii="Times New Roman" w:eastAsia="Calibri" w:hAnsi="Times New Roman" w:cs="Times New Roman"/>
          <w:bCs/>
          <w:iCs/>
          <w:sz w:val="24"/>
          <w:szCs w:val="24"/>
        </w:rPr>
        <w:t xml:space="preserve">, </w:t>
      </w:r>
      <w:r w:rsidR="0049244B" w:rsidRPr="004577C1">
        <w:rPr>
          <w:rFonts w:ascii="Times New Roman" w:eastAsia="Calibri" w:hAnsi="Times New Roman" w:cs="Times New Roman"/>
          <w:bCs/>
          <w:iCs/>
          <w:sz w:val="24"/>
          <w:szCs w:val="24"/>
        </w:rPr>
        <w:t>banky a pobočky zahraničných bánk</w:t>
      </w:r>
      <w:r w:rsidR="005F20FB" w:rsidRPr="004577C1">
        <w:rPr>
          <w:rFonts w:ascii="Times New Roman" w:eastAsia="Calibri" w:hAnsi="Times New Roman" w:cs="Times New Roman"/>
          <w:bCs/>
          <w:iCs/>
          <w:sz w:val="24"/>
          <w:szCs w:val="24"/>
        </w:rPr>
        <w:t>, ktorých počet je 5</w:t>
      </w:r>
      <w:r w:rsidR="004A6CF1" w:rsidRPr="004577C1">
        <w:rPr>
          <w:rFonts w:ascii="Times New Roman" w:eastAsia="Calibri" w:hAnsi="Times New Roman" w:cs="Times New Roman"/>
          <w:bCs/>
          <w:iCs/>
          <w:sz w:val="24"/>
          <w:szCs w:val="24"/>
        </w:rPr>
        <w:t>3</w:t>
      </w:r>
      <w:r w:rsidR="005F20FB" w:rsidRPr="004577C1">
        <w:rPr>
          <w:rFonts w:ascii="Times New Roman" w:eastAsia="Calibri" w:hAnsi="Times New Roman" w:cs="Times New Roman"/>
          <w:bCs/>
          <w:iCs/>
          <w:sz w:val="24"/>
          <w:szCs w:val="24"/>
        </w:rPr>
        <w:t xml:space="preserve"> a vychádza z údajov zverejnených NBS (</w:t>
      </w:r>
      <w:r w:rsidR="00737C4F" w:rsidRPr="004577C1">
        <w:rPr>
          <w:rFonts w:ascii="Times New Roman" w:eastAsia="Calibri" w:hAnsi="Times New Roman" w:cs="Times New Roman"/>
          <w:bCs/>
          <w:iCs/>
          <w:sz w:val="24"/>
          <w:szCs w:val="24"/>
        </w:rPr>
        <w:t>https://subjekty.nbs.sk/</w:t>
      </w:r>
      <w:r w:rsidR="005F20FB" w:rsidRPr="004577C1">
        <w:rPr>
          <w:rFonts w:ascii="Times New Roman" w:eastAsia="Calibri" w:hAnsi="Times New Roman" w:cs="Times New Roman"/>
          <w:bCs/>
          <w:iCs/>
          <w:sz w:val="24"/>
          <w:szCs w:val="24"/>
        </w:rPr>
        <w:t xml:space="preserve">), predstavuje rozšírenie povinností podľa zákona č. 106/2024 Z. z. o správcoch úverov a nákupcoch úverov a o zmene a doplnení niektorých zákonov v oblasti </w:t>
      </w:r>
      <w:r w:rsidR="001E7D32" w:rsidRPr="004577C1">
        <w:rPr>
          <w:rFonts w:ascii="Times New Roman" w:eastAsia="Calibri" w:hAnsi="Times New Roman" w:cs="Times New Roman"/>
          <w:bCs/>
          <w:iCs/>
          <w:sz w:val="24"/>
          <w:szCs w:val="24"/>
        </w:rPr>
        <w:t xml:space="preserve">zriadenia samostatného platobného účtu, zmluvy o spravovaní úverov, využívaní poskytovateľa úverových služieb a vzťahu s dlžníkom. Vzhľadom na toto rozšírenie bude zo strany </w:t>
      </w:r>
      <w:r w:rsidR="00397D7E" w:rsidRPr="004577C1">
        <w:rPr>
          <w:rFonts w:ascii="Times New Roman" w:eastAsia="Calibri" w:hAnsi="Times New Roman" w:cs="Times New Roman"/>
          <w:bCs/>
          <w:iCs/>
          <w:sz w:val="24"/>
          <w:szCs w:val="24"/>
        </w:rPr>
        <w:t>dotknutých</w:t>
      </w:r>
      <w:r w:rsidR="001E7D32" w:rsidRPr="004577C1">
        <w:rPr>
          <w:rFonts w:ascii="Times New Roman" w:eastAsia="Calibri" w:hAnsi="Times New Roman" w:cs="Times New Roman"/>
          <w:bCs/>
          <w:iCs/>
          <w:sz w:val="24"/>
          <w:szCs w:val="24"/>
        </w:rPr>
        <w:t xml:space="preserve"> subjektov potrebné prispôsobiť novým zákonným požiadavkám interné procesy a následne aj informačné systémy. Vzhľadom na to je predpokladané zvýšenie administratívnej záťaže v oboznámení sa s reguláciou, zmenou vnútorných procesov</w:t>
      </w:r>
      <w:r w:rsidR="00397D7E" w:rsidRPr="004577C1">
        <w:rPr>
          <w:rFonts w:ascii="Times New Roman" w:eastAsia="Calibri" w:hAnsi="Times New Roman" w:cs="Times New Roman"/>
          <w:bCs/>
          <w:iCs/>
          <w:sz w:val="24"/>
          <w:szCs w:val="24"/>
        </w:rPr>
        <w:t xml:space="preserve"> a vypracovaní dokumentu v prípade potreby uzavretia zmluvy o spravovaní úverov alebo zmluvy o využívaní poskytovateľa úverových služieb. Taktiež je predpokladané aj zvýšenie nepriamych finančných nákladov na zmeny v informačných systémoch odzrkadľujúce nové povinnosti, ktoré sú odhadované na 20 000 eur, nakoľko by sa nemalo jednať o veľký zásah. Frekvencia plnenia povinnosti sa predpokladá jednorazovo pri administratívnej záťaži, ako aj pri nepriamych finančných nákladoch. Povinnosť je možné splniť aj elektronicky. </w:t>
      </w:r>
      <w:r w:rsidR="001E7D32" w:rsidRPr="004577C1">
        <w:rPr>
          <w:rFonts w:ascii="Times New Roman" w:eastAsia="Calibri" w:hAnsi="Times New Roman" w:cs="Times New Roman"/>
          <w:bCs/>
          <w:iCs/>
          <w:sz w:val="24"/>
          <w:szCs w:val="24"/>
        </w:rPr>
        <w:t xml:space="preserve">   </w:t>
      </w:r>
    </w:p>
    <w:p w14:paraId="235BAD3C" w14:textId="77777777" w:rsidR="00D77BF3" w:rsidRPr="004577C1" w:rsidRDefault="00D77BF3" w:rsidP="00D77BF3">
      <w:pPr>
        <w:jc w:val="both"/>
        <w:rPr>
          <w:rFonts w:ascii="Times New Roman" w:eastAsia="Calibri" w:hAnsi="Times New Roman" w:cs="Times New Roman"/>
          <w:bCs/>
          <w:iCs/>
          <w:sz w:val="24"/>
          <w:szCs w:val="24"/>
        </w:rPr>
      </w:pPr>
    </w:p>
    <w:p w14:paraId="50415522" w14:textId="09F312C5" w:rsidR="00D77BF3" w:rsidRPr="004577C1" w:rsidRDefault="00D77BF3" w:rsidP="00457FBF">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Vedenie a uchovávanie dokumentácie 10 rokov od skončenia zmluvy o spravovaní úverov</w:t>
      </w:r>
    </w:p>
    <w:p w14:paraId="4D23B9C0" w14:textId="0372B818" w:rsidR="00D77BF3" w:rsidRPr="004577C1" w:rsidRDefault="006A4FD3" w:rsidP="00D77BF3">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 xml:space="preserve">Vzhľadom na rozšírenie povinností na </w:t>
      </w:r>
      <w:r w:rsidR="0070536D" w:rsidRPr="004577C1">
        <w:rPr>
          <w:rFonts w:ascii="Times New Roman" w:eastAsia="Calibri" w:hAnsi="Times New Roman" w:cs="Times New Roman"/>
          <w:bCs/>
          <w:iCs/>
          <w:sz w:val="24"/>
          <w:szCs w:val="24"/>
        </w:rPr>
        <w:t xml:space="preserve">subjekty, ktorými sú veritelia podľa osobitného predpisu, banky a pobočky zahraničných bánk, bude toto rozšírenie predstavovať zvýšenie administratívnej záťaže z dôvodu povinnosti viesť a uchovávať dokumentáciu 10 rokov od skončenia zmluvy o spravovaní úverov. Dotknutými subjektami sú rovnako ako </w:t>
      </w:r>
      <w:r w:rsidR="0070536D" w:rsidRPr="004577C1">
        <w:rPr>
          <w:rFonts w:ascii="Times New Roman" w:eastAsia="Calibri" w:hAnsi="Times New Roman" w:cs="Times New Roman"/>
          <w:bCs/>
          <w:iCs/>
          <w:sz w:val="24"/>
          <w:szCs w:val="24"/>
        </w:rPr>
        <w:lastRenderedPageBreak/>
        <w:t>v predchádzajúcej regulácii veritelia podľa osobitného predpisu, banky a pobočky zahraničných bánk, ktorých počet je 5</w:t>
      </w:r>
      <w:r w:rsidR="004A6CF1" w:rsidRPr="004577C1">
        <w:rPr>
          <w:rFonts w:ascii="Times New Roman" w:eastAsia="Calibri" w:hAnsi="Times New Roman" w:cs="Times New Roman"/>
          <w:bCs/>
          <w:iCs/>
          <w:sz w:val="24"/>
          <w:szCs w:val="24"/>
        </w:rPr>
        <w:t>3</w:t>
      </w:r>
      <w:r w:rsidR="0070536D" w:rsidRPr="004577C1">
        <w:rPr>
          <w:rFonts w:ascii="Times New Roman" w:eastAsia="Calibri" w:hAnsi="Times New Roman" w:cs="Times New Roman"/>
          <w:bCs/>
          <w:iCs/>
          <w:sz w:val="24"/>
          <w:szCs w:val="24"/>
        </w:rPr>
        <w:t xml:space="preserve"> a vychádza z údajov zverejnených NBS (</w:t>
      </w:r>
      <w:hyperlink r:id="rId16" w:history="1">
        <w:r w:rsidR="00A7243C" w:rsidRPr="004577C1">
          <w:rPr>
            <w:rStyle w:val="Hypertextovprepojenie"/>
            <w:rFonts w:ascii="Times New Roman" w:eastAsia="Calibri" w:hAnsi="Times New Roman" w:cs="Times New Roman"/>
            <w:bCs/>
            <w:iCs/>
            <w:color w:val="auto"/>
            <w:sz w:val="24"/>
            <w:szCs w:val="24"/>
            <w:u w:val="none"/>
          </w:rPr>
          <w:t>https://subjekty.nbs.sk/</w:t>
        </w:r>
      </w:hyperlink>
      <w:r w:rsidR="002B40E0" w:rsidRPr="004577C1">
        <w:rPr>
          <w:rFonts w:ascii="Times New Roman" w:eastAsia="Calibri" w:hAnsi="Times New Roman" w:cs="Times New Roman"/>
          <w:bCs/>
          <w:iCs/>
          <w:sz w:val="24"/>
          <w:szCs w:val="24"/>
        </w:rPr>
        <w:t xml:space="preserve">). </w:t>
      </w:r>
      <w:r w:rsidR="00F346C2" w:rsidRPr="004577C1">
        <w:rPr>
          <w:rFonts w:ascii="Times New Roman" w:eastAsia="Calibri" w:hAnsi="Times New Roman" w:cs="Times New Roman"/>
          <w:bCs/>
          <w:iCs/>
          <w:sz w:val="24"/>
          <w:szCs w:val="24"/>
        </w:rPr>
        <w:t xml:space="preserve">Uchovávanie dokumentácie bude predstavovať zvýšenie administratívnej záťaže v oblasti oboznámenia sa s reguláciou a evidencii a vedenia dokumentácie, pričom jej splnenie nie je možné elektronicky a frekvencia sa predpokladá v priemere raz ročne. </w:t>
      </w:r>
    </w:p>
    <w:p w14:paraId="37AB7B42" w14:textId="10AE0315" w:rsidR="00D91DD4" w:rsidRPr="004577C1" w:rsidRDefault="00D91DD4" w:rsidP="00D77BF3">
      <w:pPr>
        <w:jc w:val="both"/>
        <w:rPr>
          <w:rFonts w:ascii="Times New Roman" w:eastAsia="Calibri" w:hAnsi="Times New Roman" w:cs="Times New Roman"/>
          <w:bCs/>
          <w:iCs/>
          <w:sz w:val="24"/>
          <w:szCs w:val="24"/>
        </w:rPr>
      </w:pPr>
    </w:p>
    <w:p w14:paraId="7EB8EEAD" w14:textId="639F2A37" w:rsidR="00D91DD4" w:rsidRPr="004577C1" w:rsidRDefault="00D91DD4" w:rsidP="00CC0531">
      <w:pPr>
        <w:pStyle w:val="Odsekzoznamu"/>
        <w:numPr>
          <w:ilvl w:val="0"/>
          <w:numId w:val="15"/>
        </w:numPr>
        <w:jc w:val="both"/>
        <w:rPr>
          <w:rFonts w:ascii="Times New Roman" w:eastAsia="Calibri" w:hAnsi="Times New Roman" w:cs="Times New Roman"/>
          <w:bCs/>
          <w:i/>
          <w:iCs/>
          <w:sz w:val="24"/>
          <w:szCs w:val="24"/>
        </w:rPr>
      </w:pPr>
      <w:r w:rsidRPr="004577C1">
        <w:rPr>
          <w:rFonts w:ascii="Times New Roman" w:eastAsia="Calibri" w:hAnsi="Times New Roman" w:cs="Times New Roman"/>
          <w:bCs/>
          <w:i/>
          <w:iCs/>
          <w:sz w:val="24"/>
          <w:szCs w:val="24"/>
        </w:rPr>
        <w:t>Zvýšenie výšky pokút</w:t>
      </w:r>
    </w:p>
    <w:p w14:paraId="4F019F07" w14:textId="3674E9E3" w:rsidR="00C63E40" w:rsidRPr="004577C1" w:rsidRDefault="00D91DD4" w:rsidP="00CC0531">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 xml:space="preserve">Návrh zákona zavádza zvýšenie výšky pokút oproti doterajšej právnej úprave. </w:t>
      </w:r>
      <w:r w:rsidR="00F10674" w:rsidRPr="004577C1">
        <w:rPr>
          <w:rFonts w:ascii="Times New Roman" w:eastAsia="Calibri" w:hAnsi="Times New Roman" w:cs="Times New Roman"/>
          <w:bCs/>
          <w:iCs/>
          <w:sz w:val="24"/>
          <w:szCs w:val="24"/>
        </w:rPr>
        <w:t>Aktuálny zákon č. 129/2010 Z. z. upravuje v § 23 ods. 2 písm. b) výšku pokút pre fyzické osoby najviac do výšky 7 000 eur, a pre právnické osoby najviac do výšky 500 000 eur. Návrh zákona zvyšuje stanovenú hranicu pre fyzické osoby na 10 000 eur a pr</w:t>
      </w:r>
      <w:r w:rsidR="00281EC8" w:rsidRPr="004577C1">
        <w:rPr>
          <w:rFonts w:ascii="Times New Roman" w:eastAsia="Calibri" w:hAnsi="Times New Roman" w:cs="Times New Roman"/>
          <w:bCs/>
          <w:iCs/>
          <w:sz w:val="24"/>
          <w:szCs w:val="24"/>
        </w:rPr>
        <w:t>e</w:t>
      </w:r>
      <w:r w:rsidR="00F10674" w:rsidRPr="004577C1">
        <w:rPr>
          <w:rFonts w:ascii="Times New Roman" w:eastAsia="Calibri" w:hAnsi="Times New Roman" w:cs="Times New Roman"/>
          <w:bCs/>
          <w:iCs/>
          <w:sz w:val="24"/>
          <w:szCs w:val="24"/>
        </w:rPr>
        <w:t xml:space="preserve"> právnick</w:t>
      </w:r>
      <w:r w:rsidR="00281EC8" w:rsidRPr="004577C1">
        <w:rPr>
          <w:rFonts w:ascii="Times New Roman" w:eastAsia="Calibri" w:hAnsi="Times New Roman" w:cs="Times New Roman"/>
          <w:bCs/>
          <w:iCs/>
          <w:sz w:val="24"/>
          <w:szCs w:val="24"/>
        </w:rPr>
        <w:t>é</w:t>
      </w:r>
      <w:r w:rsidR="00F10674" w:rsidRPr="004577C1">
        <w:rPr>
          <w:rFonts w:ascii="Times New Roman" w:eastAsia="Calibri" w:hAnsi="Times New Roman" w:cs="Times New Roman"/>
          <w:bCs/>
          <w:iCs/>
          <w:sz w:val="24"/>
          <w:szCs w:val="24"/>
        </w:rPr>
        <w:t xml:space="preserve"> osob</w:t>
      </w:r>
      <w:r w:rsidR="00281EC8" w:rsidRPr="004577C1">
        <w:rPr>
          <w:rFonts w:ascii="Times New Roman" w:eastAsia="Calibri" w:hAnsi="Times New Roman" w:cs="Times New Roman"/>
          <w:bCs/>
          <w:iCs/>
          <w:sz w:val="24"/>
          <w:szCs w:val="24"/>
        </w:rPr>
        <w:t>y</w:t>
      </w:r>
      <w:r w:rsidR="00F10674" w:rsidRPr="004577C1">
        <w:rPr>
          <w:rFonts w:ascii="Times New Roman" w:eastAsia="Calibri" w:hAnsi="Times New Roman" w:cs="Times New Roman"/>
          <w:bCs/>
          <w:iCs/>
          <w:sz w:val="24"/>
          <w:szCs w:val="24"/>
        </w:rPr>
        <w:t xml:space="preserve"> na 650 000 eur. </w:t>
      </w:r>
      <w:r w:rsidR="00584A5A" w:rsidRPr="004577C1">
        <w:rPr>
          <w:rFonts w:ascii="Times New Roman" w:eastAsia="Calibri" w:hAnsi="Times New Roman" w:cs="Times New Roman"/>
          <w:bCs/>
          <w:iCs/>
          <w:sz w:val="24"/>
          <w:szCs w:val="24"/>
        </w:rPr>
        <w:t>Vyčíslenie v tomto prípade je možné len pri právnických osobách</w:t>
      </w:r>
      <w:r w:rsidR="00281EC8" w:rsidRPr="004577C1">
        <w:rPr>
          <w:rFonts w:ascii="Times New Roman" w:eastAsia="Calibri" w:hAnsi="Times New Roman" w:cs="Times New Roman"/>
          <w:bCs/>
          <w:iCs/>
          <w:sz w:val="24"/>
          <w:szCs w:val="24"/>
        </w:rPr>
        <w:t>, keďže nedisponujeme dátami ohľadom udeľovania pokút fyzickým osobám. V rámci vyčísľovania pokút pre právnické osoby sme vychádzali z dostupných údajov poskytnutých NBS z roku 2021</w:t>
      </w:r>
      <w:r w:rsidR="00BB57C7" w:rsidRPr="004577C1">
        <w:rPr>
          <w:rFonts w:ascii="Times New Roman" w:eastAsia="Calibri" w:hAnsi="Times New Roman" w:cs="Times New Roman"/>
          <w:bCs/>
          <w:iCs/>
          <w:sz w:val="24"/>
          <w:szCs w:val="24"/>
        </w:rPr>
        <w:t xml:space="preserve"> </w:t>
      </w:r>
      <w:r w:rsidR="00281EC8" w:rsidRPr="004577C1">
        <w:rPr>
          <w:rFonts w:ascii="Times New Roman" w:eastAsia="Calibri" w:hAnsi="Times New Roman" w:cs="Times New Roman"/>
          <w:bCs/>
          <w:iCs/>
          <w:sz w:val="24"/>
          <w:szCs w:val="24"/>
        </w:rPr>
        <w:t xml:space="preserve">z dôvodu, že NBS porušenia právnych predpisov na ochranu spotrebiteľa nepokutuje primárne na základe zákona </w:t>
      </w:r>
      <w:r w:rsidR="0000411C" w:rsidRPr="004577C1">
        <w:rPr>
          <w:rFonts w:ascii="Times New Roman" w:eastAsia="Calibri" w:hAnsi="Times New Roman" w:cs="Times New Roman"/>
          <w:bCs/>
          <w:iCs/>
          <w:sz w:val="24"/>
          <w:szCs w:val="24"/>
        </w:rPr>
        <w:t>č. 129/2010 Z. z.</w:t>
      </w:r>
      <w:r w:rsidR="00281EC8" w:rsidRPr="004577C1">
        <w:rPr>
          <w:rFonts w:ascii="Times New Roman" w:eastAsia="Calibri" w:hAnsi="Times New Roman" w:cs="Times New Roman"/>
          <w:bCs/>
          <w:iCs/>
          <w:sz w:val="24"/>
          <w:szCs w:val="24"/>
        </w:rPr>
        <w:t xml:space="preserve">, ale podľa § 35f zákona č. 747/2004 Z. z. o dohľade nad finančným trhom a o zmene a doplnení niektorých zákonov. </w:t>
      </w:r>
      <w:r w:rsidR="00BB57C7" w:rsidRPr="004577C1">
        <w:rPr>
          <w:rFonts w:ascii="Times New Roman" w:eastAsia="Calibri" w:hAnsi="Times New Roman" w:cs="Times New Roman"/>
          <w:bCs/>
          <w:iCs/>
          <w:sz w:val="24"/>
          <w:szCs w:val="24"/>
        </w:rPr>
        <w:t xml:space="preserve">Počet pokút, ktoré boli udelené v roku 2021 na základe zákona </w:t>
      </w:r>
      <w:r w:rsidR="0000411C" w:rsidRPr="004577C1">
        <w:rPr>
          <w:rFonts w:ascii="Times New Roman" w:eastAsia="Calibri" w:hAnsi="Times New Roman" w:cs="Times New Roman"/>
          <w:bCs/>
          <w:iCs/>
          <w:sz w:val="24"/>
          <w:szCs w:val="24"/>
        </w:rPr>
        <w:t>č. 129/2010 Z. z.</w:t>
      </w:r>
      <w:r w:rsidR="00BB57C7" w:rsidRPr="004577C1">
        <w:rPr>
          <w:rFonts w:ascii="Times New Roman" w:eastAsia="Calibri" w:hAnsi="Times New Roman" w:cs="Times New Roman"/>
          <w:bCs/>
          <w:iCs/>
          <w:sz w:val="24"/>
          <w:szCs w:val="24"/>
        </w:rPr>
        <w:t>, je 3</w:t>
      </w:r>
      <w:r w:rsidR="00FC4828" w:rsidRPr="004577C1">
        <w:rPr>
          <w:rFonts w:ascii="Times New Roman" w:eastAsia="Calibri" w:hAnsi="Times New Roman" w:cs="Times New Roman"/>
          <w:bCs/>
          <w:iCs/>
          <w:sz w:val="24"/>
          <w:szCs w:val="24"/>
        </w:rPr>
        <w:t xml:space="preserve">. Tieto pokuty </w:t>
      </w:r>
      <w:r w:rsidR="00281EC8" w:rsidRPr="004577C1">
        <w:rPr>
          <w:rFonts w:ascii="Times New Roman" w:eastAsia="Calibri" w:hAnsi="Times New Roman" w:cs="Times New Roman"/>
          <w:bCs/>
          <w:iCs/>
          <w:sz w:val="24"/>
          <w:szCs w:val="24"/>
        </w:rPr>
        <w:t xml:space="preserve">súvisia primárne s nedodržaním povinnosti požiadať o predchádzajúci súhlas s vymenovaním osoby do orgánov veriteľa. Predmetná regulácia sa na </w:t>
      </w:r>
      <w:r w:rsidR="00BB57C7" w:rsidRPr="004577C1">
        <w:rPr>
          <w:rFonts w:ascii="Times New Roman" w:eastAsia="Calibri" w:hAnsi="Times New Roman" w:cs="Times New Roman"/>
          <w:bCs/>
          <w:iCs/>
          <w:sz w:val="24"/>
          <w:szCs w:val="24"/>
        </w:rPr>
        <w:t xml:space="preserve">základe expertného odhadu bude </w:t>
      </w:r>
      <w:r w:rsidR="00281EC8" w:rsidRPr="004577C1">
        <w:rPr>
          <w:rFonts w:ascii="Times New Roman" w:eastAsia="Calibri" w:hAnsi="Times New Roman" w:cs="Times New Roman"/>
          <w:bCs/>
          <w:iCs/>
          <w:sz w:val="24"/>
          <w:szCs w:val="24"/>
        </w:rPr>
        <w:t>týkať 5</w:t>
      </w:r>
      <w:r w:rsidR="00B068F3">
        <w:rPr>
          <w:rFonts w:ascii="Times New Roman" w:eastAsia="Calibri" w:hAnsi="Times New Roman" w:cs="Times New Roman"/>
          <w:bCs/>
          <w:iCs/>
          <w:sz w:val="24"/>
          <w:szCs w:val="24"/>
        </w:rPr>
        <w:t>6</w:t>
      </w:r>
      <w:r w:rsidR="00281EC8" w:rsidRPr="004577C1">
        <w:rPr>
          <w:rFonts w:ascii="Times New Roman" w:eastAsia="Calibri" w:hAnsi="Times New Roman" w:cs="Times New Roman"/>
          <w:bCs/>
          <w:iCs/>
          <w:sz w:val="24"/>
          <w:szCs w:val="24"/>
        </w:rPr>
        <w:t xml:space="preserve"> subjektov (týmito subjektmi sú veritelia, ktorí poskytujú spotrebiteľské úvery bez obmedzenia rozsahu</w:t>
      </w:r>
      <w:r w:rsidR="00BB57C7" w:rsidRPr="004577C1">
        <w:rPr>
          <w:rFonts w:ascii="Times New Roman" w:eastAsia="Calibri" w:hAnsi="Times New Roman" w:cs="Times New Roman"/>
          <w:bCs/>
          <w:iCs/>
          <w:sz w:val="24"/>
          <w:szCs w:val="24"/>
        </w:rPr>
        <w:t xml:space="preserve"> (https://subjekty.nbs.sk/?s=1170)</w:t>
      </w:r>
      <w:r w:rsidR="00281EC8" w:rsidRPr="004577C1">
        <w:rPr>
          <w:rFonts w:ascii="Times New Roman" w:eastAsia="Calibri" w:hAnsi="Times New Roman" w:cs="Times New Roman"/>
          <w:bCs/>
          <w:iCs/>
          <w:sz w:val="24"/>
          <w:szCs w:val="24"/>
        </w:rPr>
        <w:t>,</w:t>
      </w:r>
      <w:r w:rsidR="004836D3" w:rsidRPr="004577C1">
        <w:rPr>
          <w:rFonts w:ascii="Times New Roman" w:eastAsia="Calibri" w:hAnsi="Times New Roman" w:cs="Times New Roman"/>
          <w:bCs/>
          <w:iCs/>
          <w:sz w:val="24"/>
          <w:szCs w:val="24"/>
        </w:rPr>
        <w:t xml:space="preserve"> v rozsahu poskytovania spotrebiteľských úverov podľa § 28,</w:t>
      </w:r>
      <w:r w:rsidR="00281EC8" w:rsidRPr="004577C1">
        <w:rPr>
          <w:rFonts w:ascii="Times New Roman" w:eastAsia="Calibri" w:hAnsi="Times New Roman" w:cs="Times New Roman"/>
          <w:bCs/>
          <w:iCs/>
          <w:sz w:val="24"/>
          <w:szCs w:val="24"/>
        </w:rPr>
        <w:t xml:space="preserve"> dodávateľ</w:t>
      </w:r>
      <w:r w:rsidR="00BB57C7" w:rsidRPr="004577C1">
        <w:rPr>
          <w:rFonts w:ascii="Times New Roman" w:eastAsia="Calibri" w:hAnsi="Times New Roman" w:cs="Times New Roman"/>
          <w:bCs/>
          <w:iCs/>
          <w:sz w:val="24"/>
          <w:szCs w:val="24"/>
        </w:rPr>
        <w:t xml:space="preserve"> tovaru alebo poskytovateľ</w:t>
      </w:r>
      <w:r w:rsidR="00281EC8" w:rsidRPr="004577C1">
        <w:rPr>
          <w:rFonts w:ascii="Times New Roman" w:eastAsia="Calibri" w:hAnsi="Times New Roman" w:cs="Times New Roman"/>
          <w:bCs/>
          <w:iCs/>
          <w:sz w:val="24"/>
          <w:szCs w:val="24"/>
        </w:rPr>
        <w:t xml:space="preserve"> služieb, ktorý je mik</w:t>
      </w:r>
      <w:r w:rsidR="00BB57C7" w:rsidRPr="004577C1">
        <w:rPr>
          <w:rFonts w:ascii="Times New Roman" w:eastAsia="Calibri" w:hAnsi="Times New Roman" w:cs="Times New Roman"/>
          <w:bCs/>
          <w:iCs/>
          <w:sz w:val="24"/>
          <w:szCs w:val="24"/>
        </w:rPr>
        <w:t>ropodnik, malý a stredný podnik - odložené</w:t>
      </w:r>
      <w:r w:rsidR="00281EC8" w:rsidRPr="004577C1">
        <w:rPr>
          <w:rFonts w:ascii="Times New Roman" w:eastAsia="Calibri" w:hAnsi="Times New Roman" w:cs="Times New Roman"/>
          <w:bCs/>
          <w:iCs/>
          <w:sz w:val="24"/>
          <w:szCs w:val="24"/>
        </w:rPr>
        <w:t xml:space="preserve"> platby pri predaji tovaru alebo poskytnutí služieb, </w:t>
      </w:r>
      <w:r w:rsidR="00BB57C7" w:rsidRPr="004577C1">
        <w:rPr>
          <w:rFonts w:ascii="Times New Roman" w:eastAsia="Calibri" w:hAnsi="Times New Roman" w:cs="Times New Roman"/>
          <w:bCs/>
          <w:iCs/>
          <w:sz w:val="24"/>
          <w:szCs w:val="24"/>
        </w:rPr>
        <w:t>bezúročné</w:t>
      </w:r>
      <w:r w:rsidR="00281EC8" w:rsidRPr="004577C1">
        <w:rPr>
          <w:rFonts w:ascii="Times New Roman" w:eastAsia="Calibri" w:hAnsi="Times New Roman" w:cs="Times New Roman"/>
          <w:bCs/>
          <w:iCs/>
          <w:sz w:val="24"/>
          <w:szCs w:val="24"/>
        </w:rPr>
        <w:t xml:space="preserve"> a b</w:t>
      </w:r>
      <w:r w:rsidR="00BB57C7" w:rsidRPr="004577C1">
        <w:rPr>
          <w:rFonts w:ascii="Times New Roman" w:eastAsia="Calibri" w:hAnsi="Times New Roman" w:cs="Times New Roman"/>
          <w:bCs/>
          <w:iCs/>
          <w:sz w:val="24"/>
          <w:szCs w:val="24"/>
        </w:rPr>
        <w:t>ez akýchkoľvek iných poplatkov, a osoby, ktoré bez príslušného povolenia ponúkajú alebo poskytujú spotrebiteľské úvery</w:t>
      </w:r>
      <w:r w:rsidR="00FC4828" w:rsidRPr="004577C1">
        <w:rPr>
          <w:rFonts w:ascii="Times New Roman" w:eastAsia="Calibri" w:hAnsi="Times New Roman" w:cs="Times New Roman"/>
          <w:bCs/>
          <w:iCs/>
          <w:sz w:val="24"/>
          <w:szCs w:val="24"/>
        </w:rPr>
        <w:t>)</w:t>
      </w:r>
      <w:r w:rsidR="00BB57C7" w:rsidRPr="004577C1">
        <w:rPr>
          <w:rFonts w:ascii="Times New Roman" w:eastAsia="Calibri" w:hAnsi="Times New Roman" w:cs="Times New Roman"/>
          <w:bCs/>
          <w:iCs/>
          <w:sz w:val="24"/>
          <w:szCs w:val="24"/>
        </w:rPr>
        <w:t xml:space="preserve">. Nepriame finančné náklady pre dotknuté subjekty vo forme zvýšenia výšky pokút </w:t>
      </w:r>
      <w:r w:rsidR="00FC4828" w:rsidRPr="004577C1">
        <w:rPr>
          <w:rFonts w:ascii="Times New Roman" w:eastAsia="Calibri" w:hAnsi="Times New Roman" w:cs="Times New Roman"/>
          <w:bCs/>
          <w:iCs/>
          <w:sz w:val="24"/>
          <w:szCs w:val="24"/>
        </w:rPr>
        <w:t>sú vyčíslené</w:t>
      </w:r>
      <w:r w:rsidR="00BB57C7" w:rsidRPr="004577C1">
        <w:rPr>
          <w:rFonts w:ascii="Times New Roman" w:eastAsia="Calibri" w:hAnsi="Times New Roman" w:cs="Times New Roman"/>
          <w:bCs/>
          <w:iCs/>
          <w:sz w:val="24"/>
          <w:szCs w:val="24"/>
        </w:rPr>
        <w:t xml:space="preserve"> na základe vzorca, a to</w:t>
      </w:r>
      <w:r w:rsidR="00BB57C7" w:rsidRPr="004577C1">
        <w:rPr>
          <w:rFonts w:ascii="Times New Roman" w:hAnsi="Times New Roman" w:cs="Times New Roman"/>
          <w:sz w:val="24"/>
          <w:szCs w:val="24"/>
        </w:rPr>
        <w:t xml:space="preserve"> </w:t>
      </w:r>
      <w:r w:rsidR="00BB57C7" w:rsidRPr="004577C1">
        <w:rPr>
          <w:rFonts w:ascii="Times New Roman" w:eastAsia="Calibri" w:hAnsi="Times New Roman" w:cs="Times New Roman"/>
          <w:bCs/>
          <w:iCs/>
          <w:sz w:val="24"/>
          <w:szCs w:val="24"/>
        </w:rPr>
        <w:t>počet udelených pokút za rok 2021 * (nová – stará výška pokuty) = 3 * (650 000 eur - 500 000 eur) = 450 000 eur.</w:t>
      </w:r>
    </w:p>
    <w:p w14:paraId="41D6706D" w14:textId="77777777" w:rsidR="00C63E40" w:rsidRPr="004577C1" w:rsidRDefault="00C63E40" w:rsidP="00CC0531">
      <w:pPr>
        <w:jc w:val="both"/>
        <w:rPr>
          <w:rFonts w:ascii="Times New Roman" w:eastAsia="Calibri" w:hAnsi="Times New Roman" w:cs="Times New Roman"/>
          <w:bCs/>
          <w:iCs/>
          <w:sz w:val="24"/>
          <w:szCs w:val="24"/>
        </w:rPr>
      </w:pPr>
    </w:p>
    <w:p w14:paraId="517CE191" w14:textId="4696AA0D" w:rsidR="00C63E40" w:rsidRPr="004577C1" w:rsidRDefault="00C63E40">
      <w:pPr>
        <w:pStyle w:val="Odsekzoznamu"/>
        <w:numPr>
          <w:ilvl w:val="0"/>
          <w:numId w:val="15"/>
        </w:numPr>
        <w:jc w:val="both"/>
        <w:rPr>
          <w:rFonts w:ascii="Times New Roman" w:eastAsia="Calibri" w:hAnsi="Times New Roman" w:cs="Times New Roman"/>
          <w:bCs/>
          <w:iCs/>
          <w:sz w:val="24"/>
          <w:szCs w:val="24"/>
        </w:rPr>
      </w:pPr>
      <w:r w:rsidRPr="004577C1">
        <w:rPr>
          <w:rFonts w:ascii="Times New Roman" w:eastAsia="Calibri" w:hAnsi="Times New Roman" w:cs="Times New Roman"/>
          <w:bCs/>
          <w:i/>
          <w:iCs/>
          <w:sz w:val="24"/>
          <w:szCs w:val="24"/>
        </w:rPr>
        <w:t>Zjednodušený režim v prípade malých úverov</w:t>
      </w:r>
      <w:r w:rsidRPr="004577C1">
        <w:rPr>
          <w:rFonts w:ascii="Times New Roman" w:eastAsia="Calibri" w:hAnsi="Times New Roman" w:cs="Times New Roman"/>
          <w:i/>
          <w:sz w:val="24"/>
          <w:szCs w:val="24"/>
          <w:highlight w:val="magenta"/>
        </w:rPr>
        <w:t xml:space="preserve"> </w:t>
      </w:r>
    </w:p>
    <w:p w14:paraId="6C4C719D" w14:textId="4194CC25" w:rsidR="00C63E40" w:rsidRPr="004577C1" w:rsidRDefault="00C63E40">
      <w:pPr>
        <w:jc w:val="both"/>
        <w:rPr>
          <w:rFonts w:ascii="Times New Roman" w:eastAsia="Calibri" w:hAnsi="Times New Roman" w:cs="Times New Roman"/>
          <w:sz w:val="24"/>
          <w:szCs w:val="24"/>
        </w:rPr>
      </w:pPr>
      <w:r w:rsidRPr="004577C1">
        <w:rPr>
          <w:rFonts w:ascii="Times New Roman" w:eastAsia="Calibri" w:hAnsi="Times New Roman" w:cs="Times New Roman"/>
          <w:bCs/>
          <w:sz w:val="24"/>
          <w:szCs w:val="24"/>
        </w:rPr>
        <w:t>Predmetná regulácia bude predstavovať zníženie nepriamych finančných nákladov a administratívnej záťaže pre dotknuté subjekty, ktorými sú veritelia (</w:t>
      </w:r>
      <w:r w:rsidR="004836D3" w:rsidRPr="004577C1">
        <w:rPr>
          <w:rFonts w:ascii="Times New Roman" w:eastAsia="Calibri" w:hAnsi="Times New Roman" w:cs="Times New Roman"/>
          <w:bCs/>
          <w:sz w:val="24"/>
          <w:szCs w:val="24"/>
        </w:rPr>
        <w:t xml:space="preserve">56 subjektov – viď. opis v bode 1). </w:t>
      </w:r>
      <w:r w:rsidRPr="004577C1">
        <w:rPr>
          <w:rFonts w:ascii="Times New Roman" w:eastAsia="Calibri" w:hAnsi="Times New Roman" w:cs="Times New Roman"/>
          <w:bCs/>
          <w:sz w:val="24"/>
          <w:szCs w:val="24"/>
        </w:rPr>
        <w:t xml:space="preserve">Regulácia predstavuje goldplating typu g) – iné. Jedná sa o národnú voľbu, ktorá je využitá v súvislosti so zmluvami o </w:t>
      </w:r>
      <w:r w:rsidRPr="004577C1">
        <w:rPr>
          <w:rFonts w:ascii="Times New Roman" w:eastAsia="Calibri" w:hAnsi="Times New Roman" w:cs="Times New Roman"/>
          <w:sz w:val="24"/>
          <w:szCs w:val="24"/>
        </w:rPr>
        <w:t>úvere s celkovou výškou úveru nižšou ako 200 eur, zmluvami o úvere poskytnutom bez úroku a bez akýchkoľvek iných poplatkov a len s obmedzenými poplatkami, ktoré má spotrebiteľ zaplatiť za oneskorené platby, a zmluvami o úvere, ktoré sa majú splatiť do troch mesiacov len so zanedbateľnými poplatkami.</w:t>
      </w:r>
      <w:r w:rsidRPr="004577C1">
        <w:rPr>
          <w:rFonts w:ascii="Times New Roman" w:eastAsia="Calibri" w:hAnsi="Times New Roman" w:cs="Times New Roman"/>
          <w:bCs/>
          <w:sz w:val="24"/>
          <w:szCs w:val="24"/>
        </w:rPr>
        <w:t xml:space="preserve"> </w:t>
      </w:r>
      <w:r w:rsidRPr="004577C1">
        <w:rPr>
          <w:rFonts w:ascii="Times New Roman" w:eastAsia="Calibri" w:hAnsi="Times New Roman" w:cs="Times New Roman"/>
          <w:sz w:val="24"/>
          <w:szCs w:val="24"/>
        </w:rPr>
        <w:t>Cieľom</w:t>
      </w:r>
      <w:r w:rsidR="000D71A1" w:rsidRPr="004577C1">
        <w:rPr>
          <w:rFonts w:ascii="Times New Roman" w:eastAsia="Calibri" w:hAnsi="Times New Roman" w:cs="Times New Roman"/>
          <w:sz w:val="24"/>
          <w:szCs w:val="24"/>
        </w:rPr>
        <w:t xml:space="preserve"> regulácie</w:t>
      </w:r>
      <w:r w:rsidRPr="004577C1">
        <w:rPr>
          <w:rFonts w:ascii="Times New Roman" w:eastAsia="Calibri" w:hAnsi="Times New Roman" w:cs="Times New Roman"/>
          <w:sz w:val="24"/>
          <w:szCs w:val="24"/>
        </w:rPr>
        <w:t xml:space="preserve"> je vylúčiť uplatňovanie vymedzeného a obmedzeného počtu ustanovení návrhu zákona týkajúcich sa reklamy, predzmluvných informácií a zmluvných informácií, aby sa zabránilo zbytočnému zaťaženiu veriteľov, pričom sa zohľadňujú osobitosti trhu a osobitné charakteristiky týchto zmlúv o úvere, ako napríklad ich kratšie trvanie, a zároveň sa zabezpečuje vyššia úroveň ochrany spotrebiteľa. </w:t>
      </w:r>
      <w:r w:rsidR="00883323" w:rsidRPr="004577C1">
        <w:rPr>
          <w:rFonts w:ascii="Times New Roman" w:eastAsia="Calibri" w:hAnsi="Times New Roman" w:cs="Times New Roman"/>
          <w:bCs/>
          <w:sz w:val="24"/>
          <w:szCs w:val="24"/>
        </w:rPr>
        <w:t xml:space="preserve">Nepriame finančné náklady sa expertným </w:t>
      </w:r>
      <w:r w:rsidR="00883323" w:rsidRPr="004577C1">
        <w:rPr>
          <w:rFonts w:ascii="Times New Roman" w:eastAsia="Calibri" w:hAnsi="Times New Roman" w:cs="Times New Roman"/>
          <w:bCs/>
          <w:sz w:val="24"/>
          <w:szCs w:val="24"/>
        </w:rPr>
        <w:lastRenderedPageBreak/>
        <w:t xml:space="preserve">odhadom predpokladajú vo výške 3 000 eur na jeden dotknutý subjekt. Náklad je odhadovaný na nepravidelnej báze. Predmetná regulácia spôsobí aj zníženie administratívnej záťaže, najmä v oblasti </w:t>
      </w:r>
      <w:r w:rsidRPr="004577C1">
        <w:rPr>
          <w:rFonts w:ascii="Times New Roman" w:eastAsia="Calibri" w:hAnsi="Times New Roman" w:cs="Times New Roman"/>
          <w:bCs/>
          <w:sz w:val="24"/>
          <w:szCs w:val="24"/>
        </w:rPr>
        <w:t xml:space="preserve">oboznámenia sa s reguláciou a vo forme zmeny vnútorných procesov. </w:t>
      </w:r>
      <w:r w:rsidR="00883323" w:rsidRPr="004577C1">
        <w:rPr>
          <w:rFonts w:ascii="Times New Roman" w:hAnsi="Times New Roman" w:cs="Times New Roman"/>
          <w:sz w:val="24"/>
          <w:szCs w:val="24"/>
        </w:rPr>
        <w:t>Regulácia ako celok spôsobí úsporu nákladov dotknutých subjektov.</w:t>
      </w:r>
    </w:p>
    <w:p w14:paraId="49D3268F" w14:textId="77777777" w:rsidR="00BE769F" w:rsidRPr="004577C1" w:rsidRDefault="00BE769F">
      <w:pPr>
        <w:jc w:val="both"/>
        <w:rPr>
          <w:rFonts w:ascii="Times New Roman" w:eastAsia="Calibri" w:hAnsi="Times New Roman" w:cs="Times New Roman"/>
          <w:bCs/>
          <w:sz w:val="24"/>
          <w:szCs w:val="24"/>
        </w:rPr>
      </w:pPr>
    </w:p>
    <w:p w14:paraId="2EF74C7C" w14:textId="53D9EA53" w:rsidR="00502CB2" w:rsidRPr="004577C1" w:rsidRDefault="00502CB2" w:rsidP="00CC0531">
      <w:pPr>
        <w:pStyle w:val="Odsekzoznamu"/>
        <w:numPr>
          <w:ilvl w:val="0"/>
          <w:numId w:val="15"/>
        </w:numPr>
        <w:jc w:val="both"/>
        <w:rPr>
          <w:rFonts w:ascii="Times New Roman" w:eastAsia="Calibri" w:hAnsi="Times New Roman" w:cs="Times New Roman"/>
          <w:bCs/>
          <w:i/>
          <w:iCs/>
          <w:sz w:val="24"/>
          <w:szCs w:val="24"/>
        </w:rPr>
      </w:pPr>
      <w:r w:rsidRPr="004577C1">
        <w:rPr>
          <w:rFonts w:ascii="Times New Roman" w:eastAsia="Calibri" w:hAnsi="Times New Roman" w:cs="Times New Roman"/>
          <w:bCs/>
          <w:i/>
          <w:iCs/>
          <w:sz w:val="24"/>
          <w:szCs w:val="24"/>
        </w:rPr>
        <w:t>Rozšírenie zákazov určitých reklám</w:t>
      </w:r>
    </w:p>
    <w:p w14:paraId="603E1021" w14:textId="260B137D" w:rsidR="00502CB2" w:rsidRPr="004577C1" w:rsidRDefault="00502CB2" w:rsidP="00502CB2">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Predmetná regulácia bude predstavovať zvýšenie nepriamych finančných nákladov a administratívnej záťaže dotknutých subjektov, ktorými sú veritelia </w:t>
      </w:r>
      <w:r w:rsidRPr="004577C1">
        <w:rPr>
          <w:rFonts w:ascii="Times New Roman" w:eastAsia="Calibri" w:hAnsi="Times New Roman" w:cs="Times New Roman"/>
          <w:bCs/>
          <w:sz w:val="24"/>
          <w:szCs w:val="24"/>
        </w:rPr>
        <w:t>(</w:t>
      </w:r>
      <w:r w:rsidR="004836D3" w:rsidRPr="004577C1">
        <w:rPr>
          <w:rFonts w:ascii="Times New Roman" w:eastAsia="Calibri" w:hAnsi="Times New Roman" w:cs="Times New Roman"/>
          <w:bCs/>
          <w:sz w:val="24"/>
          <w:szCs w:val="24"/>
        </w:rPr>
        <w:t xml:space="preserve">56 subjektov – viď. opis v bode 1). </w:t>
      </w:r>
      <w:r w:rsidRPr="004577C1">
        <w:rPr>
          <w:rFonts w:ascii="Times New Roman" w:eastAsia="Calibri" w:hAnsi="Times New Roman" w:cs="Times New Roman"/>
          <w:sz w:val="24"/>
          <w:szCs w:val="24"/>
        </w:rPr>
        <w:t xml:space="preserve">Reguláciou sa zakazujú určité druhy reklám o spotrebiteľskom úvere. Ide o rozšírenie zákazov, ktoré súvisí s reguláciou, ktorá je opísaná v bode 1. </w:t>
      </w:r>
      <w:r w:rsidRPr="004577C1">
        <w:rPr>
          <w:rFonts w:ascii="Times New Roman" w:hAnsi="Times New Roman" w:cs="Times New Roman"/>
          <w:sz w:val="24"/>
          <w:szCs w:val="24"/>
        </w:rPr>
        <w:t>Predpokladané nepriame finančné náklady sú stanovené expertným odhadom do výšky 20 000 eur na jeden dotknutý subjekt, pričom konkrétna výška bude závisieť od prispôsobenia reklám regulácii v závislosti od toho, či sú alebo nie sú v súlade s navrhovanou právnou úpravou. Nepriame finančné náklady sa predpokladajú jednorazovo, najmä na prispôsobenie systémov veriteľov, resp. na úpravu systémov u dodávateľov. Predmetná regulácia spôsobuje aj zvýšenie administratívnych nákladov dotknutých subjektov, a to konkrétne vo forme oboznámenia sa s reguláciou, overenia súladu  - zistenie potrebných skutočností a porovnanie súčasného stavu s novými zákonnými požiadavkami a vo forme zmeny vnútorných procesov. Frekvencia administratívnych nákladov sa predpokladá jednorazovo a povinnosti, z ktorých vznikne administratívna záťaž, je možné splniť aj elektronicky.</w:t>
      </w:r>
    </w:p>
    <w:p w14:paraId="24715ADF" w14:textId="3B0720EA" w:rsidR="00285732" w:rsidRPr="004577C1" w:rsidRDefault="00285732">
      <w:pPr>
        <w:jc w:val="both"/>
        <w:rPr>
          <w:rFonts w:ascii="Times New Roman" w:eastAsia="Calibri" w:hAnsi="Times New Roman" w:cs="Times New Roman"/>
          <w:bCs/>
          <w:sz w:val="24"/>
          <w:szCs w:val="24"/>
        </w:rPr>
      </w:pPr>
    </w:p>
    <w:p w14:paraId="1B868EF8" w14:textId="7B58B992" w:rsidR="00E14D51" w:rsidRPr="004577C1" w:rsidRDefault="00E14D51" w:rsidP="00CC0531">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Poskytovanie úverov určitými subjektami bez licenčného konania</w:t>
      </w:r>
    </w:p>
    <w:p w14:paraId="6A5BFD57" w14:textId="58FA1363" w:rsidR="00742F99" w:rsidRPr="004577C1" w:rsidRDefault="00E14D51" w:rsidP="00742F99">
      <w:pPr>
        <w:pStyle w:val="Bezriadkovania"/>
        <w:spacing w:line="276" w:lineRule="auto"/>
        <w:jc w:val="both"/>
        <w:rPr>
          <w:rFonts w:ascii="Times New Roman" w:hAnsi="Times New Roman" w:cs="Times New Roman"/>
          <w:sz w:val="24"/>
          <w:szCs w:val="24"/>
        </w:rPr>
      </w:pPr>
      <w:r w:rsidRPr="004577C1">
        <w:rPr>
          <w:rFonts w:ascii="Times New Roman" w:hAnsi="Times New Roman" w:cs="Times New Roman"/>
          <w:sz w:val="24"/>
          <w:szCs w:val="24"/>
        </w:rPr>
        <w:t>Predmetná regulácia bude predstavovať zníženie priamych finančných nákladov a administratívnej záťaže dotknutých subjektov</w:t>
      </w:r>
      <w:r w:rsidR="00E53BFF" w:rsidRPr="004577C1">
        <w:rPr>
          <w:rFonts w:ascii="Times New Roman" w:hAnsi="Times New Roman" w:cs="Times New Roman"/>
          <w:sz w:val="24"/>
          <w:szCs w:val="24"/>
        </w:rPr>
        <w:t>, ktorými sú dodávatelia tovaru alebo poskytovatelia služieb, ktorými sú mikropodniky, malé a stredné podniky a ktoré ponúkajú a poskytujú spotrebiteľské úvery v rámci svojej doplnkovej činnosti vo forme odloženej platby pri predaji tovaru alebo poskytnutí služieb, ak sa takéto spotrebiteľské úvery poskytujú bezúročne a bez akýchkoľvek iných poplatkov, s výnimkou  poplatkov, ktoré musí spotrebiteľ zaplatiť v súvislosti s omeškaním platby. Expertným odhadom bol počet týchto subjektov stanovený na 15.</w:t>
      </w:r>
      <w:r w:rsidR="00E53BFF" w:rsidRPr="004577C1">
        <w:rPr>
          <w:rFonts w:ascii="Times New Roman" w:hAnsi="Times New Roman" w:cs="Times New Roman"/>
          <w:bCs/>
          <w:sz w:val="24"/>
          <w:szCs w:val="24"/>
        </w:rPr>
        <w:t xml:space="preserve"> Návrh zákona teda obsahuje ustanovenie, kedy nie sú dotknuté subjekty povinné absolvovať povoľovacie konanie, t. j. tieto subjekty nepotrebujú udelenie licencie na poskytovanie spotrebiteľských úverov. Uvedenou reguláciou dochádza ku goldplatingu typu a) – rozšírenie na iné subjekty. </w:t>
      </w:r>
      <w:r w:rsidR="0091367F" w:rsidRPr="004577C1">
        <w:rPr>
          <w:rFonts w:ascii="Times New Roman" w:hAnsi="Times New Roman" w:cs="Times New Roman"/>
          <w:sz w:val="24"/>
          <w:szCs w:val="24"/>
        </w:rPr>
        <w:t>P</w:t>
      </w:r>
      <w:r w:rsidRPr="004577C1">
        <w:rPr>
          <w:rFonts w:ascii="Times New Roman" w:hAnsi="Times New Roman" w:cs="Times New Roman"/>
          <w:sz w:val="24"/>
          <w:szCs w:val="24"/>
        </w:rPr>
        <w:t>riame finančné náklady sa predpokladajú jednorazovo, a to z dôvodu,</w:t>
      </w:r>
      <w:r w:rsidR="00E53BFF" w:rsidRPr="004577C1">
        <w:rPr>
          <w:rFonts w:ascii="Times New Roman" w:hAnsi="Times New Roman" w:cs="Times New Roman"/>
          <w:sz w:val="24"/>
          <w:szCs w:val="24"/>
        </w:rPr>
        <w:t xml:space="preserve"> že nebudú musieť zaplatiť poplatok za udelenie licencie.</w:t>
      </w:r>
      <w:r w:rsidR="001A26FC" w:rsidRPr="004577C1">
        <w:rPr>
          <w:rFonts w:ascii="Times New Roman" w:hAnsi="Times New Roman" w:cs="Times New Roman"/>
          <w:sz w:val="24"/>
          <w:szCs w:val="24"/>
        </w:rPr>
        <w:t xml:space="preserve"> Aktuálne licencia na </w:t>
      </w:r>
      <w:r w:rsidR="00E53BFF" w:rsidRPr="004577C1">
        <w:rPr>
          <w:rFonts w:ascii="Times New Roman" w:hAnsi="Times New Roman" w:cs="Times New Roman"/>
          <w:sz w:val="24"/>
          <w:szCs w:val="24"/>
        </w:rPr>
        <w:t xml:space="preserve"> </w:t>
      </w:r>
      <w:r w:rsidR="001A26FC" w:rsidRPr="004577C1">
        <w:rPr>
          <w:rFonts w:ascii="Times New Roman" w:hAnsi="Times New Roman" w:cs="Times New Roman"/>
          <w:sz w:val="24"/>
          <w:szCs w:val="24"/>
        </w:rPr>
        <w:t xml:space="preserve">poskytovanie spotrebiteľských úverov bez obmedzenia rozsahu stojí 3 400 eur </w:t>
      </w:r>
    </w:p>
    <w:p w14:paraId="0423B9D2" w14:textId="35E9EDFE" w:rsidR="00E53BFF" w:rsidRPr="004577C1" w:rsidRDefault="001A26FC" w:rsidP="00742F99">
      <w:pPr>
        <w:pStyle w:val="Bezriadkovania"/>
        <w:spacing w:line="276" w:lineRule="auto"/>
        <w:jc w:val="both"/>
        <w:rPr>
          <w:rFonts w:ascii="Times New Roman" w:hAnsi="Times New Roman" w:cs="Times New Roman"/>
          <w:sz w:val="24"/>
          <w:szCs w:val="24"/>
        </w:rPr>
      </w:pPr>
      <w:r w:rsidRPr="004577C1">
        <w:rPr>
          <w:rFonts w:ascii="Times New Roman" w:hAnsi="Times New Roman" w:cs="Times New Roman"/>
          <w:sz w:val="24"/>
          <w:szCs w:val="24"/>
        </w:rPr>
        <w:t>(dostupné na:</w:t>
      </w:r>
      <w:r w:rsidR="00883323" w:rsidRPr="004577C1">
        <w:rPr>
          <w:rFonts w:ascii="Times New Roman" w:hAnsi="Times New Roman" w:cs="Times New Roman"/>
          <w:sz w:val="24"/>
          <w:szCs w:val="24"/>
        </w:rPr>
        <w:t xml:space="preserve"> https://nbs.sk/dohlad-nad-financnym-trhom/legislativa/legislativa/detail-dokumentu/opatrenie-narodnej-banky-slovenska-z-25-maja-2021-c-5-2021-o-poplatkoch-za-ukony-narodnej-banky-slovenska/</w:t>
      </w:r>
      <w:r w:rsidRPr="004577C1">
        <w:rPr>
          <w:rFonts w:ascii="Times New Roman" w:hAnsi="Times New Roman" w:cs="Times New Roman"/>
          <w:sz w:val="24"/>
          <w:szCs w:val="24"/>
        </w:rPr>
        <w:t xml:space="preserve">). </w:t>
      </w:r>
      <w:r w:rsidR="00E53BFF" w:rsidRPr="004577C1">
        <w:rPr>
          <w:rFonts w:ascii="Times New Roman" w:hAnsi="Times New Roman" w:cs="Times New Roman"/>
          <w:sz w:val="24"/>
          <w:szCs w:val="24"/>
        </w:rPr>
        <w:t xml:space="preserve">Predmetná regulácia spôsobuje aj zníženie administratívnych nákladov dotknutých subjektov, a to konkrétne vo forme oboznámenia sa s reguláciou, podania žiadosti o udelenie povolenia a vypracovania všetkých potrebných dokumentov súvisiacich s povoľovacím konaním. </w:t>
      </w:r>
      <w:r w:rsidR="00883323" w:rsidRPr="004577C1">
        <w:rPr>
          <w:rFonts w:ascii="Times New Roman" w:hAnsi="Times New Roman" w:cs="Times New Roman"/>
          <w:sz w:val="24"/>
          <w:szCs w:val="24"/>
        </w:rPr>
        <w:t>Regulácia ako celok spôsobí úsporu nákladov dotknutých subjektov.</w:t>
      </w:r>
    </w:p>
    <w:p w14:paraId="3BFFED6F" w14:textId="77777777" w:rsidR="005B6B92" w:rsidRPr="004577C1" w:rsidRDefault="005B6B92" w:rsidP="00742F99">
      <w:pPr>
        <w:pStyle w:val="Bezriadkovania"/>
        <w:spacing w:line="276" w:lineRule="auto"/>
        <w:jc w:val="both"/>
        <w:rPr>
          <w:rFonts w:ascii="Times New Roman" w:hAnsi="Times New Roman" w:cs="Times New Roman"/>
          <w:sz w:val="24"/>
          <w:szCs w:val="24"/>
        </w:rPr>
      </w:pPr>
    </w:p>
    <w:p w14:paraId="5E64B8C3" w14:textId="6F67ADB9" w:rsidR="005B6B92" w:rsidRPr="00B068F3" w:rsidRDefault="005B6B92" w:rsidP="00B068F3">
      <w:pPr>
        <w:pStyle w:val="Odsekzoznamu"/>
        <w:numPr>
          <w:ilvl w:val="0"/>
          <w:numId w:val="15"/>
        </w:numPr>
        <w:jc w:val="both"/>
        <w:rPr>
          <w:rFonts w:ascii="Times New Roman" w:eastAsia="Calibri" w:hAnsi="Times New Roman" w:cs="Times New Roman"/>
          <w:bCs/>
          <w:i/>
          <w:sz w:val="24"/>
          <w:szCs w:val="24"/>
        </w:rPr>
      </w:pPr>
      <w:r w:rsidRPr="00B068F3">
        <w:rPr>
          <w:rFonts w:ascii="Times New Roman" w:eastAsia="Calibri" w:hAnsi="Times New Roman" w:cs="Times New Roman"/>
          <w:bCs/>
          <w:i/>
          <w:sz w:val="24"/>
          <w:szCs w:val="24"/>
        </w:rPr>
        <w:t>Nový typ licencie - podanie žiadosti o udelenie povolenia</w:t>
      </w:r>
    </w:p>
    <w:p w14:paraId="59BC0773" w14:textId="420CD32F" w:rsidR="009821E3" w:rsidRPr="004577C1" w:rsidRDefault="009821E3" w:rsidP="009821E3">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Predmetná regulácia bude predstavovať zvýšenie priamych finančných nákladov a administratívnej záťaže dotknutých subjektov, ktorými sú subjekty, ktoré budú mať záujem ponúkať a poskytovať spotrebiteľské úvery v rámci svojej doplnkovej činnosti, a to bezúročne a bez akýchkoľvek iných poplatkov okrem poplatkov, ktoré musí spotrebiteľ zaplatiť v súvislosti s omeškaním platby.</w:t>
      </w:r>
      <w:r w:rsidRPr="004577C1">
        <w:rPr>
          <w:rFonts w:ascii="Times New Roman" w:hAnsi="Times New Roman" w:cs="Times New Roman"/>
          <w:sz w:val="24"/>
          <w:szCs w:val="24"/>
        </w:rPr>
        <w:t xml:space="preserve"> </w:t>
      </w:r>
      <w:r w:rsidRPr="004577C1">
        <w:rPr>
          <w:rFonts w:ascii="Times New Roman" w:eastAsia="Calibri" w:hAnsi="Times New Roman" w:cs="Times New Roman"/>
          <w:bCs/>
          <w:iCs/>
          <w:sz w:val="24"/>
          <w:szCs w:val="24"/>
        </w:rPr>
        <w:t>Expertným odhadom bol počet týchto subjektov stanovený na 3, keďže by malo ísť primárne o telco spoločnosti. Návrh zákona teda obsahuje nový druh povolenia na poskytovanie spotrebiteľských úverov</w:t>
      </w:r>
      <w:r w:rsidR="002A284B" w:rsidRPr="004577C1">
        <w:rPr>
          <w:rFonts w:ascii="Times New Roman" w:eastAsia="Calibri" w:hAnsi="Times New Roman" w:cs="Times New Roman"/>
          <w:bCs/>
          <w:iCs/>
          <w:sz w:val="24"/>
          <w:szCs w:val="24"/>
        </w:rPr>
        <w:t>, ktoré by malo byť zjednodušené oproti plnej licencii na</w:t>
      </w:r>
      <w:r w:rsidRPr="004577C1">
        <w:rPr>
          <w:rFonts w:ascii="Times New Roman" w:eastAsia="Calibri" w:hAnsi="Times New Roman" w:cs="Times New Roman"/>
          <w:bCs/>
          <w:iCs/>
          <w:sz w:val="24"/>
          <w:szCs w:val="24"/>
        </w:rPr>
        <w:t xml:space="preserve"> </w:t>
      </w:r>
      <w:r w:rsidR="002A284B" w:rsidRPr="004577C1">
        <w:rPr>
          <w:rFonts w:ascii="Times New Roman" w:eastAsia="Calibri" w:hAnsi="Times New Roman" w:cs="Times New Roman"/>
          <w:bCs/>
          <w:iCs/>
          <w:sz w:val="24"/>
          <w:szCs w:val="24"/>
        </w:rPr>
        <w:t xml:space="preserve">poskytovanie spotrebiteľských úverov bez obmedzenia rozsahu. </w:t>
      </w:r>
      <w:r w:rsidR="0091367F" w:rsidRPr="004577C1">
        <w:rPr>
          <w:rFonts w:ascii="Times New Roman" w:eastAsia="Calibri" w:hAnsi="Times New Roman" w:cs="Times New Roman"/>
          <w:bCs/>
          <w:iCs/>
          <w:sz w:val="24"/>
          <w:szCs w:val="24"/>
        </w:rPr>
        <w:t>P</w:t>
      </w:r>
      <w:r w:rsidRPr="004577C1">
        <w:rPr>
          <w:rFonts w:ascii="Times New Roman" w:eastAsia="Calibri" w:hAnsi="Times New Roman" w:cs="Times New Roman"/>
          <w:bCs/>
          <w:iCs/>
          <w:sz w:val="24"/>
          <w:szCs w:val="24"/>
        </w:rPr>
        <w:t>riame finančné náklady sa predpokladajú jednorazovo, a to z dôvodu, že budú musieť zaplatiť poplatok za udelenie licencie.</w:t>
      </w:r>
      <w:r w:rsidR="002A284B" w:rsidRPr="004577C1">
        <w:rPr>
          <w:rFonts w:ascii="Times New Roman" w:eastAsia="Calibri" w:hAnsi="Times New Roman" w:cs="Times New Roman"/>
          <w:bCs/>
          <w:iCs/>
          <w:sz w:val="24"/>
          <w:szCs w:val="24"/>
        </w:rPr>
        <w:t xml:space="preserve"> Tento poplatok je stanovený </w:t>
      </w:r>
      <w:r w:rsidR="0091367F" w:rsidRPr="004577C1">
        <w:rPr>
          <w:rFonts w:ascii="Times New Roman" w:eastAsia="Calibri" w:hAnsi="Times New Roman" w:cs="Times New Roman"/>
          <w:bCs/>
          <w:iCs/>
          <w:sz w:val="24"/>
          <w:szCs w:val="24"/>
        </w:rPr>
        <w:t xml:space="preserve">expertným </w:t>
      </w:r>
      <w:r w:rsidR="002A284B" w:rsidRPr="004577C1">
        <w:rPr>
          <w:rFonts w:ascii="Times New Roman" w:eastAsia="Calibri" w:hAnsi="Times New Roman" w:cs="Times New Roman"/>
          <w:bCs/>
          <w:iCs/>
          <w:sz w:val="24"/>
          <w:szCs w:val="24"/>
        </w:rPr>
        <w:t>odhadom na 2 000 eur, keďže a</w:t>
      </w:r>
      <w:r w:rsidRPr="004577C1">
        <w:rPr>
          <w:rFonts w:ascii="Times New Roman" w:eastAsia="Calibri" w:hAnsi="Times New Roman" w:cs="Times New Roman"/>
          <w:bCs/>
          <w:iCs/>
          <w:sz w:val="24"/>
          <w:szCs w:val="24"/>
        </w:rPr>
        <w:t>ktuálne licencia na  poskytovanie spotrebiteľských úverov bez obmedzenia rozsahu stojí 3 400 eur</w:t>
      </w:r>
      <w:r w:rsidR="002A284B" w:rsidRPr="004577C1">
        <w:rPr>
          <w:rFonts w:ascii="Times New Roman" w:eastAsia="Calibri" w:hAnsi="Times New Roman" w:cs="Times New Roman"/>
          <w:bCs/>
          <w:iCs/>
          <w:sz w:val="24"/>
          <w:szCs w:val="24"/>
        </w:rPr>
        <w:t xml:space="preserve">, v obmedzenom rozsahu poskytovania pre FO stojí 850 eur a pre PO stojí 1700 eur </w:t>
      </w:r>
      <w:bookmarkStart w:id="0" w:name="_Hlk200967039"/>
      <w:r w:rsidRPr="004577C1">
        <w:rPr>
          <w:rFonts w:ascii="Times New Roman" w:eastAsia="Calibri" w:hAnsi="Times New Roman" w:cs="Times New Roman"/>
          <w:bCs/>
          <w:iCs/>
          <w:sz w:val="24"/>
          <w:szCs w:val="24"/>
        </w:rPr>
        <w:t>(dostupné na: https://nbs.sk/dohlad-nad-financnym-trhom/legislativa/legislativa/detail-dokumentu/opatrenie-narodnej-banky-slovenska-z-25-maja-2021-c-5-2021-o-poplatkoch-za-ukony-narodnej-banky-slovenska/).</w:t>
      </w:r>
      <w:r w:rsidR="002A284B" w:rsidRPr="004577C1">
        <w:rPr>
          <w:rFonts w:ascii="Times New Roman" w:eastAsia="Calibri" w:hAnsi="Times New Roman" w:cs="Times New Roman"/>
          <w:bCs/>
          <w:iCs/>
          <w:sz w:val="24"/>
          <w:szCs w:val="24"/>
        </w:rPr>
        <w:t xml:space="preserve"> </w:t>
      </w:r>
      <w:bookmarkEnd w:id="0"/>
      <w:r w:rsidRPr="004577C1">
        <w:rPr>
          <w:rFonts w:ascii="Times New Roman" w:eastAsia="Calibri" w:hAnsi="Times New Roman" w:cs="Times New Roman"/>
          <w:bCs/>
          <w:iCs/>
          <w:sz w:val="24"/>
          <w:szCs w:val="24"/>
        </w:rPr>
        <w:t xml:space="preserve">Predmetná regulácia spôsobuje aj </w:t>
      </w:r>
      <w:r w:rsidR="002A284B" w:rsidRPr="004577C1">
        <w:rPr>
          <w:rFonts w:ascii="Times New Roman" w:eastAsia="Calibri" w:hAnsi="Times New Roman" w:cs="Times New Roman"/>
          <w:bCs/>
          <w:iCs/>
          <w:sz w:val="24"/>
          <w:szCs w:val="24"/>
        </w:rPr>
        <w:t>zvýšenie</w:t>
      </w:r>
      <w:r w:rsidRPr="004577C1">
        <w:rPr>
          <w:rFonts w:ascii="Times New Roman" w:eastAsia="Calibri" w:hAnsi="Times New Roman" w:cs="Times New Roman"/>
          <w:bCs/>
          <w:iCs/>
          <w:sz w:val="24"/>
          <w:szCs w:val="24"/>
        </w:rPr>
        <w:t xml:space="preserve"> administratívnych nákladov dotknutých subjektov, a to konkrétne vo forme oboznámenia sa s reguláciou, podania žiadosti o udelenie povolenia a vypracovania všetkých potrebných dokumentov súvisiacich s povoľovacím konaním. </w:t>
      </w:r>
    </w:p>
    <w:p w14:paraId="273B58D4" w14:textId="77777777" w:rsidR="005B6B92" w:rsidRPr="004577C1" w:rsidRDefault="005B6B92" w:rsidP="00742F99">
      <w:pPr>
        <w:jc w:val="both"/>
        <w:rPr>
          <w:rFonts w:ascii="Times New Roman" w:eastAsia="Calibri" w:hAnsi="Times New Roman" w:cs="Times New Roman"/>
          <w:bCs/>
          <w:i/>
          <w:sz w:val="24"/>
          <w:szCs w:val="24"/>
        </w:rPr>
      </w:pPr>
    </w:p>
    <w:p w14:paraId="65C4BD81" w14:textId="080F21B6" w:rsidR="002A284B" w:rsidRPr="004577C1" w:rsidRDefault="002A284B" w:rsidP="002A284B">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 xml:space="preserve">Konanie o zmenu </w:t>
      </w:r>
      <w:r w:rsidR="0091367F" w:rsidRPr="004577C1">
        <w:rPr>
          <w:rFonts w:ascii="Times New Roman" w:eastAsia="Calibri" w:hAnsi="Times New Roman" w:cs="Times New Roman"/>
          <w:bCs/>
          <w:i/>
          <w:sz w:val="24"/>
          <w:szCs w:val="24"/>
        </w:rPr>
        <w:t>povolenia</w:t>
      </w:r>
    </w:p>
    <w:p w14:paraId="3101D3B3" w14:textId="1CF11821" w:rsidR="002A284B" w:rsidRPr="004577C1" w:rsidRDefault="0091367F" w:rsidP="002A284B">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Konanie o zmenu povolenia veriteľov podľa § 25 ods. 1 písm. c) návrhu zákona predstavuje zvýšenie priamych finančných nákladov, keďže toto konanie podlieha poplatkovej povinnosti zo strany Národnej banky Slovenska.</w:t>
      </w:r>
      <w:r w:rsidR="00AD486E" w:rsidRPr="004577C1">
        <w:rPr>
          <w:rFonts w:ascii="Times New Roman" w:eastAsia="Calibri" w:hAnsi="Times New Roman" w:cs="Times New Roman"/>
          <w:bCs/>
          <w:iCs/>
          <w:sz w:val="24"/>
          <w:szCs w:val="24"/>
        </w:rPr>
        <w:t xml:space="preserve"> Zmena povolenia na poskytovanie spotrebiteľských úverov stojí 350 eur na subjekt (dostupné na: https://nbs.sk/dohlad-nad-financnym-trhom/legislativa/legislativa/detail-dokumentu/opatrenie-narodnej-banky-slovenska-z-25-maja-2021-c-5-2021-o-poplatkoch-za-ukony-narodnej-banky-slovenska/).</w:t>
      </w:r>
      <w:r w:rsidR="006D7970" w:rsidRPr="004577C1">
        <w:rPr>
          <w:rFonts w:ascii="Times New Roman" w:hAnsi="Times New Roman" w:cs="Times New Roman"/>
          <w:sz w:val="24"/>
          <w:szCs w:val="24"/>
        </w:rPr>
        <w:t xml:space="preserve"> </w:t>
      </w:r>
      <w:r w:rsidR="006D7970" w:rsidRPr="004577C1">
        <w:rPr>
          <w:rFonts w:ascii="Times New Roman" w:eastAsia="Calibri" w:hAnsi="Times New Roman" w:cs="Times New Roman"/>
          <w:bCs/>
          <w:iCs/>
          <w:sz w:val="24"/>
          <w:szCs w:val="24"/>
        </w:rPr>
        <w:t>Odhadovaná výška ročného vplyvu priamych finančných nákladov na kategóriu dotknutých subjektov je 1 0</w:t>
      </w:r>
      <w:r w:rsidR="0053650A" w:rsidRPr="004577C1">
        <w:rPr>
          <w:rFonts w:ascii="Times New Roman" w:eastAsia="Calibri" w:hAnsi="Times New Roman" w:cs="Times New Roman"/>
          <w:bCs/>
          <w:iCs/>
          <w:sz w:val="24"/>
          <w:szCs w:val="24"/>
        </w:rPr>
        <w:t>5</w:t>
      </w:r>
      <w:r w:rsidR="006D7970" w:rsidRPr="004577C1">
        <w:rPr>
          <w:rFonts w:ascii="Times New Roman" w:eastAsia="Calibri" w:hAnsi="Times New Roman" w:cs="Times New Roman"/>
          <w:bCs/>
          <w:iCs/>
          <w:sz w:val="24"/>
          <w:szCs w:val="24"/>
        </w:rPr>
        <w:t xml:space="preserve">0 </w:t>
      </w:r>
      <w:r w:rsidR="00843085">
        <w:rPr>
          <w:rFonts w:ascii="Times New Roman" w:eastAsia="Calibri" w:hAnsi="Times New Roman" w:cs="Times New Roman"/>
          <w:bCs/>
          <w:iCs/>
          <w:sz w:val="24"/>
          <w:szCs w:val="24"/>
        </w:rPr>
        <w:t>e</w:t>
      </w:r>
      <w:r w:rsidR="006D7970" w:rsidRPr="004577C1">
        <w:rPr>
          <w:rFonts w:ascii="Times New Roman" w:eastAsia="Calibri" w:hAnsi="Times New Roman" w:cs="Times New Roman"/>
          <w:bCs/>
          <w:iCs/>
          <w:sz w:val="24"/>
          <w:szCs w:val="24"/>
        </w:rPr>
        <w:t>ur.</w:t>
      </w:r>
      <w:r w:rsidR="00AD486E" w:rsidRPr="004577C1">
        <w:rPr>
          <w:rFonts w:ascii="Times New Roman" w:hAnsi="Times New Roman" w:cs="Times New Roman"/>
          <w:sz w:val="24"/>
          <w:szCs w:val="24"/>
        </w:rPr>
        <w:t xml:space="preserve"> </w:t>
      </w:r>
      <w:r w:rsidR="00AD486E" w:rsidRPr="004577C1">
        <w:rPr>
          <w:rFonts w:ascii="Times New Roman" w:eastAsia="Calibri" w:hAnsi="Times New Roman" w:cs="Times New Roman"/>
          <w:bCs/>
          <w:iCs/>
          <w:sz w:val="24"/>
          <w:szCs w:val="24"/>
        </w:rPr>
        <w:t xml:space="preserve">Expertným odhadom bol počet týchto subjektov stanovený na 3, keďže by malo ísť primárne o telco spoločnosti (viď. bod 24). </w:t>
      </w:r>
      <w:r w:rsidRPr="004577C1">
        <w:rPr>
          <w:rFonts w:ascii="Times New Roman" w:eastAsia="Calibri" w:hAnsi="Times New Roman" w:cs="Times New Roman"/>
          <w:bCs/>
          <w:iCs/>
          <w:sz w:val="24"/>
          <w:szCs w:val="24"/>
        </w:rPr>
        <w:t xml:space="preserve">Taktiež ide aj o zvýšenie administratívnej záťaže </w:t>
      </w:r>
      <w:r w:rsidR="00AD486E" w:rsidRPr="004577C1">
        <w:rPr>
          <w:rFonts w:ascii="Times New Roman" w:eastAsia="Calibri" w:hAnsi="Times New Roman" w:cs="Times New Roman"/>
          <w:bCs/>
          <w:iCs/>
          <w:sz w:val="24"/>
          <w:szCs w:val="24"/>
        </w:rPr>
        <w:t>týchto dotknutých subjektov</w:t>
      </w:r>
      <w:r w:rsidRPr="004577C1">
        <w:rPr>
          <w:rFonts w:ascii="Times New Roman" w:eastAsia="Calibri" w:hAnsi="Times New Roman" w:cs="Times New Roman"/>
          <w:bCs/>
          <w:iCs/>
          <w:sz w:val="24"/>
          <w:szCs w:val="24"/>
        </w:rPr>
        <w:t xml:space="preserve"> žiadajúcich o zmenu povolenia, pričom predpokladaná frekvencia je nepravidelná, respektíve jednorazová, dokonca k tomuto úkonu ani nemusí dôjsť. </w:t>
      </w:r>
    </w:p>
    <w:p w14:paraId="02C5C429" w14:textId="77777777" w:rsidR="00AD486E" w:rsidRPr="004577C1" w:rsidRDefault="00AD486E" w:rsidP="002A284B">
      <w:pPr>
        <w:jc w:val="both"/>
        <w:rPr>
          <w:rFonts w:ascii="Times New Roman" w:eastAsia="Calibri" w:hAnsi="Times New Roman" w:cs="Times New Roman"/>
          <w:bCs/>
          <w:iCs/>
          <w:sz w:val="24"/>
          <w:szCs w:val="24"/>
        </w:rPr>
      </w:pPr>
    </w:p>
    <w:p w14:paraId="78BCCE87" w14:textId="4C8842A7" w:rsidR="00AD486E" w:rsidRPr="004577C1" w:rsidRDefault="00AD486E" w:rsidP="00AD486E">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Konanie NBS o udelenie predchádzajúceho súhlasu</w:t>
      </w:r>
    </w:p>
    <w:p w14:paraId="3AD7B142" w14:textId="3295C709" w:rsidR="00AD486E" w:rsidRPr="004577C1" w:rsidRDefault="00596D69" w:rsidP="00AD486E">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 xml:space="preserve">Veriteľ podľa § 25 ods. 1 písm. c) návrhu zákona </w:t>
      </w:r>
      <w:r w:rsidR="00AD486E" w:rsidRPr="004577C1">
        <w:rPr>
          <w:rFonts w:ascii="Times New Roman" w:eastAsia="Calibri" w:hAnsi="Times New Roman" w:cs="Times New Roman"/>
          <w:bCs/>
          <w:iCs/>
          <w:sz w:val="24"/>
          <w:szCs w:val="24"/>
        </w:rPr>
        <w:t>bude mať pri úkonoch vymedzených v návrhu zákona povinnosť požiadať o predchádzajúci súhlas Národnú banku Slovenska, v rámci čoho budú zvýšené jeho priame finančné náklady v podobe poplatku, ktorý je za toto konanie účtovaný zo strany Národnej banky Slovenska.</w:t>
      </w:r>
      <w:r w:rsidRPr="004577C1">
        <w:rPr>
          <w:rFonts w:ascii="Times New Roman" w:hAnsi="Times New Roman" w:cs="Times New Roman"/>
          <w:sz w:val="24"/>
          <w:szCs w:val="24"/>
        </w:rPr>
        <w:t xml:space="preserve"> </w:t>
      </w:r>
      <w:r w:rsidRPr="004577C1">
        <w:rPr>
          <w:rFonts w:ascii="Times New Roman" w:eastAsia="Calibri" w:hAnsi="Times New Roman" w:cs="Times New Roman"/>
          <w:bCs/>
          <w:iCs/>
          <w:sz w:val="24"/>
          <w:szCs w:val="24"/>
        </w:rPr>
        <w:t xml:space="preserve">Odhadovaná výška ročného vplyvu priamych finančných nákladov na kategóriu dotknutých subjektov je 1 500 </w:t>
      </w:r>
      <w:r w:rsidR="00843085">
        <w:rPr>
          <w:rFonts w:ascii="Times New Roman" w:eastAsia="Calibri" w:hAnsi="Times New Roman" w:cs="Times New Roman"/>
          <w:bCs/>
          <w:iCs/>
          <w:sz w:val="24"/>
          <w:szCs w:val="24"/>
        </w:rPr>
        <w:t>e</w:t>
      </w:r>
      <w:r w:rsidRPr="004577C1">
        <w:rPr>
          <w:rFonts w:ascii="Times New Roman" w:eastAsia="Calibri" w:hAnsi="Times New Roman" w:cs="Times New Roman"/>
          <w:bCs/>
          <w:iCs/>
          <w:sz w:val="24"/>
          <w:szCs w:val="24"/>
        </w:rPr>
        <w:t>ur, pričom odhad je vypočítaný zo štatistík Národnej banky Slovenska pri obdobných konaniach, avšak treba brať do úvahy, že v prípade návrhu zákona ide o novú úpravu, a teda výpočet je len veľmi približný.</w:t>
      </w:r>
      <w:r w:rsidRPr="004577C1">
        <w:rPr>
          <w:rFonts w:ascii="Times New Roman" w:hAnsi="Times New Roman" w:cs="Times New Roman"/>
          <w:sz w:val="24"/>
          <w:szCs w:val="24"/>
        </w:rPr>
        <w:t xml:space="preserve"> </w:t>
      </w:r>
      <w:r w:rsidRPr="004577C1">
        <w:rPr>
          <w:rFonts w:ascii="Times New Roman" w:eastAsia="Calibri" w:hAnsi="Times New Roman" w:cs="Times New Roman"/>
          <w:bCs/>
          <w:iCs/>
          <w:sz w:val="24"/>
          <w:szCs w:val="24"/>
        </w:rPr>
        <w:lastRenderedPageBreak/>
        <w:t>S prihliadnutím na odhad dotknutých subjektov priame finančné náklady vychádzajú vo výške od 40 eur do 1 700 eur na jeden subjekt v závislosti od druhu udeleného povolenia (dostupné na:https://nbs.sk/dohlad-nad-financnym-trhom/legislativa/legislativa/detail-dokumentu/opatrenie-narodnej-banky-slovenska-z-25-maja-2021-c-5-2021-o-poplatkoch-za-ukony-narodnej-banky-slovenska/). Taktiež ide aj o zvýšenie administratívnej záťaže pre tieto dotknuté subjekty žiadajúce o udelenie predchádzajúceho súhlasu, ktorá bude zvýšená len v prípade, ak dotknutý subjekt bude žiadať o udelenie predchádzajúceho súhlasu, čiže na nepravidelnej báze, prípadne jednorazovo. Expertným odhadom bol počet týchto subjektov stanovený na 3, keďže by malo ísť primárne o telco spoločnosti (viď. bod 24).</w:t>
      </w:r>
    </w:p>
    <w:p w14:paraId="181AB12E" w14:textId="77777777" w:rsidR="006D7970" w:rsidRPr="004577C1" w:rsidRDefault="006D7970" w:rsidP="00AD486E">
      <w:pPr>
        <w:jc w:val="both"/>
        <w:rPr>
          <w:rFonts w:ascii="Times New Roman" w:eastAsia="Calibri" w:hAnsi="Times New Roman" w:cs="Times New Roman"/>
          <w:bCs/>
          <w:iCs/>
          <w:sz w:val="24"/>
          <w:szCs w:val="24"/>
        </w:rPr>
      </w:pPr>
    </w:p>
    <w:p w14:paraId="485A387D" w14:textId="243FD9ED" w:rsidR="006D7970" w:rsidRPr="004577C1" w:rsidRDefault="006D7970" w:rsidP="006D7970">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Ročné príspevky dohliadaného subjektu pre NBS</w:t>
      </w:r>
    </w:p>
    <w:p w14:paraId="6A38060A" w14:textId="5C9B7C4A" w:rsidR="005B6B92" w:rsidRPr="004577C1" w:rsidRDefault="006D7970" w:rsidP="00742F99">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 xml:space="preserve">Keďže veritelia podľa § 25 ods. 1 písm. c) návrhu zákona budú môcť vykonávať svoju činnosť na základe povolenia udeleného Národnou bankou Slovenska, rovnako budú aj zo strany Národnej banky Slovenska dohliadaní, v rámci čoho sa na nich bude vzťahovať príspevková povinnosť rovnako, ako aj pre ostatné subjekty dohliadané Národnou bankou Slovenska. Príspevková povinnosť bude predstavovať zvýšenie priamych finančných nákladov pre subjekty, ktoré budú držiteľmi povolenia na poskytovanie spotrebiteľských úverov v rámci svojej doplnkovej činnosti, a to bezúročne a bez akýchkoľvek iných poplatkov okrem poplatkov, ktoré musí spotrebiteľ zaplatiť v súvislosti s omeškaním platby. Odhad ročného vplyvu priamych finančných nákladov na kategóriu dotknutých subjektov je 1 500 </w:t>
      </w:r>
      <w:r w:rsidR="000B208E">
        <w:rPr>
          <w:rFonts w:ascii="Times New Roman" w:eastAsia="Calibri" w:hAnsi="Times New Roman" w:cs="Times New Roman"/>
          <w:bCs/>
          <w:iCs/>
          <w:sz w:val="24"/>
          <w:szCs w:val="24"/>
        </w:rPr>
        <w:t>e</w:t>
      </w:r>
      <w:r w:rsidRPr="004577C1">
        <w:rPr>
          <w:rFonts w:ascii="Times New Roman" w:eastAsia="Calibri" w:hAnsi="Times New Roman" w:cs="Times New Roman"/>
          <w:bCs/>
          <w:iCs/>
          <w:sz w:val="24"/>
          <w:szCs w:val="24"/>
        </w:rPr>
        <w:t>ur, pričom príspevky budú platené na ročnej báze. Na jeden subjekt je výška poplatku odhadovaná na 500 eur.</w:t>
      </w:r>
      <w:r w:rsidR="00C41F1B" w:rsidRPr="004577C1">
        <w:rPr>
          <w:rFonts w:ascii="Times New Roman" w:eastAsia="Calibri" w:hAnsi="Times New Roman" w:cs="Times New Roman"/>
          <w:bCs/>
          <w:iCs/>
          <w:sz w:val="24"/>
          <w:szCs w:val="24"/>
        </w:rPr>
        <w:t xml:space="preserve"> Expertným odhadom bol počet týchto subjektov stanovený na 3, keďže by malo ísť primárne o telco spoločnosti.</w:t>
      </w:r>
    </w:p>
    <w:p w14:paraId="1EC22EC4" w14:textId="77777777" w:rsidR="00C41F1B" w:rsidRPr="004577C1" w:rsidRDefault="00C41F1B" w:rsidP="00742F99">
      <w:pPr>
        <w:jc w:val="both"/>
        <w:rPr>
          <w:rFonts w:ascii="Times New Roman" w:eastAsia="Calibri" w:hAnsi="Times New Roman" w:cs="Times New Roman"/>
          <w:bCs/>
          <w:iCs/>
          <w:sz w:val="24"/>
          <w:szCs w:val="24"/>
        </w:rPr>
      </w:pPr>
    </w:p>
    <w:p w14:paraId="16C4A7CF" w14:textId="2780B89A" w:rsidR="00C41F1B" w:rsidRPr="004577C1" w:rsidRDefault="0013700F" w:rsidP="00C41F1B">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Prílohy k žiadosti o povolenie</w:t>
      </w:r>
    </w:p>
    <w:p w14:paraId="5BBF79C6" w14:textId="50BCD00C" w:rsidR="00566203" w:rsidRPr="004577C1" w:rsidRDefault="00566203" w:rsidP="00566203">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Predmetná regulácia zvyšuje administratívnu záťaž veriteľa (žiadateľa) podľa § 25 ods. 1 písm. c) žiadajúceho o udelenie povolenia na </w:t>
      </w:r>
      <w:r w:rsidRPr="004577C1">
        <w:rPr>
          <w:rFonts w:ascii="Times New Roman" w:eastAsia="Calibri" w:hAnsi="Times New Roman" w:cs="Times New Roman"/>
          <w:bCs/>
          <w:iCs/>
          <w:sz w:val="24"/>
          <w:szCs w:val="24"/>
        </w:rPr>
        <w:t xml:space="preserve">poskytovanie spotrebiteľských úverov v rámci svojej doplnkovej činnosti, a to bezúročne a bez akýchkoľvek iných poplatkov okrem poplatkov, ktoré musí spotrebiteľ zaplatiť v súvislosti s omeškaním platby </w:t>
      </w:r>
      <w:r w:rsidRPr="004577C1">
        <w:rPr>
          <w:rFonts w:ascii="Times New Roman" w:eastAsia="Calibri" w:hAnsi="Times New Roman" w:cs="Times New Roman"/>
          <w:sz w:val="24"/>
          <w:szCs w:val="24"/>
        </w:rPr>
        <w:t>z dôvodu povinnosti vypracovať a zdokladovať podmienky žiadosti o povolenie prostredníctvom príloh. Žiadateľ bude predkladať predmetné podklady jednorazovo pri žiadosti o udelenie povolenia. Počet dotknutých subjektov 3 odzrkadľuje predpokladaný počet všetkých žiadateľov o udelenie povolenia, nakoľko táto povinnosť bude musieť byť splnená každým žiadateľom</w:t>
      </w:r>
      <w:r w:rsidR="00C759BD" w:rsidRPr="004577C1">
        <w:rPr>
          <w:rFonts w:ascii="Times New Roman" w:eastAsia="Calibri" w:hAnsi="Times New Roman" w:cs="Times New Roman"/>
          <w:sz w:val="24"/>
          <w:szCs w:val="24"/>
        </w:rPr>
        <w:t xml:space="preserve"> (telco spoločnosti)</w:t>
      </w:r>
      <w:r w:rsidRPr="004577C1">
        <w:rPr>
          <w:rFonts w:ascii="Times New Roman" w:eastAsia="Calibri" w:hAnsi="Times New Roman" w:cs="Times New Roman"/>
          <w:sz w:val="24"/>
          <w:szCs w:val="24"/>
        </w:rPr>
        <w:t xml:space="preserve">. </w:t>
      </w:r>
    </w:p>
    <w:p w14:paraId="6A4ACA04" w14:textId="5BAF77B2" w:rsidR="00204D65" w:rsidRPr="004577C1" w:rsidRDefault="00204D65" w:rsidP="00D25478">
      <w:pPr>
        <w:jc w:val="both"/>
        <w:rPr>
          <w:rFonts w:ascii="Times New Roman" w:eastAsia="Calibri" w:hAnsi="Times New Roman" w:cs="Times New Roman"/>
          <w:bCs/>
          <w:iCs/>
          <w:sz w:val="24"/>
          <w:szCs w:val="24"/>
        </w:rPr>
      </w:pPr>
    </w:p>
    <w:p w14:paraId="00D02112" w14:textId="7D2A2BED" w:rsidR="00204D65" w:rsidRPr="004577C1" w:rsidRDefault="00204D65" w:rsidP="00204D65">
      <w:pPr>
        <w:pStyle w:val="Odsekzoznamu"/>
        <w:numPr>
          <w:ilvl w:val="0"/>
          <w:numId w:val="15"/>
        </w:numPr>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Úradne osvedčenia príloh potrebných k žiadosti o udelenie povolenia</w:t>
      </w:r>
    </w:p>
    <w:p w14:paraId="2C0BAD1C" w14:textId="2A30B6E3" w:rsidR="00204D65" w:rsidRPr="004577C1" w:rsidRDefault="00204D65" w:rsidP="00204D6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Predmetná regulácia zvyšuje priame finančné náklady a</w:t>
      </w:r>
      <w:r w:rsidR="00B37743">
        <w:rPr>
          <w:rFonts w:ascii="Times New Roman" w:eastAsia="Calibri" w:hAnsi="Times New Roman" w:cs="Times New Roman"/>
          <w:sz w:val="24"/>
          <w:szCs w:val="24"/>
        </w:rPr>
        <w:t> </w:t>
      </w:r>
      <w:r w:rsidRPr="004577C1">
        <w:rPr>
          <w:rFonts w:ascii="Times New Roman" w:eastAsia="Calibri" w:hAnsi="Times New Roman" w:cs="Times New Roman"/>
          <w:sz w:val="24"/>
          <w:szCs w:val="24"/>
        </w:rPr>
        <w:t>administratívn</w:t>
      </w:r>
      <w:r w:rsidR="00B37743">
        <w:rPr>
          <w:rFonts w:ascii="Times New Roman" w:eastAsia="Calibri" w:hAnsi="Times New Roman" w:cs="Times New Roman"/>
          <w:sz w:val="24"/>
          <w:szCs w:val="24"/>
        </w:rPr>
        <w:t>e náklady</w:t>
      </w:r>
      <w:r w:rsidRPr="004577C1">
        <w:rPr>
          <w:rFonts w:ascii="Times New Roman" w:eastAsia="Calibri" w:hAnsi="Times New Roman" w:cs="Times New Roman"/>
          <w:sz w:val="24"/>
          <w:szCs w:val="24"/>
        </w:rPr>
        <w:t xml:space="preserve"> dotknutých subjektov žiadajúcich o udelenie povolenia na</w:t>
      </w:r>
      <w:r w:rsidRPr="004577C1">
        <w:rPr>
          <w:rFonts w:ascii="Times New Roman" w:eastAsia="Calibri" w:hAnsi="Times New Roman" w:cs="Times New Roman"/>
          <w:bCs/>
          <w:iCs/>
          <w:sz w:val="24"/>
          <w:szCs w:val="24"/>
        </w:rPr>
        <w:t xml:space="preserve"> poskytovanie spotrebiteľských úverov v rámci svojej doplnkovej činnosti, a to bezúročne a bez akýchkoľvek iných poplatkov okrem poplatkov, ktoré musí spotrebiteľ zaplatiť v súvislosti s omeškaním platby v prípadoch, </w:t>
      </w:r>
      <w:r w:rsidRPr="004577C1">
        <w:rPr>
          <w:rFonts w:ascii="Times New Roman" w:eastAsia="Calibri" w:hAnsi="Times New Roman" w:cs="Times New Roman"/>
          <w:sz w:val="24"/>
          <w:szCs w:val="24"/>
        </w:rPr>
        <w:t xml:space="preserve">kde vyžaduje úradné osvedčenie, napr. úradne osvedčená kópia dokladu o dosiahnutom vzdelaní </w:t>
      </w:r>
      <w:r w:rsidRPr="004577C1">
        <w:rPr>
          <w:rFonts w:ascii="Times New Roman" w:eastAsia="Calibri" w:hAnsi="Times New Roman" w:cs="Times New Roman"/>
          <w:sz w:val="24"/>
          <w:szCs w:val="24"/>
        </w:rPr>
        <w:lastRenderedPageBreak/>
        <w:t xml:space="preserve">alebo dokladu o odbornej praxi FO, ktorá je navrhnutá za osobu zodpovednú za poskytovanie spotrebiteľských úverov, vedúceho útvaru vnútornej kontroly alebo vedúceho zamestnanca zodpovedného za výkon vnútornej kontroly, vedúceho organizačnej zložky žiadateľa a osoby, ktorá zabezpečuje plnenie úloh pri ochrane pred legalizáciou príjmov z trestnej činnosti a financovaním terorizmu, ohlasovanie neobvyklých obchodných operácií a prostredníctvom ktorej sa zabezpečuje priebežný styk s Finančnou spravodajskou jednotkou. Úradné osvedčenia sú potrebné z dôvodu vyššej právnej istoty, pričom predpokladané priame finančné náklady na kategóriu dotknutých osôb sú </w:t>
      </w:r>
      <w:r w:rsidR="00566203" w:rsidRPr="004577C1">
        <w:rPr>
          <w:rFonts w:ascii="Times New Roman" w:eastAsia="Calibri" w:hAnsi="Times New Roman" w:cs="Times New Roman"/>
          <w:sz w:val="24"/>
          <w:szCs w:val="24"/>
        </w:rPr>
        <w:t>45</w:t>
      </w:r>
      <w:r w:rsidRPr="004577C1">
        <w:rPr>
          <w:rFonts w:ascii="Times New Roman" w:eastAsia="Calibri" w:hAnsi="Times New Roman" w:cs="Times New Roman"/>
          <w:sz w:val="24"/>
          <w:szCs w:val="24"/>
        </w:rPr>
        <w:t xml:space="preserve"> </w:t>
      </w:r>
      <w:r w:rsidR="00B37743">
        <w:rPr>
          <w:rFonts w:ascii="Times New Roman" w:eastAsia="Calibri" w:hAnsi="Times New Roman" w:cs="Times New Roman"/>
          <w:sz w:val="24"/>
          <w:szCs w:val="24"/>
        </w:rPr>
        <w:t>e</w:t>
      </w:r>
      <w:r w:rsidRPr="004577C1">
        <w:rPr>
          <w:rFonts w:ascii="Times New Roman" w:eastAsia="Calibri" w:hAnsi="Times New Roman" w:cs="Times New Roman"/>
          <w:sz w:val="24"/>
          <w:szCs w:val="24"/>
        </w:rPr>
        <w:t>ur. Vzhľadom k počtu dokumentov, ktorých úradné osvedčenie je potrebné, priame finančné náklady sa budú pohybovať priemerne okolo 1</w:t>
      </w:r>
      <w:r w:rsidR="00566203" w:rsidRPr="004577C1">
        <w:rPr>
          <w:rFonts w:ascii="Times New Roman" w:eastAsia="Calibri" w:hAnsi="Times New Roman" w:cs="Times New Roman"/>
          <w:sz w:val="24"/>
          <w:szCs w:val="24"/>
        </w:rPr>
        <w:t>5</w:t>
      </w:r>
      <w:r w:rsidRPr="004577C1">
        <w:rPr>
          <w:rFonts w:ascii="Times New Roman" w:eastAsia="Calibri" w:hAnsi="Times New Roman" w:cs="Times New Roman"/>
          <w:sz w:val="24"/>
          <w:szCs w:val="24"/>
        </w:rPr>
        <w:t xml:space="preserve"> eur na jeden subjekt. Suma vychádza z verejne dostupných sadzobníkov správnych poplatkov zverejnených Ministerstvom vnútra Slovenskej republiky. Úradné osvedčené vyhlásenia žiadateľ dokladuje jednorazovo pri predkladaní žiadosti o udelenie povolenia, to znamená, že vzniknuté náklady ako aj administratívna záťaž majú jednorazový charakter, a to pri žiadosti o udelenie povolenia. Počet dotknutých subjektov je odhadom toho, koľko subjektov bude žiadať o udelenie povolenia </w:t>
      </w:r>
      <w:r w:rsidR="00566203" w:rsidRPr="004577C1">
        <w:rPr>
          <w:rFonts w:ascii="Times New Roman" w:eastAsia="Calibri" w:hAnsi="Times New Roman" w:cs="Times New Roman"/>
          <w:sz w:val="24"/>
          <w:szCs w:val="24"/>
        </w:rPr>
        <w:t xml:space="preserve">podľa § 25 ods. 1 písm. c), t. j. 3 (telco) spoločnosti. </w:t>
      </w:r>
    </w:p>
    <w:p w14:paraId="1B78A8A4" w14:textId="77777777" w:rsidR="00566203" w:rsidRPr="004577C1" w:rsidRDefault="00566203" w:rsidP="00D25478">
      <w:pPr>
        <w:jc w:val="both"/>
        <w:rPr>
          <w:rFonts w:ascii="Times New Roman" w:eastAsia="Calibri" w:hAnsi="Times New Roman" w:cs="Times New Roman"/>
          <w:sz w:val="24"/>
          <w:szCs w:val="24"/>
        </w:rPr>
      </w:pPr>
    </w:p>
    <w:p w14:paraId="7D38A5EB" w14:textId="75DCF661" w:rsidR="00204D65" w:rsidRPr="004577C1" w:rsidRDefault="00C759BD" w:rsidP="00C41F1B">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Zápis veriteľa podľa § 25 ods. 1 písm. c) do Obchodného registra</w:t>
      </w:r>
    </w:p>
    <w:p w14:paraId="615AB693" w14:textId="3FFC4353" w:rsidR="00C759BD" w:rsidRPr="004577C1" w:rsidRDefault="00C759BD" w:rsidP="00D25478">
      <w:pPr>
        <w:jc w:val="both"/>
        <w:rPr>
          <w:rFonts w:ascii="Times New Roman" w:eastAsia="Calibri" w:hAnsi="Times New Roman" w:cs="Times New Roman"/>
          <w:bCs/>
          <w:iCs/>
          <w:sz w:val="24"/>
          <w:szCs w:val="24"/>
        </w:rPr>
      </w:pPr>
      <w:r w:rsidRPr="004577C1">
        <w:rPr>
          <w:rFonts w:ascii="Times New Roman" w:eastAsia="Calibri" w:hAnsi="Times New Roman" w:cs="Times New Roman"/>
          <w:sz w:val="24"/>
          <w:szCs w:val="24"/>
        </w:rPr>
        <w:t xml:space="preserve">Po udelení povolenia na </w:t>
      </w:r>
      <w:r w:rsidRPr="004577C1">
        <w:rPr>
          <w:rFonts w:ascii="Times New Roman" w:eastAsia="Calibri" w:hAnsi="Times New Roman" w:cs="Times New Roman"/>
          <w:bCs/>
          <w:iCs/>
          <w:sz w:val="24"/>
          <w:szCs w:val="24"/>
        </w:rPr>
        <w:t xml:space="preserve">poskytovanie spotrebiteľských úverov v rámci svojej doplnkovej činnosti, a to bezúročne a bez akýchkoľvek iných poplatkov okrem poplatkov, ktoré musí spotrebiteľ zaplatiť v súvislosti s omeškaním platby </w:t>
      </w:r>
      <w:r w:rsidRPr="004577C1">
        <w:rPr>
          <w:rFonts w:ascii="Times New Roman" w:eastAsia="Calibri" w:hAnsi="Times New Roman" w:cs="Times New Roman"/>
          <w:sz w:val="24"/>
          <w:szCs w:val="24"/>
        </w:rPr>
        <w:t xml:space="preserve">je veriteľ povinný podať návrh na zápis podnikateľskej činnosti do </w:t>
      </w:r>
      <w:r w:rsidR="00B37743">
        <w:rPr>
          <w:rFonts w:ascii="Times New Roman" w:eastAsia="Calibri" w:hAnsi="Times New Roman" w:cs="Times New Roman"/>
          <w:sz w:val="24"/>
          <w:szCs w:val="24"/>
        </w:rPr>
        <w:t>O</w:t>
      </w:r>
      <w:r w:rsidRPr="004577C1">
        <w:rPr>
          <w:rFonts w:ascii="Times New Roman" w:eastAsia="Calibri" w:hAnsi="Times New Roman" w:cs="Times New Roman"/>
          <w:sz w:val="24"/>
          <w:szCs w:val="24"/>
        </w:rPr>
        <w:t xml:space="preserve">bchodného registra, to zvyšuje priame finančné náklady a administratívnu záťaž, nakoľko takýto návrh podlieha poplatkovej povinnosti a je potrebné predložiť ustanovený rozsah dokumentov. Z dôvodu existujúcej právnej regulácie v oblasti </w:t>
      </w:r>
      <w:r w:rsidR="00B37743">
        <w:rPr>
          <w:rFonts w:ascii="Times New Roman" w:eastAsia="Calibri" w:hAnsi="Times New Roman" w:cs="Times New Roman"/>
          <w:sz w:val="24"/>
          <w:szCs w:val="24"/>
        </w:rPr>
        <w:t>O</w:t>
      </w:r>
      <w:r w:rsidRPr="004577C1">
        <w:rPr>
          <w:rFonts w:ascii="Times New Roman" w:eastAsia="Calibri" w:hAnsi="Times New Roman" w:cs="Times New Roman"/>
          <w:sz w:val="24"/>
          <w:szCs w:val="24"/>
        </w:rPr>
        <w:t xml:space="preserve">bchodného registra, ako aj právnej istoty je takýto zápis nevyhnutný. Subjekt bude žiadať o zápis jednorazovo po udelení povolenia Národnou bankou Slovenska, ak takýto zápis už nemá vykonaný. </w:t>
      </w:r>
      <w:r w:rsidRPr="004577C1">
        <w:rPr>
          <w:rFonts w:ascii="Times New Roman" w:eastAsia="Calibri" w:hAnsi="Times New Roman" w:cs="Times New Roman"/>
          <w:bCs/>
          <w:iCs/>
          <w:sz w:val="24"/>
          <w:szCs w:val="24"/>
        </w:rPr>
        <w:t xml:space="preserve">Expertný odhad dotknutých subjektov bol stanovený na 3, keďže by malo ísť primárne o telco spoločnosti. </w:t>
      </w:r>
      <w:r w:rsidRPr="004577C1">
        <w:rPr>
          <w:rFonts w:ascii="Times New Roman" w:eastAsia="Calibri" w:hAnsi="Times New Roman" w:cs="Times New Roman"/>
          <w:sz w:val="24"/>
          <w:szCs w:val="24"/>
        </w:rPr>
        <w:t xml:space="preserve">Priame finančné náklady sa predpokladajú do výšky </w:t>
      </w:r>
      <w:r w:rsidR="0053650A" w:rsidRPr="004577C1">
        <w:rPr>
          <w:rFonts w:ascii="Times New Roman" w:eastAsia="Calibri" w:hAnsi="Times New Roman" w:cs="Times New Roman"/>
          <w:sz w:val="24"/>
          <w:szCs w:val="24"/>
        </w:rPr>
        <w:t>220</w:t>
      </w:r>
      <w:r w:rsidRPr="004577C1">
        <w:rPr>
          <w:rFonts w:ascii="Times New Roman" w:eastAsia="Calibri" w:hAnsi="Times New Roman" w:cs="Times New Roman"/>
          <w:sz w:val="24"/>
          <w:szCs w:val="24"/>
        </w:rPr>
        <w:t xml:space="preserve"> eur na jeden subjekt, čiže v tomto prípade na </w:t>
      </w:r>
      <w:r w:rsidR="0053650A" w:rsidRPr="004577C1">
        <w:rPr>
          <w:rFonts w:ascii="Times New Roman" w:eastAsia="Calibri" w:hAnsi="Times New Roman" w:cs="Times New Roman"/>
          <w:sz w:val="24"/>
          <w:szCs w:val="24"/>
        </w:rPr>
        <w:t>66</w:t>
      </w:r>
      <w:r w:rsidRPr="004577C1">
        <w:rPr>
          <w:rFonts w:ascii="Times New Roman" w:eastAsia="Calibri" w:hAnsi="Times New Roman" w:cs="Times New Roman"/>
          <w:sz w:val="24"/>
          <w:szCs w:val="24"/>
        </w:rPr>
        <w:t xml:space="preserve">0 eur na kategóriu dotknutých subjektov. Výška poplatku vychádza z verejne dostupných zdrojov uvádzajúcich poplatky vo veciach </w:t>
      </w:r>
      <w:r w:rsidR="00B37743">
        <w:rPr>
          <w:rFonts w:ascii="Times New Roman" w:eastAsia="Calibri" w:hAnsi="Times New Roman" w:cs="Times New Roman"/>
          <w:sz w:val="24"/>
          <w:szCs w:val="24"/>
        </w:rPr>
        <w:t>O</w:t>
      </w:r>
      <w:r w:rsidRPr="004577C1">
        <w:rPr>
          <w:rFonts w:ascii="Times New Roman" w:eastAsia="Calibri" w:hAnsi="Times New Roman" w:cs="Times New Roman"/>
          <w:sz w:val="24"/>
          <w:szCs w:val="24"/>
        </w:rPr>
        <w:t>bchodného registra.</w:t>
      </w:r>
    </w:p>
    <w:p w14:paraId="6DE3005C" w14:textId="77777777" w:rsidR="00C759BD" w:rsidRPr="004577C1" w:rsidRDefault="00C759BD" w:rsidP="00C759BD">
      <w:pPr>
        <w:jc w:val="both"/>
        <w:rPr>
          <w:rFonts w:ascii="Times New Roman" w:eastAsia="Calibri" w:hAnsi="Times New Roman" w:cs="Times New Roman"/>
          <w:bCs/>
          <w:iCs/>
          <w:sz w:val="24"/>
          <w:szCs w:val="24"/>
        </w:rPr>
      </w:pPr>
    </w:p>
    <w:p w14:paraId="34AAE554" w14:textId="18660CB1" w:rsidR="002A795A" w:rsidRPr="004577C1" w:rsidRDefault="002A795A" w:rsidP="002A795A">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Výpis z registra trestov zabezpečený NBS</w:t>
      </w:r>
    </w:p>
    <w:p w14:paraId="39D3AA7E" w14:textId="27235136" w:rsidR="002A795A" w:rsidRPr="004577C1" w:rsidRDefault="002A795A" w:rsidP="002A795A">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 xml:space="preserve">Na zníženie administratívnej záťaže a priamych finančných nákladov bude mať vplyv regulácia, ktorá ukladá povinnosť vyžiadať si výpis z registra trestov fyzickej osoby, ktorá je navrhnutá za osobu zodpovednú za poskytovanie spotrebiteľských úverov, vedúceho útvaru vnútornej kontroly alebo vedúceho zamestnanca zodpovedného za výkon vnútornej kontroly, vedúceho organizačnej zložky a za osobu, ktorá zabezpečuje plnenie úloh pri ochrane pred legalizáciou príjmov z trestnej činnosti a financovaním terorizmu, ohlasovanie neobvyklých obchodných operácií a prostredníctvom ktorej sa zabezpečuje priebežný styk s Finančnou spravodajskou jednotkou, zo strany Národnej banky Slovenska a nie zo strany samotného žiadateľa. Takýto výpis bude Národná banka Slovenska získavať jednorazovo pri žiadosti o udelenie povolenia. Výpis  bude získaný za všetky subjekty, ktoré sú žiadateľmi o udelenie povolenia, pričom odhadovaný počet je </w:t>
      </w:r>
      <w:r w:rsidR="009A68BF" w:rsidRPr="004577C1">
        <w:rPr>
          <w:rFonts w:ascii="Times New Roman" w:eastAsia="Calibri" w:hAnsi="Times New Roman" w:cs="Times New Roman"/>
          <w:bCs/>
          <w:iCs/>
          <w:sz w:val="24"/>
          <w:szCs w:val="24"/>
        </w:rPr>
        <w:t>3 (telco) spoločnosti</w:t>
      </w:r>
      <w:r w:rsidRPr="004577C1">
        <w:rPr>
          <w:rFonts w:ascii="Times New Roman" w:eastAsia="Calibri" w:hAnsi="Times New Roman" w:cs="Times New Roman"/>
          <w:bCs/>
          <w:iCs/>
          <w:sz w:val="24"/>
          <w:szCs w:val="24"/>
        </w:rPr>
        <w:t xml:space="preserve">. Frekvencia zníženia </w:t>
      </w:r>
      <w:r w:rsidRPr="004577C1">
        <w:rPr>
          <w:rFonts w:ascii="Times New Roman" w:eastAsia="Calibri" w:hAnsi="Times New Roman" w:cs="Times New Roman"/>
          <w:bCs/>
          <w:iCs/>
          <w:sz w:val="24"/>
          <w:szCs w:val="24"/>
        </w:rPr>
        <w:lastRenderedPageBreak/>
        <w:t xml:space="preserve">administratívnych nákladov sa predpokladá jednorazovo, keďže výpis z registra trestov bude potrebné predložiť iba pri žiadosti o udelenie povolenia. Predpokladané priame finančné náklady sú </w:t>
      </w:r>
      <w:r w:rsidR="00C3534E">
        <w:rPr>
          <w:rFonts w:ascii="Times New Roman" w:eastAsia="Calibri" w:hAnsi="Times New Roman" w:cs="Times New Roman"/>
          <w:bCs/>
          <w:iCs/>
          <w:sz w:val="24"/>
          <w:szCs w:val="24"/>
        </w:rPr>
        <w:t>60</w:t>
      </w:r>
      <w:r w:rsidRPr="004577C1">
        <w:rPr>
          <w:rFonts w:ascii="Times New Roman" w:eastAsia="Calibri" w:hAnsi="Times New Roman" w:cs="Times New Roman"/>
          <w:bCs/>
          <w:iCs/>
          <w:sz w:val="24"/>
          <w:szCs w:val="24"/>
        </w:rPr>
        <w:t xml:space="preserve"> eur na kategóriu dotknutých subjektov, v tomto prípade </w:t>
      </w:r>
      <w:r w:rsidR="00C3534E">
        <w:rPr>
          <w:rFonts w:ascii="Times New Roman" w:eastAsia="Calibri" w:hAnsi="Times New Roman" w:cs="Times New Roman"/>
          <w:bCs/>
          <w:iCs/>
          <w:sz w:val="24"/>
          <w:szCs w:val="24"/>
        </w:rPr>
        <w:t xml:space="preserve">20 </w:t>
      </w:r>
      <w:r w:rsidRPr="004577C1">
        <w:rPr>
          <w:rFonts w:ascii="Times New Roman" w:eastAsia="Calibri" w:hAnsi="Times New Roman" w:cs="Times New Roman"/>
          <w:bCs/>
          <w:iCs/>
          <w:sz w:val="24"/>
          <w:szCs w:val="24"/>
        </w:rPr>
        <w:t>eur na subjekt. Výška poplatku vychádza z</w:t>
      </w:r>
      <w:r w:rsidR="00C3534E">
        <w:rPr>
          <w:rFonts w:ascii="Times New Roman" w:eastAsia="Calibri" w:hAnsi="Times New Roman" w:cs="Times New Roman"/>
          <w:bCs/>
          <w:iCs/>
          <w:sz w:val="24"/>
          <w:szCs w:val="24"/>
        </w:rPr>
        <w:t xml:space="preserve"> priemerovaných </w:t>
      </w:r>
      <w:r w:rsidRPr="004577C1">
        <w:rPr>
          <w:rFonts w:ascii="Times New Roman" w:eastAsia="Calibri" w:hAnsi="Times New Roman" w:cs="Times New Roman"/>
          <w:bCs/>
          <w:iCs/>
          <w:sz w:val="24"/>
          <w:szCs w:val="24"/>
        </w:rPr>
        <w:t>údajov zverejnených Ministerstvom vnútra Slovenskej republiky pri zohľadnení počtu osôb, ktorých výpis si bude Národná banka Slovenska zabezpečovať.</w:t>
      </w:r>
    </w:p>
    <w:p w14:paraId="3575B955" w14:textId="1DFE8D81" w:rsidR="00C41F1B" w:rsidRPr="004577C1" w:rsidRDefault="00C41F1B" w:rsidP="00742F99">
      <w:pPr>
        <w:jc w:val="both"/>
        <w:rPr>
          <w:rFonts w:ascii="Times New Roman" w:eastAsia="Calibri" w:hAnsi="Times New Roman" w:cs="Times New Roman"/>
          <w:bCs/>
          <w:iCs/>
          <w:sz w:val="24"/>
          <w:szCs w:val="24"/>
        </w:rPr>
      </w:pPr>
    </w:p>
    <w:p w14:paraId="5813A3AA" w14:textId="66554943" w:rsidR="00AB7990" w:rsidRPr="004577C1" w:rsidRDefault="00AB7990" w:rsidP="00D25478">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Vytvorenie štruktúry zamestnancov zodpovedných za poskytovanie spotrebiteľských úverov</w:t>
      </w:r>
    </w:p>
    <w:p w14:paraId="2AEFC1B9" w14:textId="3D709D3F" w:rsidR="00AB7990" w:rsidRPr="004577C1" w:rsidRDefault="00AB7990" w:rsidP="00742F99">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 xml:space="preserve">Predmetná regulácia zvyšuje nepriame finančné náklady a administratívnu záťaž </w:t>
      </w:r>
      <w:r w:rsidR="00601828">
        <w:rPr>
          <w:rFonts w:ascii="Times New Roman" w:eastAsia="Calibri" w:hAnsi="Times New Roman" w:cs="Times New Roman"/>
          <w:bCs/>
          <w:iCs/>
          <w:sz w:val="24"/>
          <w:szCs w:val="24"/>
        </w:rPr>
        <w:t>veriteľa (žiadateľa) podľa § 25 ods. 1 písm. c)</w:t>
      </w:r>
      <w:r w:rsidRPr="004577C1">
        <w:rPr>
          <w:rFonts w:ascii="Times New Roman" w:eastAsia="Calibri" w:hAnsi="Times New Roman" w:cs="Times New Roman"/>
          <w:bCs/>
          <w:iCs/>
          <w:sz w:val="24"/>
          <w:szCs w:val="24"/>
        </w:rPr>
        <w:t xml:space="preserve"> žiadajúce</w:t>
      </w:r>
      <w:r w:rsidR="00601828">
        <w:rPr>
          <w:rFonts w:ascii="Times New Roman" w:eastAsia="Calibri" w:hAnsi="Times New Roman" w:cs="Times New Roman"/>
          <w:bCs/>
          <w:iCs/>
          <w:sz w:val="24"/>
          <w:szCs w:val="24"/>
        </w:rPr>
        <w:t>ho</w:t>
      </w:r>
      <w:r w:rsidRPr="004577C1">
        <w:rPr>
          <w:rFonts w:ascii="Times New Roman" w:eastAsia="Calibri" w:hAnsi="Times New Roman" w:cs="Times New Roman"/>
          <w:bCs/>
          <w:iCs/>
          <w:sz w:val="24"/>
          <w:szCs w:val="24"/>
        </w:rPr>
        <w:t xml:space="preserve"> o udelenie povolenia prostredníctvom povinnosti vytvoriť štruktúru zamestnancov zodpovedných za poskytovanie spotrebiteľských úverov. Výpočet nákladov je len veľmi približný nakoľko bude závisieť od nastavenia konkrétnych žiadateľov, taktiež žiadatelia môžu znížiť nepriame finančné náklady, a to napríklad určením jednej osoby poverenej na výkon vnútornej kontroly. Celá štruktúra zamestnancov bude vytvorená jednorazovo, pričom jej činnosť bude vykonávaná na pravidelnej báze. Počet dotknutých subjektov 3 (telco spoločnosti) odzrkadľuje predpokladaný počet všetkých žiadateľov o udelenie povolenia, nakoľko táto povinnosť bude musieť byť splnená každým žiadateľom. Predpokladané priemerné náklady na vytvorenie a prevádzku sú okolo 5</w:t>
      </w:r>
      <w:r w:rsidR="00601828">
        <w:rPr>
          <w:rFonts w:ascii="Times New Roman" w:eastAsia="Calibri" w:hAnsi="Times New Roman" w:cs="Times New Roman"/>
          <w:bCs/>
          <w:iCs/>
          <w:sz w:val="24"/>
          <w:szCs w:val="24"/>
        </w:rPr>
        <w:t> </w:t>
      </w:r>
      <w:r w:rsidRPr="004577C1">
        <w:rPr>
          <w:rFonts w:ascii="Times New Roman" w:eastAsia="Calibri" w:hAnsi="Times New Roman" w:cs="Times New Roman"/>
          <w:bCs/>
          <w:iCs/>
          <w:sz w:val="24"/>
          <w:szCs w:val="24"/>
        </w:rPr>
        <w:t>000 eur, pričom štruktúra zamestnancov bude vytváraná jednorazovo, a teda aj nepriame finančné náklady a administratívna záťaž vznikne jednorazovo.</w:t>
      </w:r>
    </w:p>
    <w:p w14:paraId="4433EF17" w14:textId="77777777" w:rsidR="00F10452" w:rsidRPr="004577C1" w:rsidRDefault="00F10452" w:rsidP="00742F99">
      <w:pPr>
        <w:jc w:val="both"/>
        <w:rPr>
          <w:rFonts w:ascii="Times New Roman" w:eastAsia="Calibri" w:hAnsi="Times New Roman" w:cs="Times New Roman"/>
          <w:bCs/>
          <w:iCs/>
          <w:sz w:val="24"/>
          <w:szCs w:val="24"/>
        </w:rPr>
      </w:pPr>
    </w:p>
    <w:p w14:paraId="264901D9" w14:textId="526695CB" w:rsidR="00F10452" w:rsidRPr="004577C1" w:rsidRDefault="00F10452" w:rsidP="00D25478">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Registrácia finančných agentov u veriteľa podľa § 25 ods. 1 písm. c)</w:t>
      </w:r>
    </w:p>
    <w:p w14:paraId="3DD9450E" w14:textId="3A4CA664" w:rsidR="00F10452" w:rsidRDefault="00CD01FB" w:rsidP="00742F99">
      <w:pPr>
        <w:jc w:val="both"/>
        <w:rPr>
          <w:rFonts w:ascii="Times New Roman" w:eastAsia="Calibri" w:hAnsi="Times New Roman" w:cs="Times New Roman"/>
          <w:bCs/>
          <w:iCs/>
          <w:sz w:val="24"/>
          <w:szCs w:val="24"/>
        </w:rPr>
      </w:pPr>
      <w:r w:rsidRPr="00CD01FB">
        <w:rPr>
          <w:rFonts w:ascii="Times New Roman" w:eastAsia="Calibri" w:hAnsi="Times New Roman" w:cs="Times New Roman"/>
          <w:bCs/>
          <w:iCs/>
          <w:sz w:val="24"/>
          <w:szCs w:val="24"/>
        </w:rPr>
        <w:t>Veriteľ je povinný zabezpečiť odbornú spôsobilosť svojich zamestnancov, ktorí prichádzajú do styku so spotrebiteľom</w:t>
      </w:r>
      <w:r>
        <w:rPr>
          <w:rFonts w:ascii="Times New Roman" w:eastAsia="Calibri" w:hAnsi="Times New Roman" w:cs="Times New Roman"/>
          <w:bCs/>
          <w:iCs/>
          <w:sz w:val="24"/>
          <w:szCs w:val="24"/>
        </w:rPr>
        <w:t>, ako aj viesť zoznam týchto zamestnancov</w:t>
      </w:r>
      <w:r w:rsidRPr="00CD01FB">
        <w:rPr>
          <w:rFonts w:ascii="Times New Roman" w:eastAsia="Calibri" w:hAnsi="Times New Roman" w:cs="Times New Roman"/>
          <w:bCs/>
          <w:iCs/>
          <w:sz w:val="24"/>
          <w:szCs w:val="24"/>
        </w:rPr>
        <w:t>.</w:t>
      </w:r>
      <w:r w:rsidRPr="00CD01FB">
        <w:t xml:space="preserve"> </w:t>
      </w:r>
      <w:r w:rsidRPr="00CD01FB">
        <w:rPr>
          <w:rFonts w:ascii="Times New Roman" w:eastAsia="Calibri" w:hAnsi="Times New Roman" w:cs="Times New Roman"/>
          <w:bCs/>
          <w:iCs/>
          <w:sz w:val="24"/>
          <w:szCs w:val="24"/>
        </w:rPr>
        <w:t xml:space="preserve">Odbornou spôsobilosťou zamestnancov veriteľa je základný stupeň odbornej spôsobilosti podľa </w:t>
      </w:r>
      <w:r>
        <w:rPr>
          <w:rFonts w:ascii="Times New Roman" w:eastAsia="Calibri" w:hAnsi="Times New Roman" w:cs="Times New Roman"/>
          <w:bCs/>
          <w:iCs/>
          <w:sz w:val="24"/>
          <w:szCs w:val="24"/>
        </w:rPr>
        <w:t xml:space="preserve">zákona č. 186/2009 Z. z. </w:t>
      </w:r>
      <w:r w:rsidRPr="00CD01FB">
        <w:rPr>
          <w:rFonts w:ascii="Times New Roman" w:eastAsia="Calibri" w:hAnsi="Times New Roman" w:cs="Times New Roman"/>
          <w:bCs/>
          <w:iCs/>
          <w:sz w:val="24"/>
          <w:szCs w:val="24"/>
        </w:rPr>
        <w:t>o finančnom sprostredkovaní a finančnom poradenstve a o zmene a doplnení niektorých zákonov</w:t>
      </w:r>
      <w:r>
        <w:rPr>
          <w:rFonts w:ascii="Times New Roman" w:eastAsia="Calibri" w:hAnsi="Times New Roman" w:cs="Times New Roman"/>
          <w:bCs/>
          <w:iCs/>
          <w:sz w:val="24"/>
          <w:szCs w:val="24"/>
        </w:rPr>
        <w:t xml:space="preserve">. V tejto súvislosti preto vzniká veriteľovi podľa § 25 ods. 1 písm. c) </w:t>
      </w:r>
      <w:r w:rsidR="00C9082B">
        <w:rPr>
          <w:rFonts w:ascii="Times New Roman" w:eastAsia="Calibri" w:hAnsi="Times New Roman" w:cs="Times New Roman"/>
          <w:bCs/>
          <w:iCs/>
          <w:sz w:val="24"/>
          <w:szCs w:val="24"/>
        </w:rPr>
        <w:t xml:space="preserve">povinnosť registrácie finančných agentov (zamestnancov), čo predstavuje </w:t>
      </w:r>
      <w:r w:rsidR="00C9082B" w:rsidRPr="00651015">
        <w:rPr>
          <w:rFonts w:ascii="Times New Roman" w:eastAsia="Calibri" w:hAnsi="Times New Roman" w:cs="Times New Roman"/>
          <w:bCs/>
          <w:iCs/>
          <w:sz w:val="24"/>
          <w:szCs w:val="24"/>
        </w:rPr>
        <w:t>zvýšenie priamych finančných nákladov pre subjekty</w:t>
      </w:r>
      <w:r w:rsidR="00C9082B">
        <w:rPr>
          <w:rFonts w:ascii="Times New Roman" w:eastAsia="Calibri" w:hAnsi="Times New Roman" w:cs="Times New Roman"/>
          <w:bCs/>
          <w:iCs/>
          <w:sz w:val="24"/>
          <w:szCs w:val="24"/>
        </w:rPr>
        <w:t xml:space="preserve">. </w:t>
      </w:r>
      <w:r w:rsidR="00C9082B" w:rsidRPr="00651015">
        <w:rPr>
          <w:rFonts w:ascii="Times New Roman" w:eastAsia="Calibri" w:hAnsi="Times New Roman" w:cs="Times New Roman"/>
          <w:bCs/>
          <w:iCs/>
          <w:sz w:val="24"/>
          <w:szCs w:val="24"/>
        </w:rPr>
        <w:t>Expertným odhadom bol počet týchto subjektov stanovený na</w:t>
      </w:r>
      <w:r w:rsidR="00C9082B">
        <w:rPr>
          <w:rFonts w:ascii="Times New Roman" w:eastAsia="Calibri" w:hAnsi="Times New Roman" w:cs="Times New Roman"/>
          <w:bCs/>
          <w:iCs/>
          <w:sz w:val="24"/>
          <w:szCs w:val="24"/>
        </w:rPr>
        <w:t xml:space="preserve"> 900 nových finančných agentov. </w:t>
      </w:r>
      <w:r w:rsidR="00C9082B" w:rsidRPr="00651015">
        <w:rPr>
          <w:rFonts w:ascii="Times New Roman" w:eastAsia="Calibri" w:hAnsi="Times New Roman" w:cs="Times New Roman"/>
          <w:bCs/>
          <w:iCs/>
          <w:sz w:val="24"/>
          <w:szCs w:val="24"/>
        </w:rPr>
        <w:t xml:space="preserve">Na jeden subjekt je výška poplatku </w:t>
      </w:r>
      <w:r w:rsidR="00C9082B">
        <w:rPr>
          <w:rFonts w:ascii="Times New Roman" w:eastAsia="Calibri" w:hAnsi="Times New Roman" w:cs="Times New Roman"/>
          <w:bCs/>
          <w:iCs/>
          <w:sz w:val="24"/>
          <w:szCs w:val="24"/>
        </w:rPr>
        <w:t xml:space="preserve">registrácie </w:t>
      </w:r>
      <w:r w:rsidR="00C9082B" w:rsidRPr="00651015">
        <w:rPr>
          <w:rFonts w:ascii="Times New Roman" w:eastAsia="Calibri" w:hAnsi="Times New Roman" w:cs="Times New Roman"/>
          <w:bCs/>
          <w:iCs/>
          <w:sz w:val="24"/>
          <w:szCs w:val="24"/>
        </w:rPr>
        <w:t xml:space="preserve">odhadovaná na </w:t>
      </w:r>
      <w:r w:rsidR="00C9082B">
        <w:rPr>
          <w:rFonts w:ascii="Times New Roman" w:eastAsia="Calibri" w:hAnsi="Times New Roman" w:cs="Times New Roman"/>
          <w:bCs/>
          <w:iCs/>
          <w:sz w:val="24"/>
          <w:szCs w:val="24"/>
        </w:rPr>
        <w:t xml:space="preserve">10 </w:t>
      </w:r>
      <w:r w:rsidR="00C9082B" w:rsidRPr="00651015">
        <w:rPr>
          <w:rFonts w:ascii="Times New Roman" w:eastAsia="Calibri" w:hAnsi="Times New Roman" w:cs="Times New Roman"/>
          <w:bCs/>
          <w:iCs/>
          <w:sz w:val="24"/>
          <w:szCs w:val="24"/>
        </w:rPr>
        <w:t>eur</w:t>
      </w:r>
      <w:r w:rsidR="00C9082B">
        <w:rPr>
          <w:rFonts w:ascii="Times New Roman" w:eastAsia="Calibri" w:hAnsi="Times New Roman" w:cs="Times New Roman"/>
          <w:bCs/>
          <w:iCs/>
          <w:sz w:val="24"/>
          <w:szCs w:val="24"/>
        </w:rPr>
        <w:t xml:space="preserve">, čo vyplýva aj z výšky poplatku za iné úkony NBS, a to </w:t>
      </w:r>
      <w:r w:rsidR="00C9082B" w:rsidRPr="00C9082B">
        <w:rPr>
          <w:rFonts w:ascii="Times New Roman" w:eastAsia="Calibri" w:hAnsi="Times New Roman" w:cs="Times New Roman"/>
          <w:bCs/>
          <w:iCs/>
          <w:sz w:val="24"/>
          <w:szCs w:val="24"/>
        </w:rPr>
        <w:t>zápis viazaného finančného agenta</w:t>
      </w:r>
      <w:r w:rsidR="00C9082B">
        <w:rPr>
          <w:rFonts w:ascii="Times New Roman" w:eastAsia="Calibri" w:hAnsi="Times New Roman" w:cs="Times New Roman"/>
          <w:bCs/>
          <w:iCs/>
          <w:sz w:val="24"/>
          <w:szCs w:val="24"/>
        </w:rPr>
        <w:t xml:space="preserve"> do registra </w:t>
      </w:r>
      <w:r w:rsidR="00C9082B" w:rsidRPr="00C9082B">
        <w:rPr>
          <w:rFonts w:ascii="Times New Roman" w:eastAsia="Calibri" w:hAnsi="Times New Roman" w:cs="Times New Roman"/>
          <w:bCs/>
          <w:iCs/>
          <w:sz w:val="24"/>
          <w:szCs w:val="24"/>
        </w:rPr>
        <w:t>(dostupné na: https://nbs.sk/dohlad-nad-financnym-trhom/legislativa/legislativa/detail-dokumentu/opatrenie-narodnej-banky-slovenska-z-25-maja-2021-c-5-2021-o-poplatkoch-za-ukony-narodnej-banky-slovenska/).</w:t>
      </w:r>
      <w:r w:rsidR="00C9082B">
        <w:rPr>
          <w:rFonts w:ascii="Times New Roman" w:eastAsia="Calibri" w:hAnsi="Times New Roman" w:cs="Times New Roman"/>
          <w:bCs/>
          <w:iCs/>
          <w:sz w:val="24"/>
          <w:szCs w:val="24"/>
        </w:rPr>
        <w:t xml:space="preserve"> </w:t>
      </w:r>
      <w:r w:rsidR="00651015" w:rsidRPr="00651015">
        <w:rPr>
          <w:rFonts w:ascii="Times New Roman" w:eastAsia="Calibri" w:hAnsi="Times New Roman" w:cs="Times New Roman"/>
          <w:bCs/>
          <w:iCs/>
          <w:sz w:val="24"/>
          <w:szCs w:val="24"/>
        </w:rPr>
        <w:t>Odhad ročného vplyvu priamych finančných nákladov na kategóriu dotknutých subjektov je</w:t>
      </w:r>
      <w:r w:rsidR="00C9082B">
        <w:rPr>
          <w:rFonts w:ascii="Times New Roman" w:eastAsia="Calibri" w:hAnsi="Times New Roman" w:cs="Times New Roman"/>
          <w:bCs/>
          <w:iCs/>
          <w:sz w:val="24"/>
          <w:szCs w:val="24"/>
        </w:rPr>
        <w:t xml:space="preserve"> teda</w:t>
      </w:r>
      <w:r w:rsidR="00651015" w:rsidRPr="00651015">
        <w:rPr>
          <w:rFonts w:ascii="Times New Roman" w:eastAsia="Calibri" w:hAnsi="Times New Roman" w:cs="Times New Roman"/>
          <w:bCs/>
          <w:iCs/>
          <w:sz w:val="24"/>
          <w:szCs w:val="24"/>
        </w:rPr>
        <w:t xml:space="preserve"> </w:t>
      </w:r>
      <w:r w:rsidR="00C9082B">
        <w:rPr>
          <w:rFonts w:ascii="Times New Roman" w:eastAsia="Calibri" w:hAnsi="Times New Roman" w:cs="Times New Roman"/>
          <w:bCs/>
          <w:iCs/>
          <w:sz w:val="24"/>
          <w:szCs w:val="24"/>
        </w:rPr>
        <w:t>9 0</w:t>
      </w:r>
      <w:r w:rsidR="00651015" w:rsidRPr="00651015">
        <w:rPr>
          <w:rFonts w:ascii="Times New Roman" w:eastAsia="Calibri" w:hAnsi="Times New Roman" w:cs="Times New Roman"/>
          <w:bCs/>
          <w:iCs/>
          <w:sz w:val="24"/>
          <w:szCs w:val="24"/>
        </w:rPr>
        <w:t xml:space="preserve">00 </w:t>
      </w:r>
      <w:r w:rsidR="00F41917">
        <w:rPr>
          <w:rFonts w:ascii="Times New Roman" w:eastAsia="Calibri" w:hAnsi="Times New Roman" w:cs="Times New Roman"/>
          <w:bCs/>
          <w:iCs/>
          <w:sz w:val="24"/>
          <w:szCs w:val="24"/>
        </w:rPr>
        <w:t>e</w:t>
      </w:r>
      <w:r w:rsidR="00651015" w:rsidRPr="00651015">
        <w:rPr>
          <w:rFonts w:ascii="Times New Roman" w:eastAsia="Calibri" w:hAnsi="Times New Roman" w:cs="Times New Roman"/>
          <w:bCs/>
          <w:iCs/>
          <w:sz w:val="24"/>
          <w:szCs w:val="24"/>
        </w:rPr>
        <w:t>ur</w:t>
      </w:r>
      <w:r w:rsidR="00C9082B">
        <w:rPr>
          <w:rFonts w:ascii="Times New Roman" w:eastAsia="Calibri" w:hAnsi="Times New Roman" w:cs="Times New Roman"/>
          <w:bCs/>
          <w:iCs/>
          <w:sz w:val="24"/>
          <w:szCs w:val="24"/>
        </w:rPr>
        <w:t xml:space="preserve"> jednorazovo. </w:t>
      </w:r>
      <w:r w:rsidR="00C9082B" w:rsidRPr="00C9082B">
        <w:rPr>
          <w:rFonts w:ascii="Times New Roman" w:eastAsia="Calibri" w:hAnsi="Times New Roman" w:cs="Times New Roman"/>
          <w:bCs/>
          <w:iCs/>
          <w:sz w:val="24"/>
          <w:szCs w:val="24"/>
        </w:rPr>
        <w:t>Predmetná regulácia spôsobuje aj z</w:t>
      </w:r>
      <w:r w:rsidR="00C9082B">
        <w:rPr>
          <w:rFonts w:ascii="Times New Roman" w:eastAsia="Calibri" w:hAnsi="Times New Roman" w:cs="Times New Roman"/>
          <w:bCs/>
          <w:iCs/>
          <w:sz w:val="24"/>
          <w:szCs w:val="24"/>
        </w:rPr>
        <w:t>výše</w:t>
      </w:r>
      <w:r w:rsidR="00C9082B" w:rsidRPr="00C9082B">
        <w:rPr>
          <w:rFonts w:ascii="Times New Roman" w:eastAsia="Calibri" w:hAnsi="Times New Roman" w:cs="Times New Roman"/>
          <w:bCs/>
          <w:iCs/>
          <w:sz w:val="24"/>
          <w:szCs w:val="24"/>
        </w:rPr>
        <w:t xml:space="preserve">nie administratívnych nákladov dotknutých subjektov, a to konkrétne vo forme oboznámenia sa s reguláciou, podania žiadosti o </w:t>
      </w:r>
      <w:r w:rsidR="00C9082B">
        <w:rPr>
          <w:rFonts w:ascii="Times New Roman" w:eastAsia="Calibri" w:hAnsi="Times New Roman" w:cs="Times New Roman"/>
          <w:bCs/>
          <w:iCs/>
          <w:sz w:val="24"/>
          <w:szCs w:val="24"/>
        </w:rPr>
        <w:t>registráciu</w:t>
      </w:r>
      <w:r w:rsidR="00C9082B" w:rsidRPr="00C9082B">
        <w:rPr>
          <w:rFonts w:ascii="Times New Roman" w:eastAsia="Calibri" w:hAnsi="Times New Roman" w:cs="Times New Roman"/>
          <w:bCs/>
          <w:iCs/>
          <w:sz w:val="24"/>
          <w:szCs w:val="24"/>
        </w:rPr>
        <w:t xml:space="preserve"> a vypracovania všetkých potrebných dokumentov súvisiacich s</w:t>
      </w:r>
      <w:r w:rsidR="00F41917">
        <w:rPr>
          <w:rFonts w:ascii="Times New Roman" w:eastAsia="Calibri" w:hAnsi="Times New Roman" w:cs="Times New Roman"/>
          <w:bCs/>
          <w:iCs/>
          <w:sz w:val="24"/>
          <w:szCs w:val="24"/>
        </w:rPr>
        <w:t> </w:t>
      </w:r>
      <w:r w:rsidR="00C9082B">
        <w:rPr>
          <w:rFonts w:ascii="Times New Roman" w:eastAsia="Calibri" w:hAnsi="Times New Roman" w:cs="Times New Roman"/>
          <w:bCs/>
          <w:iCs/>
          <w:sz w:val="24"/>
          <w:szCs w:val="24"/>
        </w:rPr>
        <w:t>registráciou</w:t>
      </w:r>
      <w:r w:rsidR="00F41917">
        <w:rPr>
          <w:rFonts w:ascii="Times New Roman" w:eastAsia="Calibri" w:hAnsi="Times New Roman" w:cs="Times New Roman"/>
          <w:bCs/>
          <w:iCs/>
          <w:sz w:val="24"/>
          <w:szCs w:val="24"/>
        </w:rPr>
        <w:t xml:space="preserve"> finančných agentov</w:t>
      </w:r>
      <w:r w:rsidR="00C9082B">
        <w:rPr>
          <w:rFonts w:ascii="Times New Roman" w:eastAsia="Calibri" w:hAnsi="Times New Roman" w:cs="Times New Roman"/>
          <w:bCs/>
          <w:iCs/>
          <w:sz w:val="24"/>
          <w:szCs w:val="24"/>
        </w:rPr>
        <w:t>.</w:t>
      </w:r>
    </w:p>
    <w:p w14:paraId="17C1A025" w14:textId="77777777" w:rsidR="00651015" w:rsidRPr="004577C1" w:rsidRDefault="00651015" w:rsidP="00742F99">
      <w:pPr>
        <w:jc w:val="both"/>
        <w:rPr>
          <w:rFonts w:ascii="Times New Roman" w:eastAsia="Calibri" w:hAnsi="Times New Roman" w:cs="Times New Roman"/>
          <w:bCs/>
          <w:iCs/>
          <w:sz w:val="24"/>
          <w:szCs w:val="24"/>
        </w:rPr>
      </w:pPr>
    </w:p>
    <w:p w14:paraId="3DA28608" w14:textId="7481216A" w:rsidR="00F10452" w:rsidRPr="003A3313" w:rsidRDefault="00F10452" w:rsidP="00F10452">
      <w:pPr>
        <w:pStyle w:val="Odsekzoznamu"/>
        <w:numPr>
          <w:ilvl w:val="0"/>
          <w:numId w:val="15"/>
        </w:numPr>
        <w:jc w:val="both"/>
        <w:rPr>
          <w:rFonts w:ascii="Times New Roman" w:eastAsia="Calibri" w:hAnsi="Times New Roman" w:cs="Times New Roman"/>
          <w:bCs/>
          <w:i/>
          <w:sz w:val="24"/>
          <w:szCs w:val="24"/>
        </w:rPr>
      </w:pPr>
      <w:r w:rsidRPr="003A3313">
        <w:rPr>
          <w:rFonts w:ascii="Times New Roman" w:eastAsia="Calibri" w:hAnsi="Times New Roman" w:cs="Times New Roman"/>
          <w:bCs/>
          <w:i/>
          <w:sz w:val="24"/>
          <w:szCs w:val="24"/>
        </w:rPr>
        <w:lastRenderedPageBreak/>
        <w:t>Predkladanie výkazov, hlásení, správ a iných informácií NBS veriteľom podľa § 25 ods. 1 písm. c)</w:t>
      </w:r>
    </w:p>
    <w:p w14:paraId="52209541" w14:textId="3B5818A4" w:rsidR="00F10452" w:rsidRPr="004577C1" w:rsidRDefault="00F10452" w:rsidP="00F10452">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Vzhľadom na výkon dohľadu zo strany Národnej banky Slovenska vznikne veriteľovi podľa §</w:t>
      </w:r>
      <w:r w:rsidR="006D1FFF">
        <w:rPr>
          <w:rFonts w:ascii="Times New Roman" w:eastAsia="Calibri" w:hAnsi="Times New Roman" w:cs="Times New Roman"/>
          <w:bCs/>
          <w:iCs/>
          <w:sz w:val="24"/>
          <w:szCs w:val="24"/>
        </w:rPr>
        <w:t> </w:t>
      </w:r>
      <w:r w:rsidRPr="004577C1">
        <w:rPr>
          <w:rFonts w:ascii="Times New Roman" w:eastAsia="Calibri" w:hAnsi="Times New Roman" w:cs="Times New Roman"/>
          <w:bCs/>
          <w:iCs/>
          <w:sz w:val="24"/>
          <w:szCs w:val="24"/>
        </w:rPr>
        <w:t>25 ods. 1 písm. c) administratívna záťaž z dôvodu povinnosti predkladania výkazov, hlásení, správ a iných informácií na štatistické účely. Presn</w:t>
      </w:r>
      <w:r w:rsidR="006D1FFF">
        <w:rPr>
          <w:rFonts w:ascii="Times New Roman" w:eastAsia="Calibri" w:hAnsi="Times New Roman" w:cs="Times New Roman"/>
          <w:bCs/>
          <w:iCs/>
          <w:sz w:val="24"/>
          <w:szCs w:val="24"/>
        </w:rPr>
        <w:t>á</w:t>
      </w:r>
      <w:r w:rsidRPr="004577C1">
        <w:rPr>
          <w:rFonts w:ascii="Times New Roman" w:eastAsia="Calibri" w:hAnsi="Times New Roman" w:cs="Times New Roman"/>
          <w:bCs/>
          <w:iCs/>
          <w:sz w:val="24"/>
          <w:szCs w:val="24"/>
        </w:rPr>
        <w:t xml:space="preserve"> form</w:t>
      </w:r>
      <w:r w:rsidR="006D1FFF">
        <w:rPr>
          <w:rFonts w:ascii="Times New Roman" w:eastAsia="Calibri" w:hAnsi="Times New Roman" w:cs="Times New Roman"/>
          <w:bCs/>
          <w:iCs/>
          <w:sz w:val="24"/>
          <w:szCs w:val="24"/>
        </w:rPr>
        <w:t>a</w:t>
      </w:r>
      <w:r w:rsidRPr="004577C1">
        <w:rPr>
          <w:rFonts w:ascii="Times New Roman" w:eastAsia="Calibri" w:hAnsi="Times New Roman" w:cs="Times New Roman"/>
          <w:bCs/>
          <w:iCs/>
          <w:sz w:val="24"/>
          <w:szCs w:val="24"/>
        </w:rPr>
        <w:t xml:space="preserve"> a periodicit</w:t>
      </w:r>
      <w:r w:rsidR="006D1FFF">
        <w:rPr>
          <w:rFonts w:ascii="Times New Roman" w:eastAsia="Calibri" w:hAnsi="Times New Roman" w:cs="Times New Roman"/>
          <w:bCs/>
          <w:iCs/>
          <w:sz w:val="24"/>
          <w:szCs w:val="24"/>
        </w:rPr>
        <w:t>a</w:t>
      </w:r>
      <w:r w:rsidRPr="004577C1">
        <w:rPr>
          <w:rFonts w:ascii="Times New Roman" w:eastAsia="Calibri" w:hAnsi="Times New Roman" w:cs="Times New Roman"/>
          <w:bCs/>
          <w:iCs/>
          <w:sz w:val="24"/>
          <w:szCs w:val="24"/>
        </w:rPr>
        <w:t xml:space="preserve"> </w:t>
      </w:r>
      <w:r w:rsidR="00180313" w:rsidRPr="004577C1">
        <w:rPr>
          <w:rFonts w:ascii="Times New Roman" w:eastAsia="Calibri" w:hAnsi="Times New Roman" w:cs="Times New Roman"/>
          <w:bCs/>
          <w:iCs/>
          <w:sz w:val="24"/>
          <w:szCs w:val="24"/>
        </w:rPr>
        <w:t xml:space="preserve">je </w:t>
      </w:r>
      <w:r w:rsidRPr="004577C1">
        <w:rPr>
          <w:rFonts w:ascii="Times New Roman" w:eastAsia="Calibri" w:hAnsi="Times New Roman" w:cs="Times New Roman"/>
          <w:bCs/>
          <w:iCs/>
          <w:sz w:val="24"/>
          <w:szCs w:val="24"/>
        </w:rPr>
        <w:t>urč</w:t>
      </w:r>
      <w:r w:rsidR="00180313" w:rsidRPr="004577C1">
        <w:rPr>
          <w:rFonts w:ascii="Times New Roman" w:eastAsia="Calibri" w:hAnsi="Times New Roman" w:cs="Times New Roman"/>
          <w:bCs/>
          <w:iCs/>
          <w:sz w:val="24"/>
          <w:szCs w:val="24"/>
        </w:rPr>
        <w:t>ená</w:t>
      </w:r>
      <w:r w:rsidRPr="004577C1">
        <w:rPr>
          <w:rFonts w:ascii="Times New Roman" w:eastAsia="Calibri" w:hAnsi="Times New Roman" w:cs="Times New Roman"/>
          <w:bCs/>
          <w:iCs/>
          <w:sz w:val="24"/>
          <w:szCs w:val="24"/>
        </w:rPr>
        <w:t xml:space="preserve"> Národn</w:t>
      </w:r>
      <w:r w:rsidR="00180313" w:rsidRPr="004577C1">
        <w:rPr>
          <w:rFonts w:ascii="Times New Roman" w:eastAsia="Calibri" w:hAnsi="Times New Roman" w:cs="Times New Roman"/>
          <w:bCs/>
          <w:iCs/>
          <w:sz w:val="24"/>
          <w:szCs w:val="24"/>
        </w:rPr>
        <w:t>ou</w:t>
      </w:r>
      <w:r w:rsidRPr="004577C1">
        <w:rPr>
          <w:rFonts w:ascii="Times New Roman" w:eastAsia="Calibri" w:hAnsi="Times New Roman" w:cs="Times New Roman"/>
          <w:bCs/>
          <w:iCs/>
          <w:sz w:val="24"/>
          <w:szCs w:val="24"/>
        </w:rPr>
        <w:t xml:space="preserve"> bank</w:t>
      </w:r>
      <w:r w:rsidR="00180313" w:rsidRPr="004577C1">
        <w:rPr>
          <w:rFonts w:ascii="Times New Roman" w:eastAsia="Calibri" w:hAnsi="Times New Roman" w:cs="Times New Roman"/>
          <w:bCs/>
          <w:iCs/>
          <w:sz w:val="24"/>
          <w:szCs w:val="24"/>
        </w:rPr>
        <w:t>ou</w:t>
      </w:r>
      <w:r w:rsidRPr="004577C1">
        <w:rPr>
          <w:rFonts w:ascii="Times New Roman" w:eastAsia="Calibri" w:hAnsi="Times New Roman" w:cs="Times New Roman"/>
          <w:bCs/>
          <w:iCs/>
          <w:sz w:val="24"/>
          <w:szCs w:val="24"/>
        </w:rPr>
        <w:t xml:space="preserve"> Slovenska prostredníctvom opatrenia, pričom periodicita je jedenkrát ročne. Predpokladaný počet subjektov, ktorých sa uvedená regulácia dotkne je </w:t>
      </w:r>
      <w:r w:rsidR="00180313" w:rsidRPr="004577C1">
        <w:rPr>
          <w:rFonts w:ascii="Times New Roman" w:eastAsia="Calibri" w:hAnsi="Times New Roman" w:cs="Times New Roman"/>
          <w:bCs/>
          <w:iCs/>
          <w:sz w:val="24"/>
          <w:szCs w:val="24"/>
        </w:rPr>
        <w:t>3 (telco spoločnosti)</w:t>
      </w:r>
      <w:r w:rsidRPr="004577C1">
        <w:rPr>
          <w:rFonts w:ascii="Times New Roman" w:eastAsia="Calibri" w:hAnsi="Times New Roman" w:cs="Times New Roman"/>
          <w:bCs/>
          <w:iCs/>
          <w:sz w:val="24"/>
          <w:szCs w:val="24"/>
        </w:rPr>
        <w:t xml:space="preserve">, keďže táto povinnosť bude ustanovená pre každého </w:t>
      </w:r>
      <w:r w:rsidR="00180313" w:rsidRPr="004577C1">
        <w:rPr>
          <w:rFonts w:ascii="Times New Roman" w:eastAsia="Calibri" w:hAnsi="Times New Roman" w:cs="Times New Roman"/>
          <w:bCs/>
          <w:iCs/>
          <w:sz w:val="24"/>
          <w:szCs w:val="24"/>
        </w:rPr>
        <w:t>veriteľa podľa § 25 ods. 1 písm. c).</w:t>
      </w:r>
    </w:p>
    <w:p w14:paraId="0EA6CE64" w14:textId="77777777" w:rsidR="00AB7990" w:rsidRPr="004577C1" w:rsidRDefault="00AB7990" w:rsidP="00742F99">
      <w:pPr>
        <w:jc w:val="both"/>
        <w:rPr>
          <w:rFonts w:ascii="Times New Roman" w:eastAsia="Calibri" w:hAnsi="Times New Roman" w:cs="Times New Roman"/>
          <w:bCs/>
          <w:iCs/>
          <w:sz w:val="24"/>
          <w:szCs w:val="24"/>
        </w:rPr>
      </w:pPr>
    </w:p>
    <w:p w14:paraId="67EB40D8" w14:textId="3DAA45DF" w:rsidR="00180313" w:rsidRPr="004577C1" w:rsidRDefault="00180313" w:rsidP="00D25478">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Predkladanie údajov o novoposkytnutých a poskytnutých spotrebiteľských úveroch veriteľom podľa § 25 ods. 1 písm. c)</w:t>
      </w:r>
    </w:p>
    <w:p w14:paraId="0E174E4B" w14:textId="4521646A" w:rsidR="00180313" w:rsidRPr="004577C1" w:rsidRDefault="00180313" w:rsidP="00180313">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Veriteľovi podľa § 25 ods. 1 písm. c), tak ako to majú aj ostatní veritelia, vznikne administratívna záťaž z dôvodu povinnosti predkladania údajov o novoposkytnutých a poskytnutých spotrebiteľských úveroch. Presná forma a periodicita je určená prostredníctvom vyhlášky Ministerstva financií SR č. 289/2010 Z. z. o predkladaní údajov veriteľmi poskytujúcimi spotrebiteľské úvery, pričom periodicita je 4-krát ročne. Predpokladaný počet subjektov, ktorých sa uvedená regulácia dotkne je 3 (telco spoločnosti), keďže táto povinnosť bude ustanovená pre každého veriteľa podľa § 25 ods. 1 písm. c).</w:t>
      </w:r>
    </w:p>
    <w:p w14:paraId="7F1CE8FA" w14:textId="77777777" w:rsidR="00E574E7" w:rsidRPr="004577C1" w:rsidRDefault="00E574E7" w:rsidP="00180313">
      <w:pPr>
        <w:jc w:val="both"/>
        <w:rPr>
          <w:rFonts w:ascii="Times New Roman" w:eastAsia="Calibri" w:hAnsi="Times New Roman" w:cs="Times New Roman"/>
          <w:bCs/>
          <w:iCs/>
          <w:sz w:val="24"/>
          <w:szCs w:val="24"/>
        </w:rPr>
      </w:pPr>
    </w:p>
    <w:p w14:paraId="3AEFBE64" w14:textId="057BC02D" w:rsidR="00E574E7" w:rsidRPr="003A3313" w:rsidRDefault="003A3313" w:rsidP="00E574E7">
      <w:pPr>
        <w:pStyle w:val="Odsekzoznamu"/>
        <w:numPr>
          <w:ilvl w:val="0"/>
          <w:numId w:val="15"/>
        </w:numPr>
        <w:jc w:val="both"/>
        <w:rPr>
          <w:rFonts w:ascii="Times New Roman" w:eastAsia="Calibri" w:hAnsi="Times New Roman" w:cs="Times New Roman"/>
          <w:bCs/>
          <w:i/>
          <w:sz w:val="24"/>
          <w:szCs w:val="24"/>
        </w:rPr>
      </w:pPr>
      <w:r w:rsidRPr="003A3313">
        <w:rPr>
          <w:rFonts w:ascii="Times New Roman" w:eastAsia="Calibri" w:hAnsi="Times New Roman" w:cs="Times New Roman"/>
          <w:bCs/>
          <w:i/>
          <w:sz w:val="24"/>
          <w:szCs w:val="24"/>
        </w:rPr>
        <w:t>Zavedenie evidencie a účtovníctva o spotrebiteľských úveroch u veriteľa podľa § 25 ods. 1 písm. c)</w:t>
      </w:r>
    </w:p>
    <w:p w14:paraId="7F562BB4" w14:textId="5CCD52C7" w:rsidR="0046226D" w:rsidRPr="003A3313" w:rsidRDefault="003A3313" w:rsidP="003A3313">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Vzhľadom na to, že veriteľ podľa § 25 ods. 1 písm. c) bude poskytovať spotrebiteľské úvery na základe povolenia udeleného Národnou bankou Slovenska, bude </w:t>
      </w:r>
      <w:r w:rsidR="00EB133C">
        <w:rPr>
          <w:rFonts w:ascii="Times New Roman" w:eastAsia="Calibri" w:hAnsi="Times New Roman" w:cs="Times New Roman"/>
          <w:bCs/>
          <w:iCs/>
          <w:sz w:val="24"/>
          <w:szCs w:val="24"/>
        </w:rPr>
        <w:t>musieť</w:t>
      </w:r>
      <w:r>
        <w:rPr>
          <w:rFonts w:ascii="Times New Roman" w:eastAsia="Calibri" w:hAnsi="Times New Roman" w:cs="Times New Roman"/>
          <w:bCs/>
          <w:iCs/>
          <w:sz w:val="24"/>
          <w:szCs w:val="24"/>
        </w:rPr>
        <w:t xml:space="preserve"> spĺňať aj požiadavky na evidenciu a účtovníctvo </w:t>
      </w:r>
      <w:r w:rsidR="00EB133C">
        <w:rPr>
          <w:rFonts w:ascii="Times New Roman" w:eastAsia="Calibri" w:hAnsi="Times New Roman" w:cs="Times New Roman"/>
          <w:bCs/>
          <w:iCs/>
          <w:sz w:val="24"/>
          <w:szCs w:val="24"/>
        </w:rPr>
        <w:t xml:space="preserve">ohľadom </w:t>
      </w:r>
      <w:r w:rsidR="00EB133C" w:rsidRPr="00EB133C">
        <w:rPr>
          <w:rFonts w:ascii="Times New Roman" w:eastAsia="Calibri" w:hAnsi="Times New Roman" w:cs="Times New Roman"/>
          <w:bCs/>
          <w:iCs/>
          <w:sz w:val="24"/>
          <w:szCs w:val="24"/>
        </w:rPr>
        <w:t>zmlúv a zmluvných dokumentov, ktoré sa vzťahujú ku spotrebiteľským úverom.</w:t>
      </w:r>
      <w:r w:rsidR="00EB133C" w:rsidRPr="00EB133C">
        <w:t xml:space="preserve"> </w:t>
      </w:r>
      <w:r w:rsidR="00EB133C" w:rsidRPr="00EB133C">
        <w:rPr>
          <w:rFonts w:ascii="Times New Roman" w:eastAsia="Calibri" w:hAnsi="Times New Roman" w:cs="Times New Roman"/>
          <w:bCs/>
          <w:iCs/>
          <w:sz w:val="24"/>
          <w:szCs w:val="24"/>
        </w:rPr>
        <w:t>Predpokladaný počet subjektov, ktorých sa uvedená regulácia dotkne je 3 (telco spoločnosti)</w:t>
      </w:r>
      <w:r w:rsidR="00EB133C">
        <w:rPr>
          <w:rFonts w:ascii="Times New Roman" w:eastAsia="Calibri" w:hAnsi="Times New Roman" w:cs="Times New Roman"/>
          <w:bCs/>
          <w:iCs/>
          <w:sz w:val="24"/>
          <w:szCs w:val="24"/>
        </w:rPr>
        <w:t>. V tejto súvislosti vzniknú dotknutým subjektom nepriame finančné náklady a administratívne náklady.</w:t>
      </w:r>
      <w:r w:rsidR="00EB133C" w:rsidRPr="00EB133C">
        <w:t xml:space="preserve"> </w:t>
      </w:r>
      <w:r w:rsidR="00EB133C" w:rsidRPr="00EB133C">
        <w:rPr>
          <w:rFonts w:ascii="Times New Roman" w:eastAsia="Calibri" w:hAnsi="Times New Roman" w:cs="Times New Roman"/>
          <w:bCs/>
          <w:iCs/>
          <w:sz w:val="24"/>
          <w:szCs w:val="24"/>
        </w:rPr>
        <w:t xml:space="preserve">Nepriame finančné náklady sa predpokladajú jednorazovo a sú stanovené expertným odhadom do výšky </w:t>
      </w:r>
      <w:r w:rsidR="00EB133C">
        <w:rPr>
          <w:rFonts w:ascii="Times New Roman" w:eastAsia="Calibri" w:hAnsi="Times New Roman" w:cs="Times New Roman"/>
          <w:bCs/>
          <w:iCs/>
          <w:sz w:val="24"/>
          <w:szCs w:val="24"/>
        </w:rPr>
        <w:t>5</w:t>
      </w:r>
      <w:r w:rsidR="00EB133C" w:rsidRPr="00EB133C">
        <w:rPr>
          <w:rFonts w:ascii="Times New Roman" w:eastAsia="Calibri" w:hAnsi="Times New Roman" w:cs="Times New Roman"/>
          <w:bCs/>
          <w:iCs/>
          <w:sz w:val="24"/>
          <w:szCs w:val="24"/>
        </w:rPr>
        <w:t xml:space="preserve"> 000 eur na jeden dotknutý subjekt, pričom konkrétna výška bude závisieť od formy a spôsobu, ako  zákonom stanovenú požiadavku splní konkrétny dotknutý subjekt. Predmetná regulácia spôsobuje aj zvýšenie administratívnych nákladov, a to konkrétne vo forme oboznámenia sa s</w:t>
      </w:r>
      <w:r w:rsidR="00EB133C">
        <w:rPr>
          <w:rFonts w:ascii="Times New Roman" w:eastAsia="Calibri" w:hAnsi="Times New Roman" w:cs="Times New Roman"/>
          <w:bCs/>
          <w:iCs/>
          <w:sz w:val="24"/>
          <w:szCs w:val="24"/>
        </w:rPr>
        <w:t> </w:t>
      </w:r>
      <w:r w:rsidR="00EB133C" w:rsidRPr="00EB133C">
        <w:rPr>
          <w:rFonts w:ascii="Times New Roman" w:eastAsia="Calibri" w:hAnsi="Times New Roman" w:cs="Times New Roman"/>
          <w:bCs/>
          <w:iCs/>
          <w:sz w:val="24"/>
          <w:szCs w:val="24"/>
        </w:rPr>
        <w:t>reguláciou</w:t>
      </w:r>
      <w:r w:rsidR="00EB133C">
        <w:rPr>
          <w:rFonts w:ascii="Times New Roman" w:eastAsia="Calibri" w:hAnsi="Times New Roman" w:cs="Times New Roman"/>
          <w:bCs/>
          <w:iCs/>
          <w:sz w:val="24"/>
          <w:szCs w:val="24"/>
        </w:rPr>
        <w:t xml:space="preserve">, </w:t>
      </w:r>
      <w:r w:rsidR="00EB133C" w:rsidRPr="00EB133C">
        <w:rPr>
          <w:rFonts w:ascii="Times New Roman" w:eastAsia="Calibri" w:hAnsi="Times New Roman" w:cs="Times New Roman"/>
          <w:bCs/>
          <w:iCs/>
          <w:sz w:val="24"/>
          <w:szCs w:val="24"/>
        </w:rPr>
        <w:t>zmeny vnútorných procesov (nastavenie systémov)</w:t>
      </w:r>
      <w:r w:rsidR="00EB133C">
        <w:rPr>
          <w:rFonts w:ascii="Times New Roman" w:eastAsia="Calibri" w:hAnsi="Times New Roman" w:cs="Times New Roman"/>
          <w:bCs/>
          <w:iCs/>
          <w:sz w:val="24"/>
          <w:szCs w:val="24"/>
        </w:rPr>
        <w:t xml:space="preserve"> a pri evidencii a vedení dokumentácie. </w:t>
      </w:r>
      <w:r w:rsidR="00EB133C" w:rsidRPr="00EB133C">
        <w:rPr>
          <w:rFonts w:ascii="Times New Roman" w:eastAsia="Calibri" w:hAnsi="Times New Roman" w:cs="Times New Roman"/>
          <w:bCs/>
          <w:iCs/>
          <w:sz w:val="24"/>
          <w:szCs w:val="24"/>
        </w:rPr>
        <w:t>Frekvencia administratívnych nákladov sa predpokladá jednorazovo a povinnosti, z ktorých vznikne administratívna záťaž, je možné splniť aj elektronicky.</w:t>
      </w:r>
    </w:p>
    <w:p w14:paraId="1BAB0C8D" w14:textId="77777777" w:rsidR="00E574E7" w:rsidRPr="004577C1" w:rsidRDefault="00E574E7" w:rsidP="00D25478">
      <w:pPr>
        <w:pStyle w:val="Odsekzoznamu"/>
        <w:jc w:val="both"/>
        <w:rPr>
          <w:rFonts w:ascii="Times New Roman" w:eastAsia="Calibri" w:hAnsi="Times New Roman" w:cs="Times New Roman"/>
          <w:bCs/>
          <w:iCs/>
          <w:sz w:val="24"/>
          <w:szCs w:val="24"/>
        </w:rPr>
      </w:pPr>
    </w:p>
    <w:p w14:paraId="673736DE" w14:textId="0C3CD449" w:rsidR="00E574E7" w:rsidRPr="004577C1" w:rsidRDefault="00E574E7" w:rsidP="00E574E7">
      <w:pPr>
        <w:pStyle w:val="Odsekzoznamu"/>
        <w:numPr>
          <w:ilvl w:val="0"/>
          <w:numId w:val="15"/>
        </w:numPr>
        <w:jc w:val="both"/>
        <w:rPr>
          <w:rFonts w:ascii="Times New Roman" w:eastAsia="Calibri" w:hAnsi="Times New Roman" w:cs="Times New Roman"/>
          <w:bCs/>
          <w:i/>
          <w:sz w:val="24"/>
          <w:szCs w:val="24"/>
        </w:rPr>
      </w:pPr>
      <w:r w:rsidRPr="004577C1">
        <w:rPr>
          <w:rFonts w:ascii="Times New Roman" w:eastAsia="Calibri" w:hAnsi="Times New Roman" w:cs="Times New Roman"/>
          <w:bCs/>
          <w:i/>
          <w:sz w:val="24"/>
          <w:szCs w:val="24"/>
        </w:rPr>
        <w:t>Administratíva a náklady na vybavovanie reklamácií u veriteľa podľa § 25 ods. 1 písm.</w:t>
      </w:r>
      <w:r w:rsidR="006D1FFF">
        <w:rPr>
          <w:rFonts w:ascii="Times New Roman" w:eastAsia="Calibri" w:hAnsi="Times New Roman" w:cs="Times New Roman"/>
          <w:bCs/>
          <w:i/>
          <w:sz w:val="24"/>
          <w:szCs w:val="24"/>
        </w:rPr>
        <w:t> </w:t>
      </w:r>
      <w:r w:rsidRPr="004577C1">
        <w:rPr>
          <w:rFonts w:ascii="Times New Roman" w:eastAsia="Calibri" w:hAnsi="Times New Roman" w:cs="Times New Roman"/>
          <w:bCs/>
          <w:i/>
          <w:sz w:val="24"/>
          <w:szCs w:val="24"/>
        </w:rPr>
        <w:t>c)</w:t>
      </w:r>
    </w:p>
    <w:p w14:paraId="6259C4D0" w14:textId="3A1986AD" w:rsidR="00E574E7" w:rsidRPr="004577C1" w:rsidRDefault="00E574E7" w:rsidP="00D25478">
      <w:pPr>
        <w:jc w:val="both"/>
        <w:rPr>
          <w:rFonts w:ascii="Times New Roman" w:eastAsia="Calibri" w:hAnsi="Times New Roman" w:cs="Times New Roman"/>
          <w:bCs/>
          <w:iCs/>
          <w:sz w:val="24"/>
          <w:szCs w:val="24"/>
        </w:rPr>
      </w:pPr>
      <w:r w:rsidRPr="004577C1">
        <w:rPr>
          <w:rFonts w:ascii="Times New Roman" w:eastAsia="Calibri" w:hAnsi="Times New Roman" w:cs="Times New Roman"/>
          <w:bCs/>
          <w:iCs/>
          <w:sz w:val="24"/>
          <w:szCs w:val="24"/>
        </w:rPr>
        <w:t xml:space="preserve">Regulácia obsahujúca povinnosti v oblastí reklamácií zvyšuje nepriame finančné náklady a administratívnu záťaž, keďže veritelia podľa § 25 ods. 1 písm. c) budú povinní mať vytvorený aparát na vybavovanie a zaznamenávanie reklamácií od sťažovateľov. Reklamácie budú riešené a vybavované na mesačnej báze, pričom predpokladaná priemerná výška nákladov bude 5 000 </w:t>
      </w:r>
      <w:r w:rsidR="00AC48DE">
        <w:rPr>
          <w:rFonts w:ascii="Times New Roman" w:eastAsia="Calibri" w:hAnsi="Times New Roman" w:cs="Times New Roman"/>
          <w:bCs/>
          <w:iCs/>
          <w:sz w:val="24"/>
          <w:szCs w:val="24"/>
        </w:rPr>
        <w:lastRenderedPageBreak/>
        <w:t>e</w:t>
      </w:r>
      <w:r w:rsidRPr="004577C1">
        <w:rPr>
          <w:rFonts w:ascii="Times New Roman" w:eastAsia="Calibri" w:hAnsi="Times New Roman" w:cs="Times New Roman"/>
          <w:bCs/>
          <w:iCs/>
          <w:sz w:val="24"/>
          <w:szCs w:val="24"/>
        </w:rPr>
        <w:t>ur na zostavenie samotného aparátu a jeho proces, ide však len o veľmi približný odhad, keďže konkrétna výška nákladov bude závisieť od nastavenia jednotlivých veriteľov. Počet dotknutých subjektov vychádza z expertného odhadu, t. j. 3 (telco) spoločnosti, nakoľko každý subjekt bude mať povinnosť spĺňať náležitosti na vybavovanie reklamácií. Administratívna záťaž pri vybavovaní reklamácií bude na mesačnej báze vzhľadom na určenú dobu vybavenia reklamácie.</w:t>
      </w:r>
    </w:p>
    <w:p w14:paraId="3A3F9095" w14:textId="77777777" w:rsidR="00AB7990" w:rsidRPr="004577C1" w:rsidRDefault="00AB7990" w:rsidP="00742F99">
      <w:pPr>
        <w:jc w:val="both"/>
        <w:rPr>
          <w:rFonts w:ascii="Times New Roman" w:eastAsia="Calibri" w:hAnsi="Times New Roman" w:cs="Times New Roman"/>
          <w:bCs/>
          <w:iCs/>
          <w:sz w:val="24"/>
          <w:szCs w:val="24"/>
        </w:rPr>
      </w:pPr>
    </w:p>
    <w:p w14:paraId="0EB298DB" w14:textId="31308AEA" w:rsidR="00512BA7" w:rsidRPr="004577C1" w:rsidRDefault="00511F8F" w:rsidP="00512BA7">
      <w:pPr>
        <w:jc w:val="both"/>
        <w:rPr>
          <w:rFonts w:ascii="Times New Roman" w:eastAsia="Calibri" w:hAnsi="Times New Roman" w:cs="Times New Roman"/>
          <w:b/>
          <w:bCs/>
          <w:i/>
          <w:sz w:val="24"/>
          <w:szCs w:val="24"/>
          <w:u w:val="single"/>
        </w:rPr>
      </w:pPr>
      <w:r w:rsidRPr="004577C1">
        <w:rPr>
          <w:rFonts w:ascii="Times New Roman" w:eastAsia="Calibri" w:hAnsi="Times New Roman" w:cs="Times New Roman"/>
          <w:b/>
          <w:bCs/>
          <w:i/>
          <w:sz w:val="24"/>
          <w:szCs w:val="24"/>
          <w:u w:val="single"/>
        </w:rPr>
        <w:t xml:space="preserve">3.1.4 </w:t>
      </w:r>
      <w:r w:rsidR="001E24E8" w:rsidRPr="004577C1">
        <w:rPr>
          <w:rFonts w:ascii="Times New Roman" w:eastAsia="Calibri" w:hAnsi="Times New Roman" w:cs="Times New Roman"/>
          <w:b/>
          <w:bCs/>
          <w:i/>
          <w:sz w:val="24"/>
          <w:szCs w:val="24"/>
          <w:u w:val="single"/>
        </w:rPr>
        <w:t>Odôvodnenie</w:t>
      </w:r>
      <w:r w:rsidR="008F6ADE" w:rsidRPr="004577C1">
        <w:rPr>
          <w:rFonts w:ascii="Times New Roman" w:eastAsia="Calibri" w:hAnsi="Times New Roman" w:cs="Times New Roman"/>
          <w:b/>
          <w:bCs/>
          <w:i/>
          <w:sz w:val="24"/>
          <w:szCs w:val="24"/>
          <w:u w:val="single"/>
        </w:rPr>
        <w:t xml:space="preserve"> goldplating</w:t>
      </w:r>
      <w:r w:rsidR="0016512E" w:rsidRPr="004577C1">
        <w:rPr>
          <w:rFonts w:ascii="Times New Roman" w:eastAsia="Calibri" w:hAnsi="Times New Roman" w:cs="Times New Roman"/>
          <w:b/>
          <w:bCs/>
          <w:i/>
          <w:sz w:val="24"/>
          <w:szCs w:val="24"/>
          <w:u w:val="single"/>
        </w:rPr>
        <w:t>u</w:t>
      </w:r>
      <w:r w:rsidR="001E24E8" w:rsidRPr="004577C1">
        <w:rPr>
          <w:rFonts w:ascii="Times New Roman" w:eastAsia="Calibri" w:hAnsi="Times New Roman" w:cs="Times New Roman"/>
          <w:b/>
          <w:bCs/>
          <w:i/>
          <w:sz w:val="24"/>
          <w:szCs w:val="24"/>
          <w:u w:val="single"/>
        </w:rPr>
        <w:t xml:space="preserve"> </w:t>
      </w:r>
      <w:r w:rsidR="008F6ADE" w:rsidRPr="004577C1">
        <w:rPr>
          <w:rFonts w:ascii="Times New Roman" w:eastAsia="Calibri" w:hAnsi="Times New Roman" w:cs="Times New Roman"/>
          <w:b/>
          <w:bCs/>
          <w:i/>
          <w:sz w:val="24"/>
          <w:szCs w:val="24"/>
          <w:u w:val="single"/>
        </w:rPr>
        <w:t xml:space="preserve">podľa bodu 4 časti III </w:t>
      </w:r>
      <w:r w:rsidR="00FA6FFE" w:rsidRPr="004577C1">
        <w:rPr>
          <w:rFonts w:ascii="Times New Roman" w:eastAsia="Calibri" w:hAnsi="Times New Roman" w:cs="Times New Roman"/>
          <w:b/>
          <w:bCs/>
          <w:i/>
          <w:sz w:val="24"/>
          <w:szCs w:val="24"/>
          <w:u w:val="single"/>
        </w:rPr>
        <w:t>j</w:t>
      </w:r>
      <w:r w:rsidR="001E24E8" w:rsidRPr="004577C1">
        <w:rPr>
          <w:rFonts w:ascii="Times New Roman" w:eastAsia="Calibri" w:hAnsi="Times New Roman" w:cs="Times New Roman"/>
          <w:b/>
          <w:bCs/>
          <w:i/>
          <w:sz w:val="24"/>
          <w:szCs w:val="24"/>
          <w:u w:val="single"/>
        </w:rPr>
        <w:t xml:space="preserve">ednotnej metodiky </w:t>
      </w:r>
      <w:r w:rsidR="00400BA5" w:rsidRPr="004577C1">
        <w:rPr>
          <w:rFonts w:ascii="Times New Roman" w:eastAsia="Calibri" w:hAnsi="Times New Roman" w:cs="Times New Roman"/>
          <w:b/>
          <w:bCs/>
          <w:i/>
          <w:sz w:val="24"/>
          <w:szCs w:val="24"/>
          <w:u w:val="single"/>
        </w:rPr>
        <w:t>a </w:t>
      </w:r>
      <w:r w:rsidR="00B21D1F" w:rsidRPr="004577C1">
        <w:rPr>
          <w:rFonts w:ascii="Times New Roman" w:eastAsia="Calibri" w:hAnsi="Times New Roman" w:cs="Times New Roman"/>
          <w:b/>
          <w:bCs/>
          <w:i/>
          <w:sz w:val="24"/>
          <w:szCs w:val="24"/>
          <w:u w:val="single"/>
        </w:rPr>
        <w:t>ďalšie</w:t>
      </w:r>
      <w:r w:rsidR="00400BA5" w:rsidRPr="004577C1">
        <w:rPr>
          <w:rFonts w:ascii="Times New Roman" w:eastAsia="Calibri" w:hAnsi="Times New Roman" w:cs="Times New Roman"/>
          <w:b/>
          <w:bCs/>
          <w:i/>
          <w:sz w:val="24"/>
          <w:szCs w:val="24"/>
          <w:u w:val="single"/>
        </w:rPr>
        <w:t xml:space="preserve"> d</w:t>
      </w:r>
      <w:r w:rsidR="00512BA7" w:rsidRPr="004577C1">
        <w:rPr>
          <w:rFonts w:ascii="Times New Roman" w:eastAsia="Calibri" w:hAnsi="Times New Roman" w:cs="Times New Roman"/>
          <w:b/>
          <w:bCs/>
          <w:i/>
          <w:sz w:val="24"/>
          <w:szCs w:val="24"/>
          <w:u w:val="single"/>
        </w:rPr>
        <w:t>oplňujúce informácie</w:t>
      </w:r>
      <w:r w:rsidR="00512BA7" w:rsidRPr="004577C1">
        <w:rPr>
          <w:rStyle w:val="Odkaznapoznmkupodiarou"/>
          <w:rFonts w:ascii="Times New Roman" w:eastAsia="Calibri" w:hAnsi="Times New Roman" w:cs="Times New Roman"/>
          <w:b/>
          <w:bCs/>
          <w:i/>
          <w:sz w:val="24"/>
          <w:szCs w:val="24"/>
          <w:u w:val="single"/>
        </w:rPr>
        <w:footnoteReference w:id="2"/>
      </w:r>
      <w:r w:rsidR="00512BA7" w:rsidRPr="004577C1">
        <w:rPr>
          <w:rFonts w:ascii="Times New Roman" w:eastAsia="Calibri" w:hAnsi="Times New Roman" w:cs="Times New Roman"/>
          <w:b/>
          <w:bCs/>
          <w:i/>
          <w:sz w:val="24"/>
          <w:szCs w:val="24"/>
          <w:u w:val="single"/>
        </w:rPr>
        <w:t xml:space="preserve"> </w:t>
      </w:r>
    </w:p>
    <w:p w14:paraId="749EC593" w14:textId="77777777" w:rsidR="000C5419" w:rsidRPr="004577C1" w:rsidRDefault="000C5419" w:rsidP="000C5419">
      <w:pPr>
        <w:jc w:val="both"/>
        <w:rPr>
          <w:rFonts w:ascii="Times New Roman" w:eastAsia="Calibri" w:hAnsi="Times New Roman" w:cs="Times New Roman"/>
          <w:bCs/>
          <w:i/>
          <w:iCs/>
          <w:color w:val="000000"/>
          <w:sz w:val="24"/>
          <w:szCs w:val="24"/>
        </w:rPr>
      </w:pPr>
      <w:r w:rsidRPr="004577C1">
        <w:rPr>
          <w:rFonts w:ascii="Times New Roman" w:eastAsia="Calibri" w:hAnsi="Times New Roman" w:cs="Times New Roman"/>
          <w:bCs/>
          <w:i/>
          <w:iCs/>
          <w:color w:val="000000"/>
          <w:sz w:val="24"/>
          <w:szCs w:val="24"/>
        </w:rPr>
        <w:t xml:space="preserve">Požadované informácie </w:t>
      </w:r>
      <w:r w:rsidR="00F153D7" w:rsidRPr="004577C1">
        <w:rPr>
          <w:rFonts w:ascii="Times New Roman" w:eastAsia="Calibri" w:hAnsi="Times New Roman" w:cs="Times New Roman"/>
          <w:bCs/>
          <w:i/>
          <w:iCs/>
          <w:color w:val="000000"/>
          <w:sz w:val="24"/>
          <w:szCs w:val="24"/>
        </w:rPr>
        <w:t>uveďte</w:t>
      </w:r>
      <w:r w:rsidRPr="004577C1">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4577C1" w:rsidRDefault="0016512E" w:rsidP="0016512E">
      <w:pPr>
        <w:jc w:val="both"/>
        <w:rPr>
          <w:rFonts w:ascii="Times New Roman" w:eastAsia="Calibri" w:hAnsi="Times New Roman" w:cs="Times New Roman"/>
          <w:bCs/>
          <w:i/>
          <w:iCs/>
          <w:color w:val="000000"/>
          <w:sz w:val="24"/>
          <w:szCs w:val="24"/>
        </w:rPr>
      </w:pPr>
      <w:r w:rsidRPr="004577C1">
        <w:rPr>
          <w:rFonts w:ascii="Times New Roman" w:eastAsia="Calibri" w:hAnsi="Times New Roman" w:cs="Times New Roman"/>
          <w:bCs/>
          <w:i/>
          <w:iCs/>
          <w:color w:val="000000"/>
          <w:sz w:val="24"/>
          <w:szCs w:val="24"/>
        </w:rPr>
        <w:t>Uveďte</w:t>
      </w:r>
      <w:r w:rsidR="004239D1" w:rsidRPr="004577C1">
        <w:rPr>
          <w:rFonts w:ascii="Times New Roman" w:eastAsia="Calibri" w:hAnsi="Times New Roman" w:cs="Times New Roman"/>
          <w:bCs/>
          <w:i/>
          <w:iCs/>
          <w:color w:val="000000"/>
          <w:sz w:val="24"/>
          <w:szCs w:val="24"/>
        </w:rPr>
        <w:t xml:space="preserve"> odôvodnenie goldplatingu z hľadiska jeho nespochybniteľnej nevyhnutnosti.</w:t>
      </w:r>
      <w:r w:rsidRPr="004577C1">
        <w:rPr>
          <w:rFonts w:ascii="Times New Roman" w:eastAsia="Calibri" w:hAnsi="Times New Roman" w:cs="Times New Roman"/>
          <w:bCs/>
          <w:i/>
          <w:iCs/>
          <w:color w:val="000000"/>
          <w:sz w:val="24"/>
          <w:szCs w:val="24"/>
        </w:rPr>
        <w:t xml:space="preserve"> Odôvodnenie doložte dôkladným hodnotením prínosov a</w:t>
      </w:r>
      <w:r w:rsidR="005D39D8" w:rsidRPr="004577C1">
        <w:rPr>
          <w:rFonts w:ascii="Times New Roman" w:eastAsia="Calibri" w:hAnsi="Times New Roman" w:cs="Times New Roman"/>
          <w:bCs/>
          <w:i/>
          <w:iCs/>
          <w:color w:val="000000"/>
          <w:sz w:val="24"/>
          <w:szCs w:val="24"/>
        </w:rPr>
        <w:t> </w:t>
      </w:r>
      <w:r w:rsidRPr="004577C1">
        <w:rPr>
          <w:rFonts w:ascii="Times New Roman" w:eastAsia="Calibri" w:hAnsi="Times New Roman" w:cs="Times New Roman"/>
          <w:bCs/>
          <w:i/>
          <w:iCs/>
          <w:color w:val="000000"/>
          <w:sz w:val="24"/>
          <w:szCs w:val="24"/>
        </w:rPr>
        <w:t>nákladov</w:t>
      </w:r>
      <w:r w:rsidR="005D39D8" w:rsidRPr="004577C1">
        <w:rPr>
          <w:rFonts w:ascii="Times New Roman" w:eastAsia="Calibri" w:hAnsi="Times New Roman" w:cs="Times New Roman"/>
          <w:bCs/>
          <w:i/>
          <w:iCs/>
          <w:color w:val="000000"/>
          <w:sz w:val="24"/>
          <w:szCs w:val="24"/>
        </w:rPr>
        <w:t>. Uveďte zvážené alternatívne riešenia.</w:t>
      </w:r>
      <w:r w:rsidRPr="004577C1">
        <w:rPr>
          <w:rFonts w:ascii="Times New Roman" w:eastAsia="Calibri" w:hAnsi="Times New Roman" w:cs="Times New Roman"/>
          <w:bCs/>
          <w:i/>
          <w:iCs/>
          <w:color w:val="000000"/>
          <w:sz w:val="24"/>
          <w:szCs w:val="24"/>
        </w:rPr>
        <w:t>.</w:t>
      </w:r>
    </w:p>
    <w:p w14:paraId="6A18C579" w14:textId="0633763E" w:rsidR="000C5419" w:rsidRPr="004577C1" w:rsidRDefault="00990813" w:rsidP="000C5419">
      <w:pPr>
        <w:jc w:val="both"/>
        <w:rPr>
          <w:rFonts w:ascii="Times New Roman" w:eastAsia="Calibri" w:hAnsi="Times New Roman" w:cs="Times New Roman"/>
          <w:bCs/>
          <w:i/>
          <w:iCs/>
          <w:color w:val="000000"/>
          <w:sz w:val="24"/>
          <w:szCs w:val="24"/>
        </w:rPr>
      </w:pPr>
      <w:r w:rsidRPr="004577C1">
        <w:rPr>
          <w:rFonts w:ascii="Times New Roman" w:eastAsia="Calibri" w:hAnsi="Times New Roman" w:cs="Times New Roman"/>
          <w:bCs/>
          <w:i/>
          <w:iCs/>
          <w:color w:val="000000"/>
          <w:sz w:val="24"/>
          <w:szCs w:val="24"/>
        </w:rPr>
        <w:t xml:space="preserve">Zároveň </w:t>
      </w:r>
      <w:r w:rsidR="00D5309D" w:rsidRPr="004577C1">
        <w:rPr>
          <w:rFonts w:ascii="Times New Roman" w:eastAsia="Calibri" w:hAnsi="Times New Roman" w:cs="Times New Roman"/>
          <w:bCs/>
          <w:i/>
          <w:iCs/>
          <w:color w:val="000000"/>
          <w:sz w:val="24"/>
          <w:szCs w:val="24"/>
        </w:rPr>
        <w:t>uveďte</w:t>
      </w:r>
      <w:r w:rsidR="000C5419" w:rsidRPr="004577C1">
        <w:rPr>
          <w:rFonts w:ascii="Times New Roman" w:eastAsia="Calibri" w:hAnsi="Times New Roman" w:cs="Times New Roman"/>
          <w:bCs/>
          <w:i/>
          <w:iCs/>
          <w:color w:val="000000"/>
          <w:sz w:val="24"/>
          <w:szCs w:val="24"/>
        </w:rPr>
        <w:t xml:space="preserve"> konkrétne informácie súvisiace s </w:t>
      </w:r>
      <w:r w:rsidRPr="004577C1">
        <w:rPr>
          <w:rFonts w:ascii="Times New Roman" w:eastAsia="Calibri" w:hAnsi="Times New Roman" w:cs="Times New Roman"/>
          <w:bCs/>
          <w:i/>
          <w:iCs/>
          <w:color w:val="000000"/>
          <w:sz w:val="24"/>
          <w:szCs w:val="24"/>
        </w:rPr>
        <w:t xml:space="preserve">kategóriou </w:t>
      </w:r>
      <w:r w:rsidR="000C5419" w:rsidRPr="004577C1">
        <w:rPr>
          <w:rFonts w:ascii="Times New Roman" w:eastAsia="Calibri" w:hAnsi="Times New Roman" w:cs="Times New Roman"/>
          <w:bCs/>
          <w:i/>
          <w:iCs/>
          <w:color w:val="000000"/>
          <w:sz w:val="24"/>
          <w:szCs w:val="24"/>
        </w:rPr>
        <w:t>goldplatingu</w:t>
      </w:r>
      <w:r w:rsidRPr="004577C1">
        <w:rPr>
          <w:rFonts w:ascii="Times New Roman" w:eastAsia="Calibri" w:hAnsi="Times New Roman" w:cs="Times New Roman"/>
          <w:bCs/>
          <w:i/>
          <w:iCs/>
          <w:color w:val="000000"/>
          <w:sz w:val="24"/>
          <w:szCs w:val="24"/>
        </w:rPr>
        <w:t xml:space="preserve"> podľa </w:t>
      </w:r>
      <w:r w:rsidR="00D114ED" w:rsidRPr="004577C1">
        <w:rPr>
          <w:rFonts w:ascii="Times New Roman" w:eastAsia="Calibri" w:hAnsi="Times New Roman" w:cs="Times New Roman"/>
          <w:bCs/>
          <w:i/>
          <w:iCs/>
          <w:color w:val="000000"/>
          <w:sz w:val="24"/>
          <w:szCs w:val="24"/>
        </w:rPr>
        <w:t>jednotnej metodiky</w:t>
      </w:r>
      <w:r w:rsidR="000C5419" w:rsidRPr="004577C1">
        <w:rPr>
          <w:rFonts w:ascii="Times New Roman" w:eastAsia="Calibri" w:hAnsi="Times New Roman" w:cs="Times New Roman"/>
          <w:bCs/>
          <w:i/>
          <w:iCs/>
          <w:color w:val="000000"/>
          <w:sz w:val="24"/>
          <w:szCs w:val="24"/>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535CABE4" w14:textId="77777777" w:rsidR="00D114ED" w:rsidRPr="004577C1" w:rsidRDefault="00D114ED" w:rsidP="00751DA9">
      <w:pPr>
        <w:jc w:val="both"/>
        <w:rPr>
          <w:rFonts w:ascii="Times New Roman" w:eastAsia="Calibri" w:hAnsi="Times New Roman" w:cs="Times New Roman"/>
          <w:bCs/>
          <w:i/>
          <w:iCs/>
          <w:sz w:val="24"/>
          <w:szCs w:val="24"/>
        </w:rPr>
      </w:pPr>
      <w:r w:rsidRPr="004577C1">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0D3956D3" w14:textId="07EA9443" w:rsidR="00A63A61" w:rsidRPr="004577C1" w:rsidRDefault="00A63A61" w:rsidP="00DD4C05">
      <w:pPr>
        <w:jc w:val="both"/>
        <w:rPr>
          <w:rFonts w:ascii="Times New Roman" w:eastAsia="Calibri" w:hAnsi="Times New Roman" w:cs="Times New Roman"/>
          <w:sz w:val="24"/>
          <w:szCs w:val="24"/>
        </w:rPr>
      </w:pPr>
    </w:p>
    <w:p w14:paraId="00B3C1A3" w14:textId="0F680368" w:rsidR="00DD4C05" w:rsidRPr="004577C1" w:rsidRDefault="00DD4C0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Čl. 2 ods. 4 </w:t>
      </w:r>
      <w:r w:rsidR="00353765" w:rsidRPr="004577C1">
        <w:rPr>
          <w:rFonts w:ascii="Times New Roman" w:eastAsia="Calibri" w:hAnsi="Times New Roman" w:cs="Times New Roman"/>
          <w:sz w:val="24"/>
          <w:szCs w:val="24"/>
        </w:rPr>
        <w:t xml:space="preserve">písm. b) </w:t>
      </w:r>
      <w:r w:rsidRPr="004577C1">
        <w:rPr>
          <w:rFonts w:ascii="Times New Roman" w:eastAsia="Calibri" w:hAnsi="Times New Roman" w:cs="Times New Roman"/>
          <w:sz w:val="24"/>
          <w:szCs w:val="24"/>
        </w:rPr>
        <w:t>(§ 1 ods. 4 návrhu zákona) - Goldplating typu c) – nevyužitie výnimky. V čl. 2 ods. 4 písm. b) smernice je upravené, že na zmluvy o spotrebiteľskom úvere vo forme prekročenia sa vzťahuje aj čl. 18 smernice (posudzovanie úverovej bonity), pokiaľ členské štáty nestanovia inak. Aktuálna právna úprava v zákone č. 129/2010 Z. z. neupravuje, že sa posudzovanie úverovej bonity vzťahuje na takéto zmluvy. V záujme odbremenenia veriteľov od posudzovania úverovej bonity pri takýchto zmluvách sa nevyužíva voľba stanovená smernicou, ale ponecháva sa doterajšia právna úprava</w:t>
      </w:r>
      <w:r w:rsidR="003E24AB" w:rsidRPr="004577C1">
        <w:rPr>
          <w:rFonts w:ascii="Times New Roman" w:eastAsia="Calibri" w:hAnsi="Times New Roman" w:cs="Times New Roman"/>
          <w:sz w:val="24"/>
          <w:szCs w:val="24"/>
        </w:rPr>
        <w:t xml:space="preserve"> </w:t>
      </w:r>
      <w:r w:rsidR="00DB6A09" w:rsidRPr="004577C1">
        <w:rPr>
          <w:rFonts w:ascii="Times New Roman" w:eastAsia="Calibri" w:hAnsi="Times New Roman" w:cs="Times New Roman"/>
          <w:sz w:val="24"/>
          <w:szCs w:val="24"/>
        </w:rPr>
        <w:t xml:space="preserve">(nedochádza k vyčísleniu, keďže sa </w:t>
      </w:r>
      <w:r w:rsidR="00DB6A09" w:rsidRPr="004577C1">
        <w:rPr>
          <w:rFonts w:ascii="Times New Roman" w:eastAsia="Calibri" w:hAnsi="Times New Roman" w:cs="Times New Roman"/>
          <w:sz w:val="24"/>
          <w:szCs w:val="24"/>
        </w:rPr>
        <w:lastRenderedPageBreak/>
        <w:t xml:space="preserve">ponecháva doterajšia právna úprava a nemenia sa náklady veriteľov). </w:t>
      </w:r>
      <w:r w:rsidRPr="004577C1">
        <w:rPr>
          <w:rFonts w:ascii="Times New Roman" w:eastAsia="Calibri" w:hAnsi="Times New Roman" w:cs="Times New Roman"/>
          <w:sz w:val="24"/>
          <w:szCs w:val="24"/>
        </w:rPr>
        <w:t>Predkladateľ považuje tento goldplating za pozitívny</w:t>
      </w:r>
      <w:r w:rsidR="004F727B" w:rsidRPr="004577C1">
        <w:rPr>
          <w:rFonts w:ascii="Times New Roman" w:eastAsia="Calibri" w:hAnsi="Times New Roman" w:cs="Times New Roman"/>
          <w:sz w:val="24"/>
          <w:szCs w:val="24"/>
        </w:rPr>
        <w:t xml:space="preserve"> na podnikateľské prostredie, ale môže vytvoriť negatívny vplyv na sociálnu oblasť, kedy sú klientom poskytované úvery formou prekročenia bez nutnosti posudzovania bonity klientov.</w:t>
      </w:r>
    </w:p>
    <w:p w14:paraId="732C6189" w14:textId="77777777" w:rsidR="00DD4C05" w:rsidRPr="004577C1" w:rsidRDefault="00DD4C05" w:rsidP="00DD4C05">
      <w:pPr>
        <w:jc w:val="both"/>
        <w:rPr>
          <w:rFonts w:ascii="Times New Roman" w:eastAsia="Calibri" w:hAnsi="Times New Roman" w:cs="Times New Roman"/>
          <w:sz w:val="24"/>
          <w:szCs w:val="24"/>
        </w:rPr>
      </w:pPr>
    </w:p>
    <w:p w14:paraId="08A6CA25" w14:textId="54CF9980" w:rsidR="00DD4C05" w:rsidRPr="004577C1" w:rsidRDefault="00DD4C0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Čl. 2 ods. 7 (§ 1 ods. 5 návrhu zákona) - Goldplating typu </w:t>
      </w:r>
      <w:r w:rsidR="00CC305D" w:rsidRPr="004577C1">
        <w:rPr>
          <w:rFonts w:ascii="Times New Roman" w:eastAsia="Calibri" w:hAnsi="Times New Roman" w:cs="Times New Roman"/>
          <w:sz w:val="24"/>
          <w:szCs w:val="24"/>
        </w:rPr>
        <w:t>f</w:t>
      </w:r>
      <w:r w:rsidRPr="004577C1">
        <w:rPr>
          <w:rFonts w:ascii="Times New Roman" w:eastAsia="Calibri" w:hAnsi="Times New Roman" w:cs="Times New Roman"/>
          <w:sz w:val="24"/>
          <w:szCs w:val="24"/>
        </w:rPr>
        <w:t xml:space="preserve">) – </w:t>
      </w:r>
      <w:r w:rsidR="00CC305D" w:rsidRPr="004577C1">
        <w:rPr>
          <w:rFonts w:ascii="Times New Roman" w:eastAsia="Calibri" w:hAnsi="Times New Roman" w:cs="Times New Roman"/>
          <w:sz w:val="24"/>
          <w:szCs w:val="24"/>
        </w:rPr>
        <w:t>zachovanie existujúcej právnej úpravy</w:t>
      </w:r>
      <w:r w:rsidRPr="004577C1">
        <w:rPr>
          <w:rFonts w:ascii="Times New Roman" w:eastAsia="Calibri" w:hAnsi="Times New Roman" w:cs="Times New Roman"/>
          <w:sz w:val="24"/>
          <w:szCs w:val="24"/>
        </w:rPr>
        <w:t>. Národná voľba, ktorá je využitá a ktorá upravuje, že ak je spotrebiteľ v omeškaní podľa pôvodnej úverovej zmluvy a veriteľ pristúpi na zmenu zmluvy, ktorej účelom je odvrátenie prípadného súdneho konania, pričom záväzky pre spotrebiteľa nebudú ako celok menej výhodné v porovnaní s pôvodnou zmluvou, použijú sa na túto novú zmluvu len niektoré ustanovenia návrhu zákona. De facto dochádza len k odloženiu platieb, či zmene metódy splácania, resp. reštrukturalizácií úveru, a preto nie je nevyhnutné, aby sa použili všetky ustanovenia návrhu zákona týkajúce sa uzatvárania zmluvy o spotrebiteľskom úvere, resp. o posudzovaní úverovej bonity spotrebiteľa. V súčasnosti je už platná takáto právna úprava v zákone č. 129/2010 Z. z.</w:t>
      </w:r>
      <w:r w:rsidR="007A6EF0" w:rsidRPr="004577C1">
        <w:rPr>
          <w:rFonts w:ascii="Times New Roman" w:eastAsia="Calibri" w:hAnsi="Times New Roman" w:cs="Times New Roman"/>
          <w:sz w:val="24"/>
          <w:szCs w:val="24"/>
        </w:rPr>
        <w:t xml:space="preserve"> </w:t>
      </w:r>
      <w:r w:rsidR="00DB6A09" w:rsidRPr="004577C1">
        <w:rPr>
          <w:rFonts w:ascii="Times New Roman" w:eastAsia="Calibri" w:hAnsi="Times New Roman" w:cs="Times New Roman"/>
          <w:sz w:val="24"/>
          <w:szCs w:val="24"/>
        </w:rPr>
        <w:t xml:space="preserve">(nedochádza k vyčísleniu, keďže sa ponecháva doterajšia právna úprava a nemenia sa náklady veriteľov). </w:t>
      </w:r>
      <w:r w:rsidRPr="004577C1">
        <w:rPr>
          <w:rFonts w:ascii="Times New Roman" w:eastAsia="Calibri" w:hAnsi="Times New Roman" w:cs="Times New Roman"/>
          <w:sz w:val="24"/>
          <w:szCs w:val="24"/>
        </w:rPr>
        <w:t>Predkladateľ považuje tento goldplating za pozitívny</w:t>
      </w:r>
      <w:r w:rsidR="004F727B" w:rsidRPr="004577C1">
        <w:rPr>
          <w:rFonts w:ascii="Times New Roman" w:eastAsia="Calibri" w:hAnsi="Times New Roman" w:cs="Times New Roman"/>
          <w:sz w:val="24"/>
          <w:szCs w:val="24"/>
        </w:rPr>
        <w:t xml:space="preserve"> na podnikateľské prostredie</w:t>
      </w:r>
      <w:r w:rsidR="00235AC7" w:rsidRPr="004577C1">
        <w:rPr>
          <w:rFonts w:ascii="Times New Roman" w:eastAsia="Calibri" w:hAnsi="Times New Roman" w:cs="Times New Roman"/>
          <w:sz w:val="24"/>
          <w:szCs w:val="24"/>
        </w:rPr>
        <w:t>. N</w:t>
      </w:r>
      <w:r w:rsidR="004F727B" w:rsidRPr="004577C1">
        <w:rPr>
          <w:rFonts w:ascii="Times New Roman" w:eastAsia="Calibri" w:hAnsi="Times New Roman" w:cs="Times New Roman"/>
          <w:sz w:val="24"/>
          <w:szCs w:val="24"/>
        </w:rPr>
        <w:t xml:space="preserve">egatívne vplyvy </w:t>
      </w:r>
      <w:r w:rsidR="00235AC7" w:rsidRPr="004577C1">
        <w:rPr>
          <w:rFonts w:ascii="Times New Roman" w:eastAsia="Calibri" w:hAnsi="Times New Roman" w:cs="Times New Roman"/>
          <w:sz w:val="24"/>
          <w:szCs w:val="24"/>
        </w:rPr>
        <w:t xml:space="preserve">sa nepredpokladajú </w:t>
      </w:r>
      <w:r w:rsidR="004F727B" w:rsidRPr="004577C1">
        <w:rPr>
          <w:rFonts w:ascii="Times New Roman" w:eastAsia="Calibri" w:hAnsi="Times New Roman" w:cs="Times New Roman"/>
          <w:sz w:val="24"/>
          <w:szCs w:val="24"/>
        </w:rPr>
        <w:t>na žiadnu oblasť</w:t>
      </w:r>
      <w:r w:rsidRPr="004577C1">
        <w:rPr>
          <w:rFonts w:ascii="Times New Roman" w:eastAsia="Calibri" w:hAnsi="Times New Roman" w:cs="Times New Roman"/>
          <w:sz w:val="24"/>
          <w:szCs w:val="24"/>
        </w:rPr>
        <w:t xml:space="preserve">. </w:t>
      </w:r>
    </w:p>
    <w:p w14:paraId="01A5AD36" w14:textId="77777777" w:rsidR="00DD4C05" w:rsidRPr="004577C1" w:rsidRDefault="00DD4C05" w:rsidP="00DD4C05">
      <w:pPr>
        <w:jc w:val="both"/>
        <w:rPr>
          <w:rFonts w:ascii="Times New Roman" w:eastAsia="Calibri" w:hAnsi="Times New Roman" w:cs="Times New Roman"/>
          <w:sz w:val="24"/>
          <w:szCs w:val="24"/>
        </w:rPr>
      </w:pPr>
    </w:p>
    <w:p w14:paraId="4BF293D5" w14:textId="6F072F37" w:rsidR="00DD4C05" w:rsidRPr="004577C1" w:rsidRDefault="00DD4C0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Čl. 2 ods. 8 (§ 1 ods. 6 návrhu zákona) - Goldplating typu g) – iné. Národná voľba, ktorú umožňuje smernica v ustanovení čl. 2 ods. 8 bola využitá. Táto národná voľba sa týka zmlúv o úvere s celkovou výškou úveru nižšou ako 200 eur, zmlúv o úvere poskytnutom bez úroku a bez akýchkoľvek iných poplatkov a len s obmedzenými poplatkami, ktoré má spotrebiteľ zaplatiť za oneskorené platby, a zmlúv o úvere, ktoré sa majú splatiť do troch mesiacov len so zanedbateľnými poplatkami. Tieto úvery nie sú v súčasnosti považované za spotrebiteľský úver a nespadajú pod rozsah pôsobnosti zákona č. 129/2010 Z. z. Keďže sa tieto úvery dostávajú do rozsahu pôsobnosti návrhu zákona, cieľom je vylúčiť uplatňovanie vymedzeného a obmedzeného počtu ustanovení návrhu zákona týkajúcich sa reklamy, predzmluvných informácií a zmluvných informácií, aby sa zabránilo zbytočnému zaťaženiu veriteľov, pričom sa zohľadňujú osobitosti trhu a osobitné charakteristiky týchto zmlúv o úvere, ako napríklad ich kratšie trvanie, a zároveň sa zabezpečuje vyššia úroveň ochrany spotrebiteľa. Predkladateľ považuje</w:t>
      </w:r>
      <w:r w:rsidR="004F727B" w:rsidRPr="004577C1">
        <w:rPr>
          <w:rFonts w:ascii="Times New Roman" w:eastAsia="Calibri" w:hAnsi="Times New Roman" w:cs="Times New Roman"/>
          <w:sz w:val="24"/>
          <w:szCs w:val="24"/>
        </w:rPr>
        <w:t xml:space="preserve"> tento goldplating za pozitívny na podnikateľské prostredie, ale môže vytvoriť negatívny vplyv na sociálnu oblasť, kedy sú klientom poskytované určité úvery za menej prísnych podmienok.</w:t>
      </w:r>
      <w:r w:rsidR="00394CD4" w:rsidRPr="004577C1">
        <w:rPr>
          <w:rFonts w:ascii="Times New Roman" w:eastAsia="Calibri" w:hAnsi="Times New Roman" w:cs="Times New Roman"/>
          <w:sz w:val="24"/>
          <w:szCs w:val="24"/>
        </w:rPr>
        <w:t xml:space="preserve"> Predmetný goldplating sa týka regulácie č. 21 uvedenej v tabuľke č. 2 - Výpočet vplyvov jednotlivých regulácií.</w:t>
      </w:r>
    </w:p>
    <w:p w14:paraId="341E3A75" w14:textId="77777777" w:rsidR="00DD4C05" w:rsidRPr="004577C1" w:rsidRDefault="00DD4C05" w:rsidP="00DD4C05">
      <w:pPr>
        <w:jc w:val="both"/>
        <w:rPr>
          <w:rFonts w:ascii="Times New Roman" w:eastAsia="Calibri" w:hAnsi="Times New Roman" w:cs="Times New Roman"/>
          <w:sz w:val="24"/>
          <w:szCs w:val="24"/>
        </w:rPr>
      </w:pPr>
    </w:p>
    <w:p w14:paraId="06B564E9" w14:textId="058B148C" w:rsidR="00DD4C05" w:rsidRPr="004577C1" w:rsidRDefault="0035376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w:t>
      </w:r>
      <w:r w:rsidR="00DD4C05" w:rsidRPr="004577C1">
        <w:rPr>
          <w:rFonts w:ascii="Times New Roman" w:eastAsia="Calibri" w:hAnsi="Times New Roman" w:cs="Times New Roman"/>
          <w:sz w:val="24"/>
          <w:szCs w:val="24"/>
        </w:rPr>
        <w:t xml:space="preserve">l. 8 ods. 8 (§ 5 ods. 6 písm. d) až f) návrhu zákona) - Goldplating typu b) – navýšenie požiadaviek. Národná voľba, ktorú umožňuje smernica v ustanovení čl. 8 ods. 8, bola využitá, teda  zakazuje sa reklama o spotrebiteľskom úvere, ktorá zdôrazňuje jednoduchosť </w:t>
      </w:r>
      <w:r w:rsidR="005643F7" w:rsidRPr="004577C1">
        <w:rPr>
          <w:rFonts w:ascii="Times New Roman" w:eastAsia="Calibri" w:hAnsi="Times New Roman" w:cs="Times New Roman"/>
          <w:sz w:val="24"/>
          <w:szCs w:val="24"/>
        </w:rPr>
        <w:t>splnenia podmienok potrebných na získanie spotrebiteľského úveru</w:t>
      </w:r>
      <w:r w:rsidR="00DD4C05" w:rsidRPr="004577C1">
        <w:rPr>
          <w:rFonts w:ascii="Times New Roman" w:eastAsia="Calibri" w:hAnsi="Times New Roman" w:cs="Times New Roman"/>
          <w:sz w:val="24"/>
          <w:szCs w:val="24"/>
        </w:rPr>
        <w:t xml:space="preserve">, </w:t>
      </w:r>
      <w:r w:rsidR="005643F7" w:rsidRPr="004577C1">
        <w:rPr>
          <w:rFonts w:ascii="Times New Roman" w:eastAsia="Calibri" w:hAnsi="Times New Roman" w:cs="Times New Roman"/>
          <w:sz w:val="24"/>
          <w:szCs w:val="24"/>
        </w:rPr>
        <w:t xml:space="preserve">ktorá </w:t>
      </w:r>
      <w:r w:rsidR="00DD4C05" w:rsidRPr="004577C1">
        <w:rPr>
          <w:rFonts w:ascii="Times New Roman" w:eastAsia="Calibri" w:hAnsi="Times New Roman" w:cs="Times New Roman"/>
          <w:sz w:val="24"/>
          <w:szCs w:val="24"/>
        </w:rPr>
        <w:t xml:space="preserve">uvádza, že zľava z ceny tovaru alebo služby je podmienená uzavretím zmluvy o spotrebiteľskom úvere, alebo ponúka možnosť odkladu splátok spotrebiteľského úveru v trvaní viac ako tri mesiace. Ustanovenie je rozšírením zákazov ohľadom reklamy o spotrebiteľskom úvere, ktoré musia byť transponované do návrhu zákona. </w:t>
      </w:r>
      <w:r w:rsidR="00744AD8" w:rsidRPr="004577C1">
        <w:rPr>
          <w:rFonts w:ascii="Times New Roman" w:eastAsia="Calibri" w:hAnsi="Times New Roman" w:cs="Times New Roman"/>
          <w:sz w:val="24"/>
          <w:szCs w:val="24"/>
        </w:rPr>
        <w:t xml:space="preserve">Ustanovenie je nevyhnutné na účely zvýšenia ochrany finančného </w:t>
      </w:r>
      <w:r w:rsidR="00744AD8" w:rsidRPr="004577C1">
        <w:rPr>
          <w:rFonts w:ascii="Times New Roman" w:eastAsia="Calibri" w:hAnsi="Times New Roman" w:cs="Times New Roman"/>
          <w:sz w:val="24"/>
          <w:szCs w:val="24"/>
        </w:rPr>
        <w:lastRenderedPageBreak/>
        <w:t xml:space="preserve">spotrebiteľa, posilnenia právnej istoty a v neposlednom rade aj z hľadiska stále pretrvávajúcej nízkej úrovne finančnej gramotnosti určitej časti finančných spotrebiteľov. </w:t>
      </w:r>
      <w:r w:rsidR="00DD4C05" w:rsidRPr="004577C1">
        <w:rPr>
          <w:rFonts w:ascii="Times New Roman" w:eastAsia="Calibri" w:hAnsi="Times New Roman" w:cs="Times New Roman"/>
          <w:sz w:val="24"/>
          <w:szCs w:val="24"/>
        </w:rPr>
        <w:t xml:space="preserve">Z dôvodu zvýšenia ochrany spotrebiteľa na finančnom trhu, predkladateľ identifikoval v danom ustanovení návrhu zákona goldplating, ktorý má negatívny vplyv na podnikateľské prostredie, ale pozitívny sociálny vplyv na spotrebiteľov. </w:t>
      </w:r>
      <w:r w:rsidR="00394CD4" w:rsidRPr="004577C1">
        <w:rPr>
          <w:rFonts w:ascii="Times New Roman" w:eastAsia="Calibri" w:hAnsi="Times New Roman" w:cs="Times New Roman"/>
          <w:sz w:val="24"/>
          <w:szCs w:val="24"/>
        </w:rPr>
        <w:t>Predmetný goldplating sa týka regulácie č. 22 uvedenej v tabuľke č. 2 - Výpočet vplyvov jednotlivých regulácií.</w:t>
      </w:r>
    </w:p>
    <w:p w14:paraId="77ED0047" w14:textId="77777777" w:rsidR="00DD4C05" w:rsidRPr="004577C1" w:rsidRDefault="00DD4C05" w:rsidP="00DD4C05">
      <w:pPr>
        <w:jc w:val="both"/>
        <w:rPr>
          <w:rFonts w:ascii="Times New Roman" w:eastAsia="Calibri" w:hAnsi="Times New Roman" w:cs="Times New Roman"/>
          <w:sz w:val="24"/>
          <w:szCs w:val="24"/>
        </w:rPr>
      </w:pPr>
    </w:p>
    <w:p w14:paraId="5A30A87D" w14:textId="5E773AE9" w:rsidR="00DD4C05" w:rsidRPr="004577C1" w:rsidRDefault="0035376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w:t>
      </w:r>
      <w:r w:rsidR="00DD4C05" w:rsidRPr="004577C1">
        <w:rPr>
          <w:rFonts w:ascii="Times New Roman" w:eastAsia="Calibri" w:hAnsi="Times New Roman" w:cs="Times New Roman"/>
          <w:sz w:val="24"/>
          <w:szCs w:val="24"/>
        </w:rPr>
        <w:t>l. 14 ods. 2 a 3 (§ 4 ods. 4 a 5 návrhu zákona) -  Goldplating typu b) – navýšenie požiadaviek. Národné voľby, ktoré umožňuje smernica v ustanovení čl. 14 ods. 2 a 3, boli využité. Veritelia pri zohľadnení hľadiska proporcionality môžu od spotrebiteľa požadovať, aby mal uzavreté príslušné poistenie na zaručenie splatenia úveru alebo aby poistil hodnotu zábezpeky. Spotrebiteľ by však mal mať možnosť zvoliť si svojho poskytovateľa poistenia. Navyše v záujme zabezpečenia návratnosti finančných prostriedkov od spotrebiteľov sa veriteľom poskytuje možnosť požadovať od spotrebiteľa otvorenie alebo ponechanie si platobného účtu alebo sporiaceho účtu za účelom zhromažďovania finančných prostriedkov na splácanie spotrebiteľského úveru, informovania o splácaní spotrebiteľského úveru, sporenia z dôvodu získania spotrebiteľského úveru, a poskytnutia dodatočnej zábezpeky veriteľovi v prípade omeškania so splácaním spotrebiteľského úveru.</w:t>
      </w:r>
      <w:r w:rsidR="00774EC8" w:rsidRPr="004577C1">
        <w:rPr>
          <w:rFonts w:ascii="Times New Roman" w:eastAsia="Calibri" w:hAnsi="Times New Roman" w:cs="Times New Roman"/>
          <w:sz w:val="24"/>
          <w:szCs w:val="24"/>
        </w:rPr>
        <w:t xml:space="preserve"> V súčasnosti nie je </w:t>
      </w:r>
      <w:r w:rsidR="00224730" w:rsidRPr="004577C1">
        <w:rPr>
          <w:rFonts w:ascii="Times New Roman" w:eastAsia="Calibri" w:hAnsi="Times New Roman" w:cs="Times New Roman"/>
          <w:sz w:val="24"/>
          <w:szCs w:val="24"/>
        </w:rPr>
        <w:t xml:space="preserve">možné </w:t>
      </w:r>
      <w:r w:rsidR="00774EC8" w:rsidRPr="004577C1">
        <w:rPr>
          <w:rFonts w:ascii="Times New Roman" w:eastAsia="Calibri" w:hAnsi="Times New Roman" w:cs="Times New Roman"/>
          <w:sz w:val="24"/>
          <w:szCs w:val="24"/>
        </w:rPr>
        <w:t>predmetné opatrenia vyčísliť (bližšie pozri časť 3.4)</w:t>
      </w:r>
      <w:r w:rsidR="006C41C1" w:rsidRPr="004577C1">
        <w:rPr>
          <w:rFonts w:ascii="Times New Roman" w:eastAsia="Calibri" w:hAnsi="Times New Roman" w:cs="Times New Roman"/>
          <w:sz w:val="24"/>
          <w:szCs w:val="24"/>
        </w:rPr>
        <w:t>.</w:t>
      </w:r>
      <w:r w:rsidR="00DD4C05" w:rsidRPr="004577C1">
        <w:rPr>
          <w:rFonts w:ascii="Times New Roman" w:eastAsia="Calibri" w:hAnsi="Times New Roman" w:cs="Times New Roman"/>
          <w:sz w:val="24"/>
          <w:szCs w:val="24"/>
        </w:rPr>
        <w:t xml:space="preserve"> Predkladateľ považuje</w:t>
      </w:r>
      <w:r w:rsidR="00B07D3A" w:rsidRPr="004577C1">
        <w:rPr>
          <w:rFonts w:ascii="Times New Roman" w:eastAsia="Calibri" w:hAnsi="Times New Roman" w:cs="Times New Roman"/>
          <w:sz w:val="24"/>
          <w:szCs w:val="24"/>
        </w:rPr>
        <w:t xml:space="preserve"> tento goldplating za pozitívny na podnikateľské prostredie, ale môže vytvoriť negatívny vplyv na sociálnu oblasť z dôvodu zaťaženia spotrebiteľov ďalšími poplatkovými povinnosťami ohľadom vybraných produktov. </w:t>
      </w:r>
      <w:r w:rsidR="00DD4C05" w:rsidRPr="004577C1">
        <w:rPr>
          <w:rFonts w:ascii="Times New Roman" w:eastAsia="Calibri" w:hAnsi="Times New Roman" w:cs="Times New Roman"/>
          <w:sz w:val="24"/>
          <w:szCs w:val="24"/>
        </w:rPr>
        <w:t xml:space="preserve"> </w:t>
      </w:r>
    </w:p>
    <w:p w14:paraId="17BCB7A0" w14:textId="77777777" w:rsidR="00DD4C05" w:rsidRPr="004577C1" w:rsidRDefault="00DD4C05" w:rsidP="00DD4C05">
      <w:pPr>
        <w:jc w:val="both"/>
        <w:rPr>
          <w:rFonts w:ascii="Times New Roman" w:eastAsia="Calibri" w:hAnsi="Times New Roman" w:cs="Times New Roman"/>
          <w:sz w:val="24"/>
          <w:szCs w:val="24"/>
        </w:rPr>
      </w:pPr>
    </w:p>
    <w:p w14:paraId="59DB7439" w14:textId="6E2EBF13" w:rsidR="00353765" w:rsidRPr="004577C1" w:rsidRDefault="0035376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Čl. 16 ods. 4 (</w:t>
      </w:r>
      <w:r w:rsidR="00FE0050" w:rsidRPr="004577C1">
        <w:rPr>
          <w:rFonts w:ascii="Times New Roman" w:eastAsia="Calibri" w:hAnsi="Times New Roman" w:cs="Times New Roman"/>
          <w:sz w:val="24"/>
          <w:szCs w:val="24"/>
        </w:rPr>
        <w:t>§ 4</w:t>
      </w:r>
      <w:r w:rsidR="009B0CE8" w:rsidRPr="004577C1">
        <w:rPr>
          <w:rFonts w:ascii="Times New Roman" w:eastAsia="Calibri" w:hAnsi="Times New Roman" w:cs="Times New Roman"/>
          <w:sz w:val="24"/>
          <w:szCs w:val="24"/>
        </w:rPr>
        <w:t>3</w:t>
      </w:r>
      <w:r w:rsidR="00FE0050" w:rsidRPr="004577C1">
        <w:rPr>
          <w:rFonts w:ascii="Times New Roman" w:eastAsia="Calibri" w:hAnsi="Times New Roman" w:cs="Times New Roman"/>
          <w:sz w:val="24"/>
          <w:szCs w:val="24"/>
        </w:rPr>
        <w:t xml:space="preserve"> ods. 5 návrhu zákona</w:t>
      </w:r>
      <w:r w:rsidRPr="004577C1">
        <w:rPr>
          <w:rFonts w:ascii="Times New Roman" w:eastAsia="Calibri" w:hAnsi="Times New Roman" w:cs="Times New Roman"/>
          <w:sz w:val="24"/>
          <w:szCs w:val="24"/>
        </w:rPr>
        <w:t>) - Goldplating typu b) – navýšenie požiadaviek. V uvedenom prípade zákazu používania pojmom „poradenstvo“ a „poradca“ pre veriteľa, resp. sprostredkovateľa úverov, sa vyslovene špecifikuje situácia, ktorá je v súčasnosti už platná a existujúca na finančnom trhu. Poradenstvo vo svojej podstate vykonáva podľa slovenského právneho poriadku (zákon č. 186/2009 Z. z.) iba finančný poradca. S cieľom, aby sa predišlo rozdielnemu výkladu, sa zavádza zákaz pre veriteľa a finančného agenta, aby používali pojmy „poradenstvo“ a „poradca“. Ide teda len o vyjasnenie, kto môže a kto nemôže tieto pojmy používať (nedochádza k vyčísleniu, keďže sa ponecháva doterajšia právna úprava a nemenia sa náklady).  Predkladateľ považuje tento goldplating vzhľadom na opísanú situáciu za negatívny na podnikateľské prostredie, ale bez dodatočného zaťaženia pre podnikateľov.</w:t>
      </w:r>
    </w:p>
    <w:p w14:paraId="3158B0FC" w14:textId="77777777" w:rsidR="00353765" w:rsidRPr="004577C1" w:rsidRDefault="00353765" w:rsidP="00DD4C05">
      <w:pPr>
        <w:jc w:val="both"/>
        <w:rPr>
          <w:rFonts w:ascii="Times New Roman" w:eastAsia="Calibri" w:hAnsi="Times New Roman" w:cs="Times New Roman"/>
          <w:sz w:val="24"/>
          <w:szCs w:val="24"/>
        </w:rPr>
      </w:pPr>
    </w:p>
    <w:p w14:paraId="3DDD4466" w14:textId="05B6715D" w:rsidR="00DD4C05" w:rsidRPr="004577C1" w:rsidRDefault="0035376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w:t>
      </w:r>
      <w:r w:rsidR="00DD4C05" w:rsidRPr="004577C1">
        <w:rPr>
          <w:rFonts w:ascii="Times New Roman" w:eastAsia="Calibri" w:hAnsi="Times New Roman" w:cs="Times New Roman"/>
          <w:sz w:val="24"/>
          <w:szCs w:val="24"/>
        </w:rPr>
        <w:t xml:space="preserve">l. 16 ods. 6 (§ 10 ods. 1 zákona č. 186/2009 Z. z.) - Goldplating typu a) – rozšírenie na iné subjekty. Národná voľba, ktorú umožňuje smernica v ustanovení čl. 16 ods. 6 druhý pododsek písm. d), bola využitá. Poradenské služby v oblasti poskytovania spotrebiteľských úverov sú oprávnení vykonávať aj finanční poradcovia podľa zákona č. 186/2009 Z. z. Vzhľadom na aktuálnu právnu úpravu ohľadom finančného sprostredkovania a finančného poradenstva je efektívne, aby poskytovali poradenské služby nielen veritelia a finanční agenti, ale aj finanční poradcovia, keďže aj tieto subjekty sú pod dohľadom Národnej banky Slovenska. Tým sa zabezpečí zjednotenie poskytovania týchto služieb v rámci finančného sprostredkovania a finančného poradenstva. </w:t>
      </w:r>
      <w:r w:rsidR="00224730" w:rsidRPr="004577C1">
        <w:rPr>
          <w:rFonts w:ascii="Times New Roman" w:eastAsia="Calibri" w:hAnsi="Times New Roman" w:cs="Times New Roman"/>
          <w:sz w:val="24"/>
          <w:szCs w:val="24"/>
        </w:rPr>
        <w:t xml:space="preserve">V súčasnosti nie je možné predmetné opatrenie vyčísliť (bližšie pozri </w:t>
      </w:r>
      <w:r w:rsidR="00224730" w:rsidRPr="004577C1">
        <w:rPr>
          <w:rFonts w:ascii="Times New Roman" w:eastAsia="Calibri" w:hAnsi="Times New Roman" w:cs="Times New Roman"/>
          <w:sz w:val="24"/>
          <w:szCs w:val="24"/>
        </w:rPr>
        <w:lastRenderedPageBreak/>
        <w:t>časť 3.4)</w:t>
      </w:r>
      <w:r w:rsidR="006C41C1" w:rsidRPr="004577C1">
        <w:rPr>
          <w:rFonts w:ascii="Times New Roman" w:eastAsia="Calibri" w:hAnsi="Times New Roman" w:cs="Times New Roman"/>
          <w:sz w:val="24"/>
          <w:szCs w:val="24"/>
        </w:rPr>
        <w:t>.</w:t>
      </w:r>
      <w:r w:rsidR="00224730" w:rsidRPr="004577C1">
        <w:rPr>
          <w:rFonts w:ascii="Times New Roman" w:eastAsia="Calibri" w:hAnsi="Times New Roman" w:cs="Times New Roman"/>
          <w:sz w:val="24"/>
          <w:szCs w:val="24"/>
        </w:rPr>
        <w:t xml:space="preserve"> </w:t>
      </w:r>
      <w:r w:rsidR="00DD4C05" w:rsidRPr="004577C1">
        <w:rPr>
          <w:rFonts w:ascii="Times New Roman" w:eastAsia="Calibri" w:hAnsi="Times New Roman" w:cs="Times New Roman"/>
          <w:sz w:val="24"/>
          <w:szCs w:val="24"/>
        </w:rPr>
        <w:t>Predkladateľ považuje</w:t>
      </w:r>
      <w:r w:rsidR="006A4963" w:rsidRPr="004577C1">
        <w:rPr>
          <w:rFonts w:ascii="Times New Roman" w:eastAsia="Calibri" w:hAnsi="Times New Roman" w:cs="Times New Roman"/>
          <w:sz w:val="24"/>
          <w:szCs w:val="24"/>
        </w:rPr>
        <w:t xml:space="preserve"> tento goldplating za pozitívny na podnikateľské prostredie</w:t>
      </w:r>
      <w:r w:rsidR="007C0262" w:rsidRPr="004577C1">
        <w:rPr>
          <w:rFonts w:ascii="Times New Roman" w:eastAsia="Calibri" w:hAnsi="Times New Roman" w:cs="Times New Roman"/>
          <w:sz w:val="24"/>
          <w:szCs w:val="24"/>
        </w:rPr>
        <w:t>.</w:t>
      </w:r>
      <w:r w:rsidR="006A4963" w:rsidRPr="004577C1">
        <w:rPr>
          <w:rFonts w:ascii="Times New Roman" w:eastAsia="Calibri" w:hAnsi="Times New Roman" w:cs="Times New Roman"/>
          <w:sz w:val="24"/>
          <w:szCs w:val="24"/>
        </w:rPr>
        <w:t xml:space="preserve"> </w:t>
      </w:r>
      <w:r w:rsidR="007C0262" w:rsidRPr="004577C1">
        <w:rPr>
          <w:rFonts w:ascii="Times New Roman" w:eastAsia="Calibri" w:hAnsi="Times New Roman" w:cs="Times New Roman"/>
          <w:sz w:val="24"/>
          <w:szCs w:val="24"/>
        </w:rPr>
        <w:t xml:space="preserve">Negatívne vplyvy sa nepredpokladajú na žiadnu oblasť. </w:t>
      </w:r>
    </w:p>
    <w:p w14:paraId="6C95DDA3" w14:textId="77777777" w:rsidR="00DD4C05" w:rsidRPr="004577C1" w:rsidRDefault="00DD4C05" w:rsidP="00DD4C05">
      <w:pPr>
        <w:jc w:val="both"/>
        <w:rPr>
          <w:rFonts w:ascii="Times New Roman" w:eastAsia="Calibri" w:hAnsi="Times New Roman" w:cs="Times New Roman"/>
          <w:sz w:val="24"/>
          <w:szCs w:val="24"/>
        </w:rPr>
      </w:pPr>
    </w:p>
    <w:p w14:paraId="31538FE2" w14:textId="46838433" w:rsidR="00353765" w:rsidRPr="004577C1" w:rsidRDefault="00353765" w:rsidP="0035376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Čl. 18 ods. 10 (</w:t>
      </w:r>
      <w:r w:rsidR="00FE0050" w:rsidRPr="004577C1">
        <w:rPr>
          <w:rFonts w:ascii="Times New Roman" w:eastAsia="Calibri" w:hAnsi="Times New Roman" w:cs="Times New Roman"/>
          <w:sz w:val="24"/>
          <w:szCs w:val="24"/>
        </w:rPr>
        <w:t>§ 13 ods. 1 prvá veta návrhu zákona</w:t>
      </w:r>
      <w:r w:rsidRPr="004577C1">
        <w:rPr>
          <w:rFonts w:ascii="Times New Roman" w:eastAsia="Calibri" w:hAnsi="Times New Roman" w:cs="Times New Roman"/>
          <w:sz w:val="24"/>
          <w:szCs w:val="24"/>
        </w:rPr>
        <w:t xml:space="preserve">) - Goldplating typu b) – navýšenie požiadaviek. Ustanovenie návrhu zákona upravuje, že veriteľ je  pred uzavretím zmluvy o spotrebiteľskom úvere alebo pred zmenou zmluvy o spotrebiteľskom úvere spočívajúcej v navýšení spotrebiteľského úveru povinný posúdiť s odbornou starostlivosťou schopnosť spotrebiteľa splácať spotrebiteľský úver. Posúdenie schopnosti spotrebiteľa splácať spotrebiteľský úver sa pri zmene zmluvy o spotrebiteľskom úvere nemá vykonať len pri výraznom navýšení celkovej výšky úveru, ale za „jemnejších podmienok“ pri každej zmene zmluvy o spotrebiteľskom úvere spočívajúcej v navýšení spotrebiteľského úveru. Ide o ustanovenie, ktoré vo svojej podstate odzrkadľuje ustanovenie účinné v zákone č. 129/2010 Z. z. a z dôvodu kontinuity pokračovania v aplikácii doterajšej právnej úpravy je vhodné, aby sa ustanovenie transponovalo rovnako a aby sa tým neznížila ochrana spotrebiteľov na finančnom trhu (nedochádza k vyčísleniu, keďže sa ponecháva doterajšia právna úprava a nemenia sa náklady veriteľov). Predkladateľ považuje tento goldplating za pozitívny v záujme zvýšenej ochrany spotrebiteľov, ale aj veriteľov pri splácaní úverov, resp. pri vrátení finančných prostriedkov veriteľom, ale aj za negatívny na podnikateľské prostredie z dôvodu navýšenia požiadaviek, ktoré musí veriteľ dodržiavať pri posudzovaní schopnosti spotrebiteľa splácať spotrebiteľský úver. </w:t>
      </w:r>
    </w:p>
    <w:p w14:paraId="125AFEF9" w14:textId="77777777" w:rsidR="00353765" w:rsidRPr="004577C1" w:rsidRDefault="00353765" w:rsidP="00DD4C05">
      <w:pPr>
        <w:jc w:val="both"/>
        <w:rPr>
          <w:rFonts w:ascii="Times New Roman" w:eastAsia="Calibri" w:hAnsi="Times New Roman" w:cs="Times New Roman"/>
          <w:sz w:val="24"/>
          <w:szCs w:val="24"/>
        </w:rPr>
      </w:pPr>
    </w:p>
    <w:p w14:paraId="4C649539" w14:textId="66B5AF80" w:rsidR="00DD4C05" w:rsidRPr="004577C1" w:rsidRDefault="0035376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w:t>
      </w:r>
      <w:r w:rsidR="00DD4C05" w:rsidRPr="004577C1">
        <w:rPr>
          <w:rFonts w:ascii="Times New Roman" w:eastAsia="Calibri" w:hAnsi="Times New Roman" w:cs="Times New Roman"/>
          <w:sz w:val="24"/>
          <w:szCs w:val="24"/>
        </w:rPr>
        <w:t xml:space="preserve">l. 18 ods. 11 (§ 13 ods. </w:t>
      </w:r>
      <w:r w:rsidR="007B68D0" w:rsidRPr="004577C1">
        <w:rPr>
          <w:rFonts w:ascii="Times New Roman" w:eastAsia="Calibri" w:hAnsi="Times New Roman" w:cs="Times New Roman"/>
          <w:sz w:val="24"/>
          <w:szCs w:val="24"/>
        </w:rPr>
        <w:t xml:space="preserve">1 druhá veta, ods. </w:t>
      </w:r>
      <w:r w:rsidR="00DD4C05" w:rsidRPr="004577C1">
        <w:rPr>
          <w:rFonts w:ascii="Times New Roman" w:eastAsia="Calibri" w:hAnsi="Times New Roman" w:cs="Times New Roman"/>
          <w:sz w:val="24"/>
          <w:szCs w:val="24"/>
        </w:rPr>
        <w:t>7 až 9</w:t>
      </w:r>
      <w:r w:rsidR="007B68D0" w:rsidRPr="004577C1">
        <w:rPr>
          <w:rFonts w:ascii="Times New Roman" w:eastAsia="Calibri" w:hAnsi="Times New Roman" w:cs="Times New Roman"/>
          <w:sz w:val="24"/>
          <w:szCs w:val="24"/>
        </w:rPr>
        <w:t>, § 14 ods. 1</w:t>
      </w:r>
      <w:r w:rsidR="00DD4C05" w:rsidRPr="004577C1">
        <w:rPr>
          <w:rFonts w:ascii="Times New Roman" w:eastAsia="Calibri" w:hAnsi="Times New Roman" w:cs="Times New Roman"/>
          <w:sz w:val="24"/>
          <w:szCs w:val="24"/>
        </w:rPr>
        <w:t xml:space="preserve"> návrhu zákona) -</w:t>
      </w:r>
      <w:r w:rsidR="009F4F0B" w:rsidRPr="004577C1">
        <w:rPr>
          <w:rFonts w:ascii="Times New Roman" w:eastAsia="Calibri" w:hAnsi="Times New Roman" w:cs="Times New Roman"/>
          <w:sz w:val="24"/>
          <w:szCs w:val="24"/>
        </w:rPr>
        <w:t xml:space="preserve"> Goldplating typu f</w:t>
      </w:r>
      <w:r w:rsidR="00DD4C05" w:rsidRPr="004577C1">
        <w:rPr>
          <w:rFonts w:ascii="Times New Roman" w:eastAsia="Calibri" w:hAnsi="Times New Roman" w:cs="Times New Roman"/>
          <w:sz w:val="24"/>
          <w:szCs w:val="24"/>
        </w:rPr>
        <w:t xml:space="preserve">) – </w:t>
      </w:r>
      <w:r w:rsidR="009F4F0B" w:rsidRPr="004577C1">
        <w:rPr>
          <w:rFonts w:ascii="Times New Roman" w:eastAsia="Calibri" w:hAnsi="Times New Roman" w:cs="Times New Roman"/>
          <w:sz w:val="24"/>
          <w:szCs w:val="24"/>
        </w:rPr>
        <w:t>zachovanie existujúcej právnej úpravy</w:t>
      </w:r>
      <w:r w:rsidR="00DD4C05" w:rsidRPr="004577C1">
        <w:rPr>
          <w:rFonts w:ascii="Times New Roman" w:eastAsia="Calibri" w:hAnsi="Times New Roman" w:cs="Times New Roman"/>
          <w:sz w:val="24"/>
          <w:szCs w:val="24"/>
        </w:rPr>
        <w:t>. Národná voľba, ktorú umožňuje smernica v ustanovení čl. 18 ods. 11, bola využitá. Ustanovenie návrhu zákona upravuje, že veritelia sú povinní postupovať pri posudzovaní úverovej bonity spotrebiteľa s odbornou starostlivosťou, čo zahŕňa aj nahliadanie do registrov údajov o spotrebiteľských úveroch. V obdobnom znení je už ustanovenie účinné v zákone č. 129/2010 Z. z. a z dôvodu kontinuity pokračovania v aplikácii doterajšej právnej úpravy je vhodné, aby sa ustanovenie transponovalo rovnako</w:t>
      </w:r>
      <w:r w:rsidR="00DB6A09" w:rsidRPr="004577C1">
        <w:rPr>
          <w:rFonts w:ascii="Times New Roman" w:eastAsia="Calibri" w:hAnsi="Times New Roman" w:cs="Times New Roman"/>
          <w:sz w:val="24"/>
          <w:szCs w:val="24"/>
        </w:rPr>
        <w:t xml:space="preserve"> (nedochádza k vyčísleniu, keďže sa ponecháva doterajšia právna úprava a nemenia sa náklady veriteľov).</w:t>
      </w:r>
      <w:r w:rsidR="00DD4C05" w:rsidRPr="004577C1">
        <w:rPr>
          <w:rFonts w:ascii="Times New Roman" w:eastAsia="Calibri" w:hAnsi="Times New Roman" w:cs="Times New Roman"/>
          <w:sz w:val="24"/>
          <w:szCs w:val="24"/>
        </w:rPr>
        <w:t xml:space="preserve"> Predkladateľ považuje tento goldplating za pozitívny z dôvodu udržateľnosti poskytovania spotrebiteľských úverov, ako aj za negatívny z dôvodu zvýšenia administratívnych nákladov pre podnikateľov.</w:t>
      </w:r>
      <w:r w:rsidR="00B07D3A" w:rsidRPr="004577C1">
        <w:rPr>
          <w:rFonts w:ascii="Times New Roman" w:eastAsia="Calibri" w:hAnsi="Times New Roman" w:cs="Times New Roman"/>
          <w:sz w:val="24"/>
          <w:szCs w:val="24"/>
        </w:rPr>
        <w:t xml:space="preserve"> </w:t>
      </w:r>
    </w:p>
    <w:p w14:paraId="49BD91D6" w14:textId="77777777" w:rsidR="00DD4C05" w:rsidRPr="004577C1" w:rsidRDefault="00DD4C05" w:rsidP="00DD4C05">
      <w:pPr>
        <w:jc w:val="both"/>
        <w:rPr>
          <w:rFonts w:ascii="Times New Roman" w:eastAsia="Calibri" w:hAnsi="Times New Roman" w:cs="Times New Roman"/>
          <w:sz w:val="24"/>
          <w:szCs w:val="24"/>
        </w:rPr>
      </w:pPr>
    </w:p>
    <w:p w14:paraId="07B121E4" w14:textId="5DF92711" w:rsidR="0055782C" w:rsidRPr="004577C1" w:rsidRDefault="0055782C" w:rsidP="0055782C">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Čl. 19 ods. 4 (§ 14 ods. 7 návrhu zákona) – registre úverov, resp. databázy by podľa smernice 2023/2225 mali obsahovať aspoň informácie o omeškaniach spotrebiteľov pri splácaní úverov, o druhu úveru a totožnosti veriteľa. Návrh ustanovenia obsahuje goldplating typu </w:t>
      </w:r>
      <w:r w:rsidR="00DB6A09" w:rsidRPr="004577C1">
        <w:rPr>
          <w:rFonts w:ascii="Times New Roman" w:eastAsia="Calibri" w:hAnsi="Times New Roman" w:cs="Times New Roman"/>
          <w:sz w:val="24"/>
          <w:szCs w:val="24"/>
        </w:rPr>
        <w:t>f</w:t>
      </w:r>
      <w:r w:rsidRPr="004577C1">
        <w:rPr>
          <w:rFonts w:ascii="Times New Roman" w:eastAsia="Calibri" w:hAnsi="Times New Roman" w:cs="Times New Roman"/>
          <w:sz w:val="24"/>
          <w:szCs w:val="24"/>
        </w:rPr>
        <w:t xml:space="preserve">) – </w:t>
      </w:r>
      <w:r w:rsidR="00DB6A09" w:rsidRPr="004577C1">
        <w:rPr>
          <w:rFonts w:ascii="Times New Roman" w:eastAsia="Calibri" w:hAnsi="Times New Roman" w:cs="Times New Roman"/>
          <w:sz w:val="24"/>
          <w:szCs w:val="24"/>
        </w:rPr>
        <w:t>zachovanie existujúcej právnej úpravy</w:t>
      </w:r>
      <w:r w:rsidRPr="004577C1">
        <w:rPr>
          <w:rFonts w:ascii="Times New Roman" w:eastAsia="Calibri" w:hAnsi="Times New Roman" w:cs="Times New Roman"/>
          <w:sz w:val="24"/>
          <w:szCs w:val="24"/>
        </w:rPr>
        <w:t>, keďže sa ponecháva doterajšia fungujúca úprava, ktorá obsahuje v záujme zabezpečenia čo najlepšej istoty pre veriteľov viaceré informácie v registri úverov, ktoré slúžia pre veriteľov na posúdenie bonity spotrebiteľa, ak veriteľ má záujem poskytnúť spotrebiteľovi úver</w:t>
      </w:r>
      <w:r w:rsidR="00DB6A09" w:rsidRPr="004577C1">
        <w:rPr>
          <w:rFonts w:ascii="Times New Roman" w:eastAsia="Calibri" w:hAnsi="Times New Roman" w:cs="Times New Roman"/>
          <w:sz w:val="24"/>
          <w:szCs w:val="24"/>
        </w:rPr>
        <w:t xml:space="preserve"> (nedochádza k vyčísleniu, keďže sa ponecháva doterajšia právna úprava a nemenia sa náklady veriteľov)</w:t>
      </w:r>
      <w:r w:rsidRPr="004577C1">
        <w:rPr>
          <w:rFonts w:ascii="Times New Roman" w:eastAsia="Calibri" w:hAnsi="Times New Roman" w:cs="Times New Roman"/>
          <w:sz w:val="24"/>
          <w:szCs w:val="24"/>
        </w:rPr>
        <w:t xml:space="preserve">. </w:t>
      </w:r>
      <w:r w:rsidR="007C0262" w:rsidRPr="004577C1">
        <w:rPr>
          <w:rFonts w:ascii="Times New Roman" w:eastAsia="Calibri" w:hAnsi="Times New Roman" w:cs="Times New Roman"/>
          <w:sz w:val="24"/>
          <w:szCs w:val="24"/>
        </w:rPr>
        <w:t>Predkladateľ považuje tento goldplating za pozitívny v záujme zvýšenej ochrany spotrebiteľov, ale aj za negatívny na podnikateľské prostredie z dôvodu navýšenia požiadaviek, ktoré musí register obsahovať.</w:t>
      </w:r>
    </w:p>
    <w:p w14:paraId="2BCA99DE" w14:textId="77777777" w:rsidR="00DD4C05" w:rsidRPr="004577C1" w:rsidRDefault="00DD4C05" w:rsidP="00DD4C05">
      <w:pPr>
        <w:jc w:val="both"/>
        <w:rPr>
          <w:rFonts w:ascii="Times New Roman" w:eastAsia="Calibri" w:hAnsi="Times New Roman" w:cs="Times New Roman"/>
          <w:sz w:val="24"/>
          <w:szCs w:val="24"/>
        </w:rPr>
      </w:pPr>
    </w:p>
    <w:p w14:paraId="7CFBB839" w14:textId="5857AE4A" w:rsidR="00353765" w:rsidRPr="004577C1" w:rsidRDefault="0035376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Čl. 25 ods. 2 (</w:t>
      </w:r>
      <w:r w:rsidR="00FE0050" w:rsidRPr="004577C1">
        <w:rPr>
          <w:rFonts w:ascii="Times New Roman" w:eastAsia="Calibri" w:hAnsi="Times New Roman" w:cs="Times New Roman"/>
          <w:sz w:val="24"/>
          <w:szCs w:val="24"/>
        </w:rPr>
        <w:t>§ 5</w:t>
      </w:r>
      <w:r w:rsidR="009B0CE8" w:rsidRPr="004577C1">
        <w:rPr>
          <w:rFonts w:ascii="Times New Roman" w:eastAsia="Calibri" w:hAnsi="Times New Roman" w:cs="Times New Roman"/>
          <w:sz w:val="24"/>
          <w:szCs w:val="24"/>
        </w:rPr>
        <w:t>3</w:t>
      </w:r>
      <w:r w:rsidR="00FE0050" w:rsidRPr="004577C1">
        <w:rPr>
          <w:rFonts w:ascii="Times New Roman" w:eastAsia="Calibri" w:hAnsi="Times New Roman" w:cs="Times New Roman"/>
          <w:sz w:val="24"/>
          <w:szCs w:val="24"/>
        </w:rPr>
        <w:t xml:space="preserve"> ods. 2 písm. a) až e) návrhu zákona</w:t>
      </w:r>
      <w:r w:rsidRPr="004577C1">
        <w:rPr>
          <w:rFonts w:ascii="Times New Roman" w:eastAsia="Calibri" w:hAnsi="Times New Roman" w:cs="Times New Roman"/>
          <w:sz w:val="24"/>
          <w:szCs w:val="24"/>
        </w:rPr>
        <w:t xml:space="preserve">) - </w:t>
      </w:r>
      <w:r w:rsidR="00E73605" w:rsidRPr="004577C1">
        <w:rPr>
          <w:rFonts w:ascii="Times New Roman" w:eastAsia="Calibri" w:hAnsi="Times New Roman" w:cs="Times New Roman"/>
          <w:sz w:val="24"/>
          <w:szCs w:val="24"/>
        </w:rPr>
        <w:t>Goldplating typu b) – navýšenie požiadaviek. Ustanovenie návrhu zákona upravuje, že ak ide o prekročenie, ktoré trvá viac ako jeden mesiac, veriteľ má informovať spotrebiteľa o určitých náležitostiach. Smernica ale definuje, že má ísť o výrazné prekročenie, ktoré trvá viac ako jeden mesiac. Predmetné ustanovenie v návrhu zákona vo svojej podstate odzrkadľuje ustanovenie účinné v zákone č. 129/2010 Z. z. a z dôvodu kontinuity pokračovania v aplikácii doterajšej právnej úpravy je vhodné, aby sa ustanovenie transponovalo rovnako a aby sa tým neznížila ochrana spotrebiteľov na finančnom trhu (nedochádza k vyčísleniu, keďže sa ponecháva doterajšia právna úprava a nemenia sa náklady veriteľov). Pojem „výrazne prekročenie“ by v praxi mohlo spôsobiť viacero problémov, keďže je to relatívne vágny pojem, ktorý nemusí mať rovnaký význam pri každom prekročení stanovenom v zmluve o spotrebiteľskom úvere. Predkladateľ považuje tento goldplating za pozitívny v záujme zvýšenej ochrany spotrebiteľov, ale aj veriteľov, ale aj za negatívny na podnikateľské prostredie z dôvodu navýšenia požiadaviek, ktoré musí veriteľ dodržiavať pri zmluve o spotrebiteľskom úvere formou prekročenia.</w:t>
      </w:r>
    </w:p>
    <w:p w14:paraId="0727776B" w14:textId="77777777" w:rsidR="00353765" w:rsidRPr="004577C1" w:rsidRDefault="00353765" w:rsidP="00DD4C05">
      <w:pPr>
        <w:jc w:val="both"/>
        <w:rPr>
          <w:rFonts w:ascii="Times New Roman" w:eastAsia="Calibri" w:hAnsi="Times New Roman" w:cs="Times New Roman"/>
          <w:sz w:val="24"/>
          <w:szCs w:val="24"/>
        </w:rPr>
      </w:pPr>
    </w:p>
    <w:p w14:paraId="6A5B90D2" w14:textId="7480C123" w:rsidR="0055782C" w:rsidRPr="004577C1" w:rsidRDefault="0055782C" w:rsidP="0055782C">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Čl. 25 ods. 6 (§ 9 ods. 2 návrhu zákona) – v uvedenom ustanovení návrhu zákona ide o goldplating</w:t>
      </w:r>
      <w:r w:rsidR="002F38C2" w:rsidRPr="004577C1">
        <w:rPr>
          <w:rFonts w:ascii="Times New Roman" w:eastAsia="Calibri" w:hAnsi="Times New Roman" w:cs="Times New Roman"/>
          <w:sz w:val="24"/>
          <w:szCs w:val="24"/>
        </w:rPr>
        <w:t xml:space="preserve"> typu f</w:t>
      </w:r>
      <w:r w:rsidRPr="004577C1">
        <w:rPr>
          <w:rFonts w:ascii="Times New Roman" w:eastAsia="Calibri" w:hAnsi="Times New Roman" w:cs="Times New Roman"/>
          <w:sz w:val="24"/>
          <w:szCs w:val="24"/>
        </w:rPr>
        <w:t xml:space="preserve">) – </w:t>
      </w:r>
      <w:r w:rsidR="002F38C2" w:rsidRPr="004577C1">
        <w:rPr>
          <w:rFonts w:ascii="Times New Roman" w:eastAsia="Calibri" w:hAnsi="Times New Roman" w:cs="Times New Roman"/>
          <w:sz w:val="24"/>
          <w:szCs w:val="24"/>
        </w:rPr>
        <w:t>zachovanie existujúcej právnej úpravy</w:t>
      </w:r>
      <w:r w:rsidRPr="004577C1">
        <w:rPr>
          <w:rFonts w:ascii="Times New Roman" w:eastAsia="Calibri" w:hAnsi="Times New Roman" w:cs="Times New Roman"/>
          <w:sz w:val="24"/>
          <w:szCs w:val="24"/>
        </w:rPr>
        <w:t>. Pravidlá týkajúce sa ochrany spotrebiteľov, ktorí si uplatňujú prekročenie budú zachované voči doterajšej právnej úprave, ale ide o prísnejšie ustanovenie voči požiadavkám smernice v rámci problematiky poskytovania predzmluvných informácií</w:t>
      </w:r>
      <w:r w:rsidR="002F38C2" w:rsidRPr="004577C1">
        <w:rPr>
          <w:rFonts w:ascii="Times New Roman" w:eastAsia="Calibri" w:hAnsi="Times New Roman" w:cs="Times New Roman"/>
          <w:sz w:val="24"/>
          <w:szCs w:val="24"/>
        </w:rPr>
        <w:t xml:space="preserve"> (nedochádza k vyčísleniu, keďže sa ponecháva doterajšia právna úprava a nemenia sa náklady veriteľov).</w:t>
      </w:r>
      <w:r w:rsidR="004831B1" w:rsidRPr="004577C1">
        <w:rPr>
          <w:rFonts w:ascii="Times New Roman" w:hAnsi="Times New Roman" w:cs="Times New Roman"/>
          <w:sz w:val="24"/>
          <w:szCs w:val="24"/>
        </w:rPr>
        <w:t xml:space="preserve"> </w:t>
      </w:r>
      <w:r w:rsidR="004831B1" w:rsidRPr="004577C1">
        <w:rPr>
          <w:rFonts w:ascii="Times New Roman" w:eastAsia="Calibri" w:hAnsi="Times New Roman" w:cs="Times New Roman"/>
          <w:sz w:val="24"/>
          <w:szCs w:val="24"/>
        </w:rPr>
        <w:t>Predkladateľ považuje tento goldplating za negatívny z dôvodu navýšenia požiadaviek na predzmluvné informácie, ktoré musia byť poskytnuté spotrebiteľovi pri telefonickej komunikácií.</w:t>
      </w:r>
      <w:r w:rsidR="00744AD8" w:rsidRPr="004577C1">
        <w:rPr>
          <w:rFonts w:ascii="Times New Roman" w:eastAsia="Calibri" w:hAnsi="Times New Roman" w:cs="Times New Roman"/>
          <w:sz w:val="24"/>
          <w:szCs w:val="24"/>
        </w:rPr>
        <w:t xml:space="preserve"> Tieto dodatočné povinnosti nebudú znižovať efektívnosť a flexibilitu poskytovateľov úverov v oblasti komunikácie so spotrebiteľmi najmä s ohľadom na to, že uvedený systém je už funkčný niekoľko rokov a finančný trh sa prispôsobil v čase, keď sa takáto povinnosť zavádzala v predchádzajúcej právnej úprave o spotrebiteľských úveroch. V prípade odstránenia tohto ustanovenia by mohlo dôjsť k zníženiu ochrany spotrebiteľov, čo nie je proporcionálne a nie je to v celospoločenskom záujme.</w:t>
      </w:r>
    </w:p>
    <w:p w14:paraId="6B53A282" w14:textId="77777777" w:rsidR="00DD4C05" w:rsidRPr="004577C1" w:rsidRDefault="00DD4C05" w:rsidP="00DD4C05">
      <w:pPr>
        <w:jc w:val="both"/>
        <w:rPr>
          <w:rFonts w:ascii="Times New Roman" w:eastAsia="Calibri" w:hAnsi="Times New Roman" w:cs="Times New Roman"/>
          <w:sz w:val="24"/>
          <w:szCs w:val="24"/>
        </w:rPr>
      </w:pPr>
    </w:p>
    <w:p w14:paraId="26B4D689" w14:textId="2DFADB30" w:rsidR="00E73605" w:rsidRPr="004577C1" w:rsidRDefault="00E7360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Čl. 29 ods. 3 (</w:t>
      </w:r>
      <w:r w:rsidR="00FE0050" w:rsidRPr="004577C1">
        <w:rPr>
          <w:rFonts w:ascii="Times New Roman" w:eastAsia="Calibri" w:hAnsi="Times New Roman" w:cs="Times New Roman"/>
          <w:sz w:val="24"/>
          <w:szCs w:val="24"/>
        </w:rPr>
        <w:t>§ 23 ods. 4 návrhu zákona</w:t>
      </w:r>
      <w:r w:rsidRPr="004577C1">
        <w:rPr>
          <w:rFonts w:ascii="Times New Roman" w:eastAsia="Calibri" w:hAnsi="Times New Roman" w:cs="Times New Roman"/>
          <w:sz w:val="24"/>
          <w:szCs w:val="24"/>
        </w:rPr>
        <w:t>) - Goldplating typu b) – navýšenie požiadaviek. Ustanovenie návrhu zákona veriteľovi zakazuje požadovať náhradu nákladov, ktoré mu vznikli v súvislosti s predčasným splatením spotrebiteľského úveru, ak takéto splatenie spotrebiteľského úveru sa má uskutočniť v období, pre ktoré nie je určená fixná úroková sadzba spotrebiteľského úveru</w:t>
      </w:r>
      <w:r w:rsidR="00A13B89" w:rsidRPr="004577C1">
        <w:rPr>
          <w:rFonts w:ascii="Times New Roman" w:eastAsia="Calibri" w:hAnsi="Times New Roman" w:cs="Times New Roman"/>
          <w:sz w:val="24"/>
          <w:szCs w:val="24"/>
        </w:rPr>
        <w:t>.</w:t>
      </w:r>
      <w:r w:rsidRPr="004577C1">
        <w:rPr>
          <w:rFonts w:ascii="Times New Roman" w:eastAsia="Calibri" w:hAnsi="Times New Roman" w:cs="Times New Roman"/>
          <w:sz w:val="24"/>
          <w:szCs w:val="24"/>
        </w:rPr>
        <w:t xml:space="preserve"> V obdobnom znení je už ustanovenie účinné v zákone č. 129/2010 Z. z. a z dôvodu kontinuity pokračovania v aplikácii doterajšej právnej úpravy je vhodné, aby sa ustanovenie transponovalo rovnako </w:t>
      </w:r>
      <w:bookmarkStart w:id="1" w:name="_Hlk196492990"/>
      <w:r w:rsidRPr="004577C1">
        <w:rPr>
          <w:rFonts w:ascii="Times New Roman" w:eastAsia="Calibri" w:hAnsi="Times New Roman" w:cs="Times New Roman"/>
          <w:sz w:val="24"/>
          <w:szCs w:val="24"/>
        </w:rPr>
        <w:t xml:space="preserve">(nedochádza k vyčísleniu, keďže sa ponecháva doterajšia právna úprava a nemenia sa náklady veriteľov). </w:t>
      </w:r>
      <w:bookmarkEnd w:id="1"/>
      <w:r w:rsidRPr="004577C1">
        <w:rPr>
          <w:rFonts w:ascii="Times New Roman" w:eastAsia="Calibri" w:hAnsi="Times New Roman" w:cs="Times New Roman"/>
          <w:sz w:val="24"/>
          <w:szCs w:val="24"/>
        </w:rPr>
        <w:t>Predkladateľ považuje tento goldplating za pozitívny v záujme zvýšenej ochrany spotrebiteľov, ale aj za negatívny na podnikateľské prostredie z dôvodu navýšenia požiadaviek, ktoré musí veriteľ dodržiavať pri predčasnom splatení spotrebiteľského úveru.</w:t>
      </w:r>
    </w:p>
    <w:p w14:paraId="2566C18B" w14:textId="77777777" w:rsidR="00E73605" w:rsidRPr="004577C1" w:rsidRDefault="00E73605" w:rsidP="00DD4C05">
      <w:pPr>
        <w:jc w:val="both"/>
        <w:rPr>
          <w:rFonts w:ascii="Times New Roman" w:eastAsia="Calibri" w:hAnsi="Times New Roman" w:cs="Times New Roman"/>
          <w:sz w:val="24"/>
          <w:szCs w:val="24"/>
        </w:rPr>
      </w:pPr>
    </w:p>
    <w:p w14:paraId="1AC0CE64" w14:textId="55D6D355" w:rsidR="0055782C" w:rsidRPr="004577C1" w:rsidRDefault="0055782C" w:rsidP="0055782C">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lastRenderedPageBreak/>
        <w:t>Čl. 29 ods. 4 (§ 23 ods. 4 písm. d) návrhu zákona) – ustanovenie zachováva doterajšiu p</w:t>
      </w:r>
      <w:r w:rsidR="008F7253" w:rsidRPr="004577C1">
        <w:rPr>
          <w:rFonts w:ascii="Times New Roman" w:eastAsia="Calibri" w:hAnsi="Times New Roman" w:cs="Times New Roman"/>
          <w:sz w:val="24"/>
          <w:szCs w:val="24"/>
        </w:rPr>
        <w:t>rávnu úpravu. Goldplating typu f</w:t>
      </w:r>
      <w:r w:rsidRPr="004577C1">
        <w:rPr>
          <w:rFonts w:ascii="Times New Roman" w:eastAsia="Calibri" w:hAnsi="Times New Roman" w:cs="Times New Roman"/>
          <w:sz w:val="24"/>
          <w:szCs w:val="24"/>
        </w:rPr>
        <w:t xml:space="preserve">) – </w:t>
      </w:r>
      <w:r w:rsidR="008F7253" w:rsidRPr="004577C1">
        <w:rPr>
          <w:rFonts w:ascii="Times New Roman" w:eastAsia="Calibri" w:hAnsi="Times New Roman" w:cs="Times New Roman"/>
          <w:sz w:val="24"/>
          <w:szCs w:val="24"/>
        </w:rPr>
        <w:t>zachovanie existujúcej právnej úpravy</w:t>
      </w:r>
      <w:r w:rsidRPr="004577C1">
        <w:rPr>
          <w:rFonts w:ascii="Times New Roman" w:eastAsia="Calibri" w:hAnsi="Times New Roman" w:cs="Times New Roman"/>
          <w:sz w:val="24"/>
          <w:szCs w:val="24"/>
        </w:rPr>
        <w:t>, vzniká v súvislosti so zákazom požadovať od spotrebiteľa pri predčasnom splatení úveru náhradu nákladov, ak suma splátok predčasne splateného spotrebiteľského úveru za obdobie predchádzajúcich po sebe idúcich 12 mesiacov vrátane naposledy vykonanej splátky nepresahuje 10 000 eur. V rámci konzultácií sa dospelo k názoru, že uvedený goldplating je vhodné ponechať najmä z dôvodu, že ustanovenie zvyšuje ochranu spotrebiteľa na finančnom trhu</w:t>
      </w:r>
      <w:r w:rsidR="008F7253" w:rsidRPr="004577C1">
        <w:rPr>
          <w:rFonts w:ascii="Times New Roman" w:eastAsia="Calibri" w:hAnsi="Times New Roman" w:cs="Times New Roman"/>
          <w:sz w:val="24"/>
          <w:szCs w:val="24"/>
        </w:rPr>
        <w:t xml:space="preserve"> (nedochádza k vyčísleniu, keďže sa ponecháva doterajšia právna úprava a nemenia sa náklady veriteľov).</w:t>
      </w:r>
      <w:r w:rsidRPr="004577C1">
        <w:rPr>
          <w:rFonts w:ascii="Times New Roman" w:eastAsia="Calibri" w:hAnsi="Times New Roman" w:cs="Times New Roman"/>
          <w:sz w:val="24"/>
          <w:szCs w:val="24"/>
        </w:rPr>
        <w:t xml:space="preserve"> </w:t>
      </w:r>
      <w:r w:rsidR="004831B1" w:rsidRPr="004577C1">
        <w:rPr>
          <w:rFonts w:ascii="Times New Roman" w:eastAsia="Calibri" w:hAnsi="Times New Roman" w:cs="Times New Roman"/>
          <w:sz w:val="24"/>
          <w:szCs w:val="24"/>
        </w:rPr>
        <w:t>Predkladateľ považuje goldplating za negatívny na podnikateľské prostredie.</w:t>
      </w:r>
    </w:p>
    <w:p w14:paraId="26DDEC66" w14:textId="77777777" w:rsidR="00DD4C05" w:rsidRPr="004577C1" w:rsidRDefault="00DD4C05" w:rsidP="00DD4C05">
      <w:pPr>
        <w:jc w:val="both"/>
        <w:rPr>
          <w:rFonts w:ascii="Times New Roman" w:eastAsia="Calibri" w:hAnsi="Times New Roman" w:cs="Times New Roman"/>
          <w:sz w:val="24"/>
          <w:szCs w:val="24"/>
        </w:rPr>
      </w:pPr>
    </w:p>
    <w:p w14:paraId="10A6031A" w14:textId="3E073D6C" w:rsidR="00DD4C05" w:rsidRPr="004577C1" w:rsidRDefault="0055782C"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Čl. 31 ods. 2 (§ 3 ods. </w:t>
      </w:r>
      <w:r w:rsidR="004E27EB" w:rsidRPr="004577C1">
        <w:rPr>
          <w:rFonts w:ascii="Times New Roman" w:eastAsia="Calibri" w:hAnsi="Times New Roman" w:cs="Times New Roman"/>
          <w:sz w:val="24"/>
          <w:szCs w:val="24"/>
        </w:rPr>
        <w:t>6</w:t>
      </w:r>
      <w:r w:rsidRPr="004577C1">
        <w:rPr>
          <w:rFonts w:ascii="Times New Roman" w:eastAsia="Calibri" w:hAnsi="Times New Roman" w:cs="Times New Roman"/>
          <w:sz w:val="24"/>
          <w:szCs w:val="24"/>
        </w:rPr>
        <w:t xml:space="preserve"> a </w:t>
      </w:r>
      <w:r w:rsidR="004E27EB" w:rsidRPr="004577C1">
        <w:rPr>
          <w:rFonts w:ascii="Times New Roman" w:eastAsia="Calibri" w:hAnsi="Times New Roman" w:cs="Times New Roman"/>
          <w:sz w:val="24"/>
          <w:szCs w:val="24"/>
        </w:rPr>
        <w:t>7</w:t>
      </w:r>
      <w:r w:rsidRPr="004577C1">
        <w:rPr>
          <w:rFonts w:ascii="Times New Roman" w:eastAsia="Calibri" w:hAnsi="Times New Roman" w:cs="Times New Roman"/>
          <w:sz w:val="24"/>
          <w:szCs w:val="24"/>
        </w:rPr>
        <w:t xml:space="preserve"> návrhu zákona) – ustanovenie upravuje možnosť pre členské štáty prijať zákazy alebo obmedzenia týkajúce sa osobitných platieb alebo poplatkov uplatňovaných veriteľmi na ich území. Návrh zákona upravuje novú povinnosť pre veriteľov v podobe zákazu účtovať spotrebiteľovi akékoľvek poplatky v súvislosti s poskytovaním a so spravovaním spotrebiteľského úveru, s výnimkou poplatkov za vedenie platobného alebo sporiaceho účtu, ak jeho zriadenie veriteľ požaduje, a poplatkov za poistenie, ktoré súvisí so zmluvou o spotrebiteľskom úvere.</w:t>
      </w:r>
      <w:r w:rsidRPr="004577C1">
        <w:rPr>
          <w:rFonts w:ascii="Times New Roman" w:hAnsi="Times New Roman" w:cs="Times New Roman"/>
          <w:sz w:val="24"/>
          <w:szCs w:val="24"/>
        </w:rPr>
        <w:t xml:space="preserve"> </w:t>
      </w:r>
      <w:r w:rsidRPr="004577C1">
        <w:rPr>
          <w:rFonts w:ascii="Times New Roman" w:eastAsia="Calibri" w:hAnsi="Times New Roman" w:cs="Times New Roman"/>
          <w:sz w:val="24"/>
          <w:szCs w:val="24"/>
        </w:rPr>
        <w:t xml:space="preserve">Cieľom právnej úpravy je zjednodušenie pochopenia nákladovosti spotrebiteľského úveru pre spotrebiteľa, ako aj predchádzanie nevhodným marketingovým praktikám veriteľov a prípadným súdnym konaniam týkajúcich sa určovania, definovania alebo vyčíslovania spracovateľského poplatku. Taktiež sa tým zabezpečuje zvýšená transparentnosť poskytovania a spravovania úverov. Ide o goldplating typu </w:t>
      </w:r>
      <w:r w:rsidR="00E73605" w:rsidRPr="004577C1">
        <w:rPr>
          <w:rFonts w:ascii="Times New Roman" w:eastAsia="Calibri" w:hAnsi="Times New Roman" w:cs="Times New Roman"/>
          <w:sz w:val="24"/>
          <w:szCs w:val="24"/>
        </w:rPr>
        <w:t>b</w:t>
      </w:r>
      <w:r w:rsidRPr="004577C1">
        <w:rPr>
          <w:rFonts w:ascii="Times New Roman" w:eastAsia="Calibri" w:hAnsi="Times New Roman" w:cs="Times New Roman"/>
          <w:sz w:val="24"/>
          <w:szCs w:val="24"/>
        </w:rPr>
        <w:t xml:space="preserve">) – </w:t>
      </w:r>
      <w:r w:rsidR="00E73605" w:rsidRPr="004577C1">
        <w:rPr>
          <w:rFonts w:ascii="Times New Roman" w:eastAsia="Calibri" w:hAnsi="Times New Roman" w:cs="Times New Roman"/>
          <w:sz w:val="24"/>
          <w:szCs w:val="24"/>
        </w:rPr>
        <w:t>navýšenie požiadaviek</w:t>
      </w:r>
      <w:r w:rsidRPr="004577C1">
        <w:rPr>
          <w:rFonts w:ascii="Times New Roman" w:eastAsia="Calibri" w:hAnsi="Times New Roman" w:cs="Times New Roman"/>
          <w:sz w:val="24"/>
          <w:szCs w:val="24"/>
        </w:rPr>
        <w:t xml:space="preserve">. </w:t>
      </w:r>
      <w:r w:rsidR="006C41C1" w:rsidRPr="004577C1">
        <w:rPr>
          <w:rFonts w:ascii="Times New Roman" w:eastAsia="Calibri" w:hAnsi="Times New Roman" w:cs="Times New Roman"/>
          <w:sz w:val="24"/>
          <w:szCs w:val="24"/>
        </w:rPr>
        <w:t>V súčasnosti nie je možné predmetné opatrenia vyčísliť (bližšie pozri časť 3.4).</w:t>
      </w:r>
      <w:r w:rsidR="004831B1" w:rsidRPr="004577C1">
        <w:rPr>
          <w:rFonts w:ascii="Times New Roman" w:hAnsi="Times New Roman" w:cs="Times New Roman"/>
          <w:sz w:val="24"/>
          <w:szCs w:val="24"/>
        </w:rPr>
        <w:t xml:space="preserve"> </w:t>
      </w:r>
      <w:r w:rsidR="004831B1" w:rsidRPr="004577C1">
        <w:rPr>
          <w:rFonts w:ascii="Times New Roman" w:eastAsia="Calibri" w:hAnsi="Times New Roman" w:cs="Times New Roman"/>
          <w:sz w:val="24"/>
          <w:szCs w:val="24"/>
        </w:rPr>
        <w:t>Predkladateľ považuje goldplating za negatívny na podnikateľské prostredie, ale za pozitívny na sociálnu oblasť.</w:t>
      </w:r>
    </w:p>
    <w:p w14:paraId="48DAA570" w14:textId="47854FFE" w:rsidR="00DD4C05" w:rsidRPr="004577C1" w:rsidRDefault="00DD4C05" w:rsidP="00DD4C05">
      <w:pPr>
        <w:jc w:val="both"/>
        <w:rPr>
          <w:rFonts w:ascii="Times New Roman" w:eastAsia="Calibri" w:hAnsi="Times New Roman" w:cs="Times New Roman"/>
          <w:sz w:val="24"/>
          <w:szCs w:val="24"/>
        </w:rPr>
      </w:pPr>
    </w:p>
    <w:p w14:paraId="63A9F340" w14:textId="3B5F967F" w:rsidR="0055782C" w:rsidRPr="004577C1" w:rsidRDefault="0055782C" w:rsidP="0055782C">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Čl. 35 ods. 3 a 4 (§ 3a ods. 1 až 3 nariadenia vlády č. 87/1995 Z. z.) - transpozičné opatrenia, ktoré transponujú ustanovenia s dobrovoľnou transpozíciou predstavujú goldplating typu </w:t>
      </w:r>
      <w:r w:rsidR="006763DB" w:rsidRPr="004577C1">
        <w:rPr>
          <w:rFonts w:ascii="Times New Roman" w:eastAsia="Calibri" w:hAnsi="Times New Roman" w:cs="Times New Roman"/>
          <w:sz w:val="24"/>
          <w:szCs w:val="24"/>
        </w:rPr>
        <w:t>f) -</w:t>
      </w:r>
      <w:r w:rsidR="006763DB" w:rsidRPr="004577C1">
        <w:rPr>
          <w:rFonts w:ascii="Times New Roman" w:hAnsi="Times New Roman" w:cs="Times New Roman"/>
          <w:sz w:val="24"/>
          <w:szCs w:val="24"/>
        </w:rPr>
        <w:t xml:space="preserve"> </w:t>
      </w:r>
      <w:r w:rsidR="006763DB" w:rsidRPr="004577C1">
        <w:rPr>
          <w:rFonts w:ascii="Times New Roman" w:eastAsia="Calibri" w:hAnsi="Times New Roman" w:cs="Times New Roman"/>
          <w:sz w:val="24"/>
          <w:szCs w:val="24"/>
        </w:rPr>
        <w:t>zachovanie existujúcej právnej úpravy</w:t>
      </w:r>
      <w:r w:rsidRPr="004577C1">
        <w:rPr>
          <w:rFonts w:ascii="Times New Roman" w:eastAsia="Calibri" w:hAnsi="Times New Roman" w:cs="Times New Roman"/>
          <w:sz w:val="24"/>
          <w:szCs w:val="24"/>
        </w:rPr>
        <w:t>. Ustanovenia sú prebraté nariadením vlády č. 87/1995 Z. z., ktorým sa vykonávajú niektoré ustanovenia Občianskeho zákonníka, a ktoré stanovujú mechanizmus výpočtu poplatkov a dodatočných poplatkov v prípade omeškania. Týmto opatrením sa zachováva doterajšia právna úprava</w:t>
      </w:r>
      <w:r w:rsidR="006763DB" w:rsidRPr="004577C1">
        <w:rPr>
          <w:rFonts w:ascii="Times New Roman" w:eastAsia="Calibri" w:hAnsi="Times New Roman" w:cs="Times New Roman"/>
          <w:sz w:val="24"/>
          <w:szCs w:val="24"/>
        </w:rPr>
        <w:t xml:space="preserve"> (nedochádza k vyčísleniu, keďže sa ponecháva doterajšia právna úprava a nemenia sa náklady veriteľov)</w:t>
      </w:r>
      <w:r w:rsidRPr="004577C1">
        <w:rPr>
          <w:rFonts w:ascii="Times New Roman" w:eastAsia="Calibri" w:hAnsi="Times New Roman" w:cs="Times New Roman"/>
          <w:sz w:val="24"/>
          <w:szCs w:val="24"/>
        </w:rPr>
        <w:t xml:space="preserve">. </w:t>
      </w:r>
      <w:r w:rsidR="00103C9B" w:rsidRPr="004577C1">
        <w:rPr>
          <w:rFonts w:ascii="Times New Roman" w:eastAsia="Calibri" w:hAnsi="Times New Roman" w:cs="Times New Roman"/>
          <w:sz w:val="24"/>
          <w:szCs w:val="24"/>
        </w:rPr>
        <w:t>Predkladateľ považuje goldplating za negatívny na podnikateľské prostredie, ale za pozitívny na sociálnu oblasť.</w:t>
      </w:r>
    </w:p>
    <w:p w14:paraId="150038A2" w14:textId="77777777" w:rsidR="00DD4C05" w:rsidRPr="004577C1" w:rsidRDefault="00DD4C05" w:rsidP="00DD4C05">
      <w:pPr>
        <w:jc w:val="both"/>
        <w:rPr>
          <w:rFonts w:ascii="Times New Roman" w:eastAsia="Calibri" w:hAnsi="Times New Roman" w:cs="Times New Roman"/>
          <w:sz w:val="24"/>
          <w:szCs w:val="24"/>
        </w:rPr>
      </w:pPr>
    </w:p>
    <w:p w14:paraId="44895506" w14:textId="72262BA3" w:rsidR="00DD4C05" w:rsidRPr="004577C1" w:rsidRDefault="00E73605" w:rsidP="00DD4C05">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w:t>
      </w:r>
      <w:r w:rsidR="00DD4C05" w:rsidRPr="004577C1">
        <w:rPr>
          <w:rFonts w:ascii="Times New Roman" w:eastAsia="Calibri" w:hAnsi="Times New Roman" w:cs="Times New Roman"/>
          <w:sz w:val="24"/>
          <w:szCs w:val="24"/>
        </w:rPr>
        <w:t xml:space="preserve">l. 37 ods. 3 </w:t>
      </w:r>
      <w:r w:rsidR="0055782C" w:rsidRPr="004577C1">
        <w:rPr>
          <w:rFonts w:ascii="Times New Roman" w:eastAsia="Calibri" w:hAnsi="Times New Roman" w:cs="Times New Roman"/>
          <w:sz w:val="24"/>
          <w:szCs w:val="24"/>
        </w:rPr>
        <w:t>(§ 25 ods. 3</w:t>
      </w:r>
      <w:r w:rsidR="00FE0050" w:rsidRPr="004577C1">
        <w:rPr>
          <w:rFonts w:ascii="Times New Roman" w:eastAsia="Calibri" w:hAnsi="Times New Roman" w:cs="Times New Roman"/>
          <w:sz w:val="24"/>
          <w:szCs w:val="24"/>
        </w:rPr>
        <w:t xml:space="preserve"> písm. </w:t>
      </w:r>
      <w:r w:rsidR="00A67EE7" w:rsidRPr="004577C1">
        <w:rPr>
          <w:rFonts w:ascii="Times New Roman" w:eastAsia="Calibri" w:hAnsi="Times New Roman" w:cs="Times New Roman"/>
          <w:sz w:val="24"/>
          <w:szCs w:val="24"/>
        </w:rPr>
        <w:t>a</w:t>
      </w:r>
      <w:r w:rsidR="00FE0050" w:rsidRPr="004577C1">
        <w:rPr>
          <w:rFonts w:ascii="Times New Roman" w:eastAsia="Calibri" w:hAnsi="Times New Roman" w:cs="Times New Roman"/>
          <w:sz w:val="24"/>
          <w:szCs w:val="24"/>
        </w:rPr>
        <w:t>)</w:t>
      </w:r>
      <w:r w:rsidR="0055782C" w:rsidRPr="004577C1">
        <w:rPr>
          <w:rFonts w:ascii="Times New Roman" w:eastAsia="Calibri" w:hAnsi="Times New Roman" w:cs="Times New Roman"/>
          <w:sz w:val="24"/>
          <w:szCs w:val="24"/>
        </w:rPr>
        <w:t xml:space="preserve"> návrhu zákona) - </w:t>
      </w:r>
      <w:r w:rsidR="00DD4C05" w:rsidRPr="004577C1">
        <w:rPr>
          <w:rFonts w:ascii="Times New Roman" w:eastAsia="Calibri" w:hAnsi="Times New Roman" w:cs="Times New Roman"/>
          <w:sz w:val="24"/>
          <w:szCs w:val="24"/>
        </w:rPr>
        <w:t>Goldplating typu a) – rozšírenie na iné subjekty. Národná voľba, ktorú umožňuje smernica v ustanovení čl. 37 ods. 3 písm. b), bola využitá. Uvedeným ustanovením sa požiadavky na udelenie povolenia Národnou bankou Slovenska nevzťahujú na dodávateľa tovaru alebo poskytovateľa služieb, ktorý je mikropodnik, malý a stredný podnik a ktorý ponúka a poskytuje spotrebiteľský úver v rámci svojej doplnkovej činnosti vo forme odloženej platby pri predaji tovaru alebo poskytnutí služieb, ak sa takýto spotrebiteľský úver poskytuje bezúročne a bez akýchkoľvek iných poplatkov, s výnimkou  poplatkov, ktoré musí spotrebiteľ zaplatiť v súvislosti s omeškaním platby. Touto výnimkou sa uvedené subjekty nezaťažujú povoľovací</w:t>
      </w:r>
      <w:r w:rsidR="007C1EE2" w:rsidRPr="004577C1">
        <w:rPr>
          <w:rFonts w:ascii="Times New Roman" w:eastAsia="Calibri" w:hAnsi="Times New Roman" w:cs="Times New Roman"/>
          <w:sz w:val="24"/>
          <w:szCs w:val="24"/>
        </w:rPr>
        <w:t>m</w:t>
      </w:r>
      <w:r w:rsidR="00DD4C05" w:rsidRPr="004577C1">
        <w:rPr>
          <w:rFonts w:ascii="Times New Roman" w:eastAsia="Calibri" w:hAnsi="Times New Roman" w:cs="Times New Roman"/>
          <w:sz w:val="24"/>
          <w:szCs w:val="24"/>
        </w:rPr>
        <w:t xml:space="preserve"> konaním, keďže je to neefektívne </w:t>
      </w:r>
      <w:r w:rsidR="00DD4C05" w:rsidRPr="004577C1">
        <w:rPr>
          <w:rFonts w:ascii="Times New Roman" w:eastAsia="Calibri" w:hAnsi="Times New Roman" w:cs="Times New Roman"/>
          <w:sz w:val="24"/>
          <w:szCs w:val="24"/>
        </w:rPr>
        <w:lastRenderedPageBreak/>
        <w:t>vzhľadom na dopady na podnikateľské prostredie. Predkladateľ považuje tento goldplating za pozitívny</w:t>
      </w:r>
      <w:r w:rsidR="00C007C6" w:rsidRPr="004577C1">
        <w:rPr>
          <w:rFonts w:ascii="Times New Roman" w:eastAsia="Calibri" w:hAnsi="Times New Roman" w:cs="Times New Roman"/>
          <w:sz w:val="24"/>
          <w:szCs w:val="24"/>
        </w:rPr>
        <w:t xml:space="preserve"> na podnikateľské prostredie</w:t>
      </w:r>
      <w:r w:rsidR="00103C9B" w:rsidRPr="004577C1">
        <w:rPr>
          <w:rFonts w:ascii="Times New Roman" w:eastAsia="Calibri" w:hAnsi="Times New Roman" w:cs="Times New Roman"/>
          <w:sz w:val="24"/>
          <w:szCs w:val="24"/>
        </w:rPr>
        <w:t>. Negatívne vplyvy sa nepredpokladajú na žiadnu oblasť.</w:t>
      </w:r>
      <w:r w:rsidR="00394CD4" w:rsidRPr="004577C1">
        <w:rPr>
          <w:rFonts w:ascii="Times New Roman" w:eastAsia="Calibri" w:hAnsi="Times New Roman" w:cs="Times New Roman"/>
          <w:sz w:val="24"/>
          <w:szCs w:val="24"/>
        </w:rPr>
        <w:t xml:space="preserve"> Predmetný goldplating sa týka regulácie č. 23 uvedenej v tabuľke č. 2 - Výpočet vplyvov jednotlivých regulácií.</w:t>
      </w:r>
    </w:p>
    <w:p w14:paraId="3E04F33F" w14:textId="77777777" w:rsidR="00585620" w:rsidRPr="004577C1" w:rsidRDefault="00585620" w:rsidP="00054C41">
      <w:pPr>
        <w:jc w:val="both"/>
        <w:rPr>
          <w:rFonts w:ascii="Times New Roman" w:eastAsia="Calibri" w:hAnsi="Times New Roman" w:cs="Times New Roman"/>
          <w:sz w:val="24"/>
          <w:szCs w:val="24"/>
        </w:rPr>
      </w:pPr>
    </w:p>
    <w:p w14:paraId="10392315" w14:textId="167F21D5" w:rsidR="00E73605" w:rsidRPr="004577C1" w:rsidRDefault="00E73605" w:rsidP="00054C41">
      <w:pPr>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Čl. 41 ods. 9 (</w:t>
      </w:r>
      <w:r w:rsidR="00FE0050" w:rsidRPr="004577C1">
        <w:rPr>
          <w:rFonts w:ascii="Times New Roman" w:eastAsia="Calibri" w:hAnsi="Times New Roman" w:cs="Times New Roman"/>
          <w:sz w:val="24"/>
          <w:szCs w:val="24"/>
        </w:rPr>
        <w:t>§ 25 ods. 1 zákona č. 747/2004 Z. z.</w:t>
      </w:r>
      <w:r w:rsidRPr="004577C1">
        <w:rPr>
          <w:rFonts w:ascii="Times New Roman" w:eastAsia="Calibri" w:hAnsi="Times New Roman" w:cs="Times New Roman"/>
          <w:sz w:val="24"/>
          <w:szCs w:val="24"/>
        </w:rPr>
        <w:t>) - Goldplating typu d) – prísnejšie vymáhanie. Národná voľba, ktorú umožňuje smernica v ustanovení čl. 41 ods. 9, bola využitá. Uvedené ustanovenie zákona č. 747/2004 Z. z. je účinné už v súčasnosti (nedochádza k vyčísleniu, keďže sa ponecháva doterajšia právna úprava a nemenia sa náklady veriteľov). Národná banka Slovenska môže v rámci konania vydať predbežné opatrenie, ktorým zabezpečí účel konania alebo bezodkladne upraví pomery, a to prostredníctvom uloženia účastníkovi konania, aby niečo vykonal, niečoho sa zdržal alebo niečo strpel alebo nariadenia zabezpečenia vecí, ktoré sú potrebné na vykonanie dôkazov. Uvedené ustanovenie je dôležité v prípade, ak je potrebné zabrániť hroziacej škode na strane klientov dohliadaného subjektu alebo jej navyšovaniu, inému poškodeniu záujmov klientov, či ohrozeniu finančnej situácie dohliadaného subjektu alebo jej zhoršeniu, skôr, ako dôjde ku konečnému usporiadaniu situácie v meritórnom rozhodnutí. Táto intervenčná právomoc Národnej banky Slovenska sa môže aplikovať aj v oblasti produktov s cieľom stiahnuť úverové produkty, v prípade ktorých je takéto stiahnutie oprávnené. Predkladateľ identifikoval v danom ustanovení zákona č. 747/2004 Z. z. goldplating, ktorý má pozitívny vplyv na podnikateľské prostredie, ale aj pozitívny sociálny vplyv na spotrebiteľov.</w:t>
      </w:r>
    </w:p>
    <w:p w14:paraId="2855A977" w14:textId="77777777" w:rsidR="00E73605" w:rsidRPr="004577C1" w:rsidRDefault="00E73605" w:rsidP="00054C41">
      <w:pPr>
        <w:jc w:val="both"/>
        <w:rPr>
          <w:rFonts w:ascii="Times New Roman" w:eastAsia="Calibri" w:hAnsi="Times New Roman" w:cs="Times New Roman"/>
          <w:sz w:val="24"/>
          <w:szCs w:val="24"/>
          <w:highlight w:val="yellow"/>
        </w:rPr>
      </w:pPr>
    </w:p>
    <w:p w14:paraId="39D55FBC" w14:textId="44B0C098" w:rsidR="00054C41" w:rsidRPr="004577C1" w:rsidRDefault="00054C41" w:rsidP="00054C41">
      <w:pPr>
        <w:jc w:val="both"/>
        <w:rPr>
          <w:rFonts w:ascii="Times New Roman" w:eastAsia="Calibri" w:hAnsi="Times New Roman" w:cs="Times New Roman"/>
          <w:b/>
          <w:sz w:val="24"/>
          <w:szCs w:val="24"/>
        </w:rPr>
      </w:pPr>
      <w:r w:rsidRPr="004577C1">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Uveďte hlavné body konzultácií a ich závery. </w:t>
      </w:r>
    </w:p>
    <w:p w14:paraId="3EE20844"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Pr="004577C1" w:rsidRDefault="00054C41" w:rsidP="00054C41">
      <w:pPr>
        <w:spacing w:after="0"/>
        <w:jc w:val="both"/>
        <w:rPr>
          <w:rFonts w:ascii="Times New Roman" w:eastAsia="Calibri" w:hAnsi="Times New Roman" w:cs="Times New Roman"/>
          <w:i/>
          <w:sz w:val="24"/>
          <w:szCs w:val="24"/>
        </w:rPr>
      </w:pPr>
    </w:p>
    <w:p w14:paraId="26DF6C0B" w14:textId="1022F9F4" w:rsidR="001C20E0" w:rsidRPr="004577C1" w:rsidRDefault="001C20E0" w:rsidP="001C20E0">
      <w:pPr>
        <w:pStyle w:val="Bezriadkovania"/>
        <w:jc w:val="both"/>
        <w:rPr>
          <w:rFonts w:ascii="Times New Roman" w:eastAsia="Times New Roman" w:hAnsi="Times New Roman" w:cs="Times New Roman"/>
          <w:sz w:val="24"/>
          <w:szCs w:val="24"/>
          <w:lang w:eastAsia="sk-SK"/>
        </w:rPr>
      </w:pPr>
      <w:r w:rsidRPr="004577C1">
        <w:rPr>
          <w:rFonts w:ascii="Times New Roman" w:eastAsia="Calibri" w:hAnsi="Times New Roman" w:cs="Times New Roman"/>
          <w:sz w:val="24"/>
          <w:szCs w:val="24"/>
        </w:rPr>
        <w:t>Dňa 6. februára 2024 bola z</w:t>
      </w:r>
      <w:r w:rsidR="00F633AF" w:rsidRPr="004577C1">
        <w:rPr>
          <w:rFonts w:ascii="Times New Roman" w:eastAsia="Calibri" w:hAnsi="Times New Roman" w:cs="Times New Roman"/>
          <w:sz w:val="24"/>
          <w:szCs w:val="24"/>
        </w:rPr>
        <w:t xml:space="preserve">verejnená predbežná informácia </w:t>
      </w:r>
      <w:r w:rsidRPr="004577C1">
        <w:rPr>
          <w:rFonts w:ascii="Times New Roman" w:eastAsia="Calibri" w:hAnsi="Times New Roman" w:cs="Times New Roman"/>
          <w:sz w:val="24"/>
          <w:szCs w:val="24"/>
        </w:rPr>
        <w:t>PI/2024/32</w:t>
      </w:r>
      <w:r w:rsidR="00F633AF" w:rsidRPr="004577C1">
        <w:rPr>
          <w:rFonts w:ascii="Times New Roman" w:eastAsia="Calibri" w:hAnsi="Times New Roman" w:cs="Times New Roman"/>
          <w:sz w:val="24"/>
          <w:szCs w:val="24"/>
        </w:rPr>
        <w:t xml:space="preserve"> (https://www.slov-lex.sk/legislativne-procesy/SK/PI/2024/32</w:t>
      </w:r>
      <w:r w:rsidRPr="004577C1">
        <w:rPr>
          <w:rFonts w:ascii="Times New Roman" w:eastAsia="Calibri" w:hAnsi="Times New Roman" w:cs="Times New Roman"/>
          <w:sz w:val="24"/>
          <w:szCs w:val="24"/>
        </w:rPr>
        <w:t>) podľa § 9 zákona č. 400/2015 Z. z. o tvorbe právnych predpisov a o Zbierke zákonov Slovenskej republiky a o zmene a doplnení niektorých zákonov k  návrhu zákona</w:t>
      </w:r>
      <w:r w:rsidRPr="004577C1">
        <w:rPr>
          <w:rFonts w:ascii="Times New Roman" w:hAnsi="Times New Roman" w:cs="Times New Roman"/>
          <w:sz w:val="24"/>
          <w:szCs w:val="24"/>
        </w:rPr>
        <w:t xml:space="preserve">. Dôvodom vytvorenia návrhu zákona bola povinnosť implementácie </w:t>
      </w:r>
      <w:r w:rsidRPr="004577C1">
        <w:rPr>
          <w:rStyle w:val="normaltextrun"/>
          <w:rFonts w:ascii="Times New Roman" w:eastAsia="Times New Roman" w:hAnsi="Times New Roman" w:cs="Times New Roman"/>
          <w:sz w:val="24"/>
          <w:szCs w:val="24"/>
          <w:lang w:eastAsia="sk-SK"/>
        </w:rPr>
        <w:t xml:space="preserve">smernice </w:t>
      </w:r>
      <w:r w:rsidRPr="004577C1">
        <w:rPr>
          <w:rFonts w:ascii="Times New Roman" w:eastAsia="Times New Roman" w:hAnsi="Times New Roman" w:cs="Times New Roman"/>
          <w:sz w:val="24"/>
          <w:szCs w:val="24"/>
          <w:lang w:eastAsia="sk-SK"/>
        </w:rPr>
        <w:t xml:space="preserve">2023/2225. </w:t>
      </w:r>
      <w:r w:rsidRPr="004577C1">
        <w:rPr>
          <w:rStyle w:val="normaltextrun"/>
          <w:rFonts w:ascii="Times New Roman" w:eastAsia="Times New Roman" w:hAnsi="Times New Roman" w:cs="Times New Roman"/>
          <w:sz w:val="24"/>
          <w:szCs w:val="24"/>
          <w:lang w:eastAsia="sk-SK"/>
        </w:rPr>
        <w:t xml:space="preserve">Na zverejnenú predbežnú informáciu reagovala Slovenská banková asociácia (ďalej len “SBA”), Rada pre reklamu a </w:t>
      </w:r>
      <w:r w:rsidRPr="004577C1">
        <w:rPr>
          <w:rFonts w:ascii="Times New Roman" w:eastAsia="Times New Roman" w:hAnsi="Times New Roman" w:cs="Times New Roman"/>
          <w:sz w:val="24"/>
          <w:szCs w:val="24"/>
          <w:lang w:eastAsia="sk-SK"/>
        </w:rPr>
        <w:t xml:space="preserve">Inštitút moderného spotrebiteľa. Dňa 3. júna 2024 bola na webovej stránke Ministerstva hospodárstva Slovenskej republiky vyhlásená informácia o termínoch konania konzultácií, a to v období od 3. júna do 1. júla 2024. Dňa 11. júna 2024 boli pozvané na osobné konzultácie všetky subjekty, ktoré prejavili záujem zúčastniť sa konzultácií. Tieto subjekty boli Inštitút moderného spotrebiteľa, Únia spotrebiteľov SR, Asociácia slovenských inkasných spoločností (ďalej len „ASINS“), SBA, Asociácia </w:t>
      </w:r>
      <w:r w:rsidRPr="004577C1">
        <w:rPr>
          <w:rFonts w:ascii="Times New Roman" w:eastAsia="Times New Roman" w:hAnsi="Times New Roman" w:cs="Times New Roman"/>
          <w:sz w:val="24"/>
          <w:szCs w:val="24"/>
          <w:lang w:eastAsia="sk-SK"/>
        </w:rPr>
        <w:lastRenderedPageBreak/>
        <w:t xml:space="preserve">leasingových spoločností SR (ďalej len „ALS“) a Asociácia priemyselných zväzov a dopravy (ďalej len „APZD“), pričom prizvaní boli aj predstavitelia Ministerstva hospodárstva Slovenskej republiky (ďalej len „MHSR“) a NBS. </w:t>
      </w:r>
      <w:r w:rsidR="006255C0" w:rsidRPr="004577C1">
        <w:rPr>
          <w:rFonts w:ascii="Times New Roman" w:eastAsia="Times New Roman" w:hAnsi="Times New Roman" w:cs="Times New Roman"/>
          <w:sz w:val="24"/>
          <w:szCs w:val="24"/>
          <w:lang w:eastAsia="sk-SK"/>
        </w:rPr>
        <w:t>Osobných konzultácií sa dňa 17</w:t>
      </w:r>
      <w:r w:rsidRPr="004577C1">
        <w:rPr>
          <w:rFonts w:ascii="Times New Roman" w:eastAsia="Times New Roman" w:hAnsi="Times New Roman" w:cs="Times New Roman"/>
          <w:sz w:val="24"/>
          <w:szCs w:val="24"/>
          <w:lang w:eastAsia="sk-SK"/>
        </w:rPr>
        <w:t>. júna 2024 zúčastnili ASINS, SBA,</w:t>
      </w:r>
      <w:r w:rsidR="006255C0" w:rsidRPr="004577C1">
        <w:rPr>
          <w:rFonts w:ascii="Times New Roman" w:eastAsia="Times New Roman" w:hAnsi="Times New Roman" w:cs="Times New Roman"/>
          <w:sz w:val="24"/>
          <w:szCs w:val="24"/>
          <w:lang w:eastAsia="sk-SK"/>
        </w:rPr>
        <w:t xml:space="preserve"> FINAS,</w:t>
      </w:r>
      <w:r w:rsidRPr="004577C1">
        <w:rPr>
          <w:rFonts w:ascii="Times New Roman" w:eastAsia="Times New Roman" w:hAnsi="Times New Roman" w:cs="Times New Roman"/>
          <w:sz w:val="24"/>
          <w:szCs w:val="24"/>
          <w:lang w:eastAsia="sk-SK"/>
        </w:rPr>
        <w:t xml:space="preserve"> MHSR a NBS a následne dňa 21. júna</w:t>
      </w:r>
      <w:r w:rsidR="006255C0" w:rsidRPr="004577C1">
        <w:rPr>
          <w:rFonts w:ascii="Times New Roman" w:eastAsia="Times New Roman" w:hAnsi="Times New Roman" w:cs="Times New Roman"/>
          <w:sz w:val="24"/>
          <w:szCs w:val="24"/>
          <w:lang w:eastAsia="sk-SK"/>
        </w:rPr>
        <w:t xml:space="preserve"> </w:t>
      </w:r>
      <w:r w:rsidRPr="004577C1">
        <w:rPr>
          <w:rFonts w:ascii="Times New Roman" w:eastAsia="Times New Roman" w:hAnsi="Times New Roman" w:cs="Times New Roman"/>
          <w:sz w:val="24"/>
          <w:szCs w:val="24"/>
          <w:lang w:eastAsia="sk-SK"/>
        </w:rPr>
        <w:t xml:space="preserve">2024 sa dodatočných osobných konzultácií zúčastnili ALS a APZD. Konzultácie obsahovali všeobecnú prezentáciu hlavných cieľov budúcej právnej úpravy so zameraním sa na národné voľby, pričom následne prebiehala diskusia aj o bodoch, ktoré dotknuté subjekty v rámci témy potrebovali prediskutovať. </w:t>
      </w:r>
      <w:r w:rsidR="0058630E" w:rsidRPr="004577C1">
        <w:rPr>
          <w:rFonts w:ascii="Times New Roman" w:eastAsia="Times New Roman" w:hAnsi="Times New Roman" w:cs="Times New Roman"/>
          <w:sz w:val="24"/>
          <w:szCs w:val="24"/>
          <w:lang w:eastAsia="sk-SK"/>
        </w:rPr>
        <w:t xml:space="preserve">Dňa </w:t>
      </w:r>
      <w:r w:rsidR="00BF3F01" w:rsidRPr="004577C1">
        <w:rPr>
          <w:rFonts w:ascii="Times New Roman" w:eastAsia="Times New Roman" w:hAnsi="Times New Roman" w:cs="Times New Roman"/>
          <w:sz w:val="24"/>
          <w:szCs w:val="24"/>
          <w:lang w:eastAsia="sk-SK"/>
        </w:rPr>
        <w:t>3.7.2024</w:t>
      </w:r>
      <w:r w:rsidR="0058630E" w:rsidRPr="004577C1">
        <w:rPr>
          <w:rFonts w:ascii="Times New Roman" w:eastAsia="Times New Roman" w:hAnsi="Times New Roman" w:cs="Times New Roman"/>
          <w:sz w:val="24"/>
          <w:szCs w:val="24"/>
          <w:lang w:eastAsia="sk-SK"/>
        </w:rPr>
        <w:t xml:space="preserve"> bol z</w:t>
      </w:r>
      <w:r w:rsidR="00424830" w:rsidRPr="004577C1">
        <w:rPr>
          <w:rFonts w:ascii="Times New Roman" w:eastAsia="Times New Roman" w:hAnsi="Times New Roman" w:cs="Times New Roman"/>
          <w:sz w:val="24"/>
          <w:szCs w:val="24"/>
          <w:lang w:eastAsia="sk-SK"/>
        </w:rPr>
        <w:t>o</w:t>
      </w:r>
      <w:r w:rsidR="00BF3F01" w:rsidRPr="004577C1">
        <w:rPr>
          <w:rFonts w:ascii="Times New Roman" w:eastAsia="Times New Roman" w:hAnsi="Times New Roman" w:cs="Times New Roman"/>
          <w:sz w:val="24"/>
          <w:szCs w:val="24"/>
          <w:lang w:eastAsia="sk-SK"/>
        </w:rPr>
        <w:t> </w:t>
      </w:r>
      <w:r w:rsidR="0058630E" w:rsidRPr="004577C1">
        <w:rPr>
          <w:rFonts w:ascii="Times New Roman" w:eastAsia="Times New Roman" w:hAnsi="Times New Roman" w:cs="Times New Roman"/>
          <w:sz w:val="24"/>
          <w:szCs w:val="24"/>
          <w:lang w:eastAsia="sk-SK"/>
        </w:rPr>
        <w:t>strany ASINS zaslaný návrh na úpravu niektorých ustanovení diskutovaných už v</w:t>
      </w:r>
      <w:r w:rsidR="00BF3F01" w:rsidRPr="004577C1">
        <w:rPr>
          <w:rFonts w:ascii="Times New Roman" w:eastAsia="Times New Roman" w:hAnsi="Times New Roman" w:cs="Times New Roman"/>
          <w:sz w:val="24"/>
          <w:szCs w:val="24"/>
          <w:lang w:eastAsia="sk-SK"/>
        </w:rPr>
        <w:t> </w:t>
      </w:r>
      <w:r w:rsidR="0058630E" w:rsidRPr="004577C1">
        <w:rPr>
          <w:rFonts w:ascii="Times New Roman" w:eastAsia="Times New Roman" w:hAnsi="Times New Roman" w:cs="Times New Roman"/>
          <w:sz w:val="24"/>
          <w:szCs w:val="24"/>
          <w:lang w:eastAsia="sk-SK"/>
        </w:rPr>
        <w:t xml:space="preserve">rámci predchádzajúcich konzultácií. Tento návrh bol </w:t>
      </w:r>
      <w:r w:rsidR="00D84DF8" w:rsidRPr="004577C1">
        <w:rPr>
          <w:rFonts w:ascii="Times New Roman" w:eastAsia="Times New Roman" w:hAnsi="Times New Roman" w:cs="Times New Roman"/>
          <w:sz w:val="24"/>
          <w:szCs w:val="24"/>
          <w:lang w:eastAsia="sk-SK"/>
        </w:rPr>
        <w:t xml:space="preserve">ďalej </w:t>
      </w:r>
      <w:r w:rsidR="0058630E" w:rsidRPr="004577C1">
        <w:rPr>
          <w:rFonts w:ascii="Times New Roman" w:eastAsia="Times New Roman" w:hAnsi="Times New Roman" w:cs="Times New Roman"/>
          <w:sz w:val="24"/>
          <w:szCs w:val="24"/>
          <w:lang w:eastAsia="sk-SK"/>
        </w:rPr>
        <w:t>konzultovaný v</w:t>
      </w:r>
      <w:r w:rsidR="00BF3F01" w:rsidRPr="004577C1">
        <w:rPr>
          <w:rFonts w:ascii="Times New Roman" w:eastAsia="Times New Roman" w:hAnsi="Times New Roman" w:cs="Times New Roman"/>
          <w:sz w:val="24"/>
          <w:szCs w:val="24"/>
          <w:lang w:eastAsia="sk-SK"/>
        </w:rPr>
        <w:t> </w:t>
      </w:r>
      <w:r w:rsidR="0058630E" w:rsidRPr="004577C1">
        <w:rPr>
          <w:rFonts w:ascii="Times New Roman" w:eastAsia="Times New Roman" w:hAnsi="Times New Roman" w:cs="Times New Roman"/>
          <w:sz w:val="24"/>
          <w:szCs w:val="24"/>
          <w:lang w:eastAsia="sk-SK"/>
        </w:rPr>
        <w:t>rámci osobného stretnutia predstaviteľov MF SR a</w:t>
      </w:r>
      <w:r w:rsidR="00BF3F01" w:rsidRPr="004577C1">
        <w:rPr>
          <w:rFonts w:ascii="Times New Roman" w:eastAsia="Times New Roman" w:hAnsi="Times New Roman" w:cs="Times New Roman"/>
          <w:sz w:val="24"/>
          <w:szCs w:val="24"/>
          <w:lang w:eastAsia="sk-SK"/>
        </w:rPr>
        <w:t> </w:t>
      </w:r>
      <w:r w:rsidR="0058630E" w:rsidRPr="004577C1">
        <w:rPr>
          <w:rFonts w:ascii="Times New Roman" w:eastAsia="Times New Roman" w:hAnsi="Times New Roman" w:cs="Times New Roman"/>
          <w:sz w:val="24"/>
          <w:szCs w:val="24"/>
          <w:lang w:eastAsia="sk-SK"/>
        </w:rPr>
        <w:t xml:space="preserve">ASINS dňa </w:t>
      </w:r>
      <w:r w:rsidR="00BF3F01" w:rsidRPr="004577C1">
        <w:rPr>
          <w:rFonts w:ascii="Times New Roman" w:eastAsia="Times New Roman" w:hAnsi="Times New Roman" w:cs="Times New Roman"/>
          <w:sz w:val="24"/>
          <w:szCs w:val="24"/>
          <w:lang w:eastAsia="sk-SK"/>
        </w:rPr>
        <w:t>5.8.2024</w:t>
      </w:r>
      <w:r w:rsidR="0058630E" w:rsidRPr="004577C1">
        <w:rPr>
          <w:rFonts w:ascii="Times New Roman" w:eastAsia="Times New Roman" w:hAnsi="Times New Roman" w:cs="Times New Roman"/>
          <w:sz w:val="24"/>
          <w:szCs w:val="24"/>
          <w:lang w:eastAsia="sk-SK"/>
        </w:rPr>
        <w:t xml:space="preserve">, v rámci </w:t>
      </w:r>
      <w:r w:rsidR="00D84DF8" w:rsidRPr="004577C1">
        <w:rPr>
          <w:rFonts w:ascii="Times New Roman" w:eastAsia="Times New Roman" w:hAnsi="Times New Roman" w:cs="Times New Roman"/>
          <w:sz w:val="24"/>
          <w:szCs w:val="24"/>
          <w:lang w:eastAsia="sk-SK"/>
        </w:rPr>
        <w:t>ktorého</w:t>
      </w:r>
      <w:r w:rsidR="0058630E" w:rsidRPr="004577C1">
        <w:rPr>
          <w:rFonts w:ascii="Times New Roman" w:eastAsia="Times New Roman" w:hAnsi="Times New Roman" w:cs="Times New Roman"/>
          <w:sz w:val="24"/>
          <w:szCs w:val="24"/>
          <w:lang w:eastAsia="sk-SK"/>
        </w:rPr>
        <w:t xml:space="preserve"> sa dospelo k spoločným kompromisom.</w:t>
      </w:r>
    </w:p>
    <w:p w14:paraId="2E08ABD6" w14:textId="469D3BB3" w:rsidR="006255C0" w:rsidRPr="004577C1" w:rsidRDefault="001C20E0" w:rsidP="001C20E0">
      <w:pPr>
        <w:pStyle w:val="Bezriadkovania"/>
        <w:jc w:val="both"/>
        <w:rPr>
          <w:rFonts w:ascii="Times New Roman" w:eastAsia="Times New Roman" w:hAnsi="Times New Roman" w:cs="Times New Roman"/>
          <w:sz w:val="24"/>
          <w:szCs w:val="24"/>
          <w:lang w:eastAsia="sk-SK"/>
        </w:rPr>
      </w:pPr>
      <w:r w:rsidRPr="004577C1">
        <w:rPr>
          <w:rFonts w:ascii="Times New Roman" w:eastAsia="Times New Roman" w:hAnsi="Times New Roman" w:cs="Times New Roman"/>
          <w:sz w:val="24"/>
          <w:szCs w:val="24"/>
          <w:lang w:eastAsia="sk-SK"/>
        </w:rPr>
        <w:t xml:space="preserve">Následne bol návrh zákona konzultovaný </w:t>
      </w:r>
      <w:r w:rsidR="006255C0" w:rsidRPr="004577C1">
        <w:rPr>
          <w:rFonts w:ascii="Times New Roman" w:eastAsia="Times New Roman" w:hAnsi="Times New Roman" w:cs="Times New Roman"/>
          <w:sz w:val="24"/>
          <w:szCs w:val="24"/>
          <w:lang w:eastAsia="sk-SK"/>
        </w:rPr>
        <w:t xml:space="preserve">primárne s NBS, keďže návrh </w:t>
      </w:r>
      <w:r w:rsidR="000B51CB" w:rsidRPr="004577C1">
        <w:rPr>
          <w:rFonts w:ascii="Times New Roman" w:eastAsia="Times New Roman" w:hAnsi="Times New Roman" w:cs="Times New Roman"/>
          <w:sz w:val="24"/>
          <w:szCs w:val="24"/>
          <w:lang w:eastAsia="sk-SK"/>
        </w:rPr>
        <w:t xml:space="preserve">zákona </w:t>
      </w:r>
      <w:r w:rsidR="006255C0" w:rsidRPr="004577C1">
        <w:rPr>
          <w:rFonts w:ascii="Times New Roman" w:eastAsia="Times New Roman" w:hAnsi="Times New Roman" w:cs="Times New Roman"/>
          <w:sz w:val="24"/>
          <w:szCs w:val="24"/>
          <w:lang w:eastAsia="sk-SK"/>
        </w:rPr>
        <w:t xml:space="preserve">sa dotýka finančného trhu, v rámci ktorého NBS vykonáva dohľad nad licencovanými subjektami. </w:t>
      </w:r>
    </w:p>
    <w:p w14:paraId="2564B0D2" w14:textId="77777777" w:rsidR="006255C0" w:rsidRPr="004577C1" w:rsidRDefault="006255C0" w:rsidP="001C20E0">
      <w:pPr>
        <w:pStyle w:val="Bezriadkovania"/>
        <w:jc w:val="both"/>
        <w:rPr>
          <w:rFonts w:ascii="Times New Roman" w:eastAsia="Times New Roman" w:hAnsi="Times New Roman" w:cs="Times New Roman"/>
          <w:sz w:val="24"/>
          <w:szCs w:val="24"/>
          <w:lang w:eastAsia="sk-SK"/>
        </w:rPr>
      </w:pPr>
    </w:p>
    <w:p w14:paraId="08FCAD96" w14:textId="77777777" w:rsidR="00054C41" w:rsidRPr="004577C1" w:rsidRDefault="00054C41" w:rsidP="00054C41">
      <w:pPr>
        <w:spacing w:after="0"/>
        <w:jc w:val="both"/>
        <w:rPr>
          <w:rFonts w:ascii="Times New Roman" w:eastAsia="Calibri" w:hAnsi="Times New Roman" w:cs="Times New Roman"/>
          <w:i/>
          <w:sz w:val="24"/>
          <w:szCs w:val="24"/>
        </w:rPr>
      </w:pPr>
    </w:p>
    <w:p w14:paraId="609C066C" w14:textId="77777777" w:rsidR="00054C41" w:rsidRPr="004577C1" w:rsidRDefault="00054C41" w:rsidP="00054C41">
      <w:pPr>
        <w:jc w:val="both"/>
        <w:rPr>
          <w:rFonts w:ascii="Times New Roman" w:eastAsia="Calibri" w:hAnsi="Times New Roman" w:cs="Times New Roman"/>
          <w:b/>
          <w:sz w:val="24"/>
          <w:szCs w:val="24"/>
        </w:rPr>
      </w:pPr>
      <w:bookmarkStart w:id="2" w:name="_Hlk47698091"/>
      <w:r w:rsidRPr="004577C1">
        <w:rPr>
          <w:rFonts w:ascii="Times New Roman" w:eastAsia="Calibri" w:hAnsi="Times New Roman" w:cs="Times New Roman"/>
          <w:b/>
          <w:sz w:val="24"/>
          <w:szCs w:val="24"/>
        </w:rPr>
        <w:t>3.3 Vplyvy na konkurencieschopnosť a produktivitu</w:t>
      </w:r>
    </w:p>
    <w:bookmarkEnd w:id="2"/>
    <w:p w14:paraId="5CAF52B4"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Dochádza k vytvoreniu resp. k zmene bariér na trhu? </w:t>
      </w:r>
    </w:p>
    <w:p w14:paraId="4D049DE7"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452A90F1"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Pr="004577C1" w:rsidRDefault="007259CB"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Ovplyvňuje zmena regulácie inovácie, vedu a výskum?</w:t>
      </w:r>
    </w:p>
    <w:p w14:paraId="64E2FB2F" w14:textId="77777777" w:rsidR="00BA19B0" w:rsidRPr="004577C1" w:rsidRDefault="00BA19B0"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Ak bol identifikovaný goldplating</w:t>
      </w:r>
      <w:r w:rsidR="00581EB9" w:rsidRPr="004577C1">
        <w:rPr>
          <w:rFonts w:ascii="Times New Roman" w:eastAsia="Calibri" w:hAnsi="Times New Roman" w:cs="Times New Roman"/>
          <w:i/>
          <w:sz w:val="24"/>
          <w:szCs w:val="24"/>
        </w:rPr>
        <w:t>,</w:t>
      </w:r>
      <w:r w:rsidR="00C14655" w:rsidRPr="004577C1">
        <w:rPr>
          <w:rFonts w:ascii="Times New Roman" w:eastAsia="Calibri" w:hAnsi="Times New Roman" w:cs="Times New Roman"/>
          <w:i/>
          <w:sz w:val="24"/>
          <w:szCs w:val="24"/>
        </w:rPr>
        <w:t xml:space="preserve"> prispieva k zníženiu konkurencieschopnosti a produktivity?</w:t>
      </w:r>
      <w:r w:rsidR="00581EB9" w:rsidRPr="004577C1">
        <w:rPr>
          <w:rFonts w:ascii="Times New Roman" w:eastAsia="Calibri" w:hAnsi="Times New Roman" w:cs="Times New Roman"/>
          <w:i/>
          <w:sz w:val="24"/>
          <w:szCs w:val="24"/>
        </w:rPr>
        <w:t xml:space="preserve"> Akým spôsobom?</w:t>
      </w:r>
    </w:p>
    <w:p w14:paraId="72CB32C8"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4577C1" w:rsidRDefault="00054C41" w:rsidP="00054C41">
      <w:pPr>
        <w:spacing w:after="0"/>
        <w:jc w:val="both"/>
        <w:rPr>
          <w:rFonts w:ascii="Times New Roman" w:eastAsia="Calibri" w:hAnsi="Times New Roman" w:cs="Times New Roman"/>
          <w:i/>
          <w:sz w:val="24"/>
          <w:szCs w:val="24"/>
        </w:rPr>
      </w:pPr>
    </w:p>
    <w:p w14:paraId="4BE35CB4" w14:textId="77777777" w:rsidR="00054C41" w:rsidRPr="004577C1" w:rsidRDefault="00054C41" w:rsidP="00054C41">
      <w:pPr>
        <w:spacing w:after="0"/>
        <w:jc w:val="both"/>
        <w:rPr>
          <w:rFonts w:ascii="Times New Roman" w:eastAsia="Calibri" w:hAnsi="Times New Roman" w:cs="Times New Roman"/>
          <w:b/>
          <w:i/>
          <w:sz w:val="24"/>
          <w:szCs w:val="24"/>
        </w:rPr>
      </w:pPr>
      <w:r w:rsidRPr="004577C1">
        <w:rPr>
          <w:rFonts w:ascii="Times New Roman" w:eastAsia="Calibri" w:hAnsi="Times New Roman" w:cs="Times New Roman"/>
          <w:b/>
          <w:i/>
          <w:sz w:val="24"/>
          <w:szCs w:val="24"/>
        </w:rPr>
        <w:t>Konkurencieschopnosť:</w:t>
      </w:r>
    </w:p>
    <w:p w14:paraId="6C684286"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Na základe uvedených odpovedí zaškrtnite a popíšte, či materiál konkurencieschopnosť:</w:t>
      </w:r>
    </w:p>
    <w:p w14:paraId="76CD0669" w14:textId="3E99D2AB" w:rsidR="00054C41" w:rsidRPr="004577C1"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2F0E6C" w:rsidRPr="004577C1">
                <w:rPr>
                  <w:rFonts w:ascii="Times New Roman" w:eastAsia="Calibri" w:hAnsi="Times New Roman" w:cs="Times New Roman"/>
                  <w:i/>
                  <w:sz w:val="24"/>
                  <w:szCs w:val="24"/>
                </w:rPr>
                <w:t xml:space="preserve">x </w:t>
              </w:r>
            </w:sdtContent>
          </w:sdt>
        </w:sdtContent>
      </w:sdt>
      <w:r w:rsidR="00054C41" w:rsidRPr="004577C1">
        <w:rPr>
          <w:rFonts w:ascii="Times New Roman" w:eastAsia="Calibri" w:hAnsi="Times New Roman" w:cs="Times New Roman"/>
          <w:i/>
          <w:sz w:val="24"/>
          <w:szCs w:val="24"/>
        </w:rPr>
        <w:t xml:space="preserve"> zvyšuje  </w:t>
      </w:r>
      <w:r w:rsidR="00054C41" w:rsidRPr="004577C1">
        <w:rPr>
          <w:rFonts w:ascii="Times New Roman" w:eastAsia="Calibri" w:hAnsi="Times New Roman" w:cs="Times New Roman"/>
          <w:i/>
          <w:sz w:val="24"/>
          <w:szCs w:val="24"/>
        </w:rPr>
        <w:tab/>
      </w:r>
      <w:sdt>
        <w:sdtPr>
          <w:rPr>
            <w:rFonts w:ascii="Times New Roman" w:eastAsia="Calibri" w:hAnsi="Times New Roman" w:cs="Times New Roman"/>
            <w:i/>
            <w:sz w:val="24"/>
            <w:szCs w:val="24"/>
          </w:rPr>
          <w:id w:val="-848334583"/>
        </w:sdtPr>
        <w:sdtContent>
          <w:sdt>
            <w:sdtPr>
              <w:rPr>
                <w:rFonts w:ascii="Times New Roman" w:eastAsia="Calibri" w:hAnsi="Times New Roman" w:cs="Times New Roman"/>
                <w:i/>
                <w:sz w:val="24"/>
                <w:szCs w:val="24"/>
              </w:rPr>
              <w:id w:val="-787361815"/>
            </w:sdtPr>
            <w:sdtContent>
              <w:r w:rsidR="002F0E6C" w:rsidRPr="004577C1">
                <w:rPr>
                  <w:rFonts w:ascii="Segoe UI Symbol" w:eastAsia="Calibri" w:hAnsi="Segoe UI Symbol" w:cs="Segoe UI Symbol"/>
                  <w:i/>
                  <w:sz w:val="24"/>
                  <w:szCs w:val="24"/>
                </w:rPr>
                <w:t>☐</w:t>
              </w:r>
            </w:sdtContent>
          </w:sdt>
        </w:sdtContent>
      </w:sdt>
      <w:r w:rsidR="002F0E6C" w:rsidRPr="004577C1">
        <w:rPr>
          <w:rFonts w:ascii="Times New Roman" w:eastAsia="Calibri" w:hAnsi="Times New Roman" w:cs="Times New Roman"/>
          <w:i/>
          <w:sz w:val="24"/>
          <w:szCs w:val="24"/>
        </w:rPr>
        <w:t xml:space="preserve"> </w:t>
      </w:r>
      <w:r w:rsidR="00054C41" w:rsidRPr="004577C1">
        <w:rPr>
          <w:rFonts w:ascii="Times New Roman" w:eastAsia="Calibri" w:hAnsi="Times New Roman" w:cs="Times New Roman"/>
          <w:i/>
          <w:sz w:val="24"/>
          <w:szCs w:val="24"/>
        </w:rPr>
        <w:t>nemení</w:t>
      </w:r>
      <w:r w:rsidR="00054C41" w:rsidRPr="004577C1">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4577C1">
                <w:rPr>
                  <w:rFonts w:ascii="Segoe UI Symbol" w:eastAsia="Calibri" w:hAnsi="Segoe UI Symbol" w:cs="Segoe UI Symbol"/>
                  <w:i/>
                  <w:sz w:val="24"/>
                  <w:szCs w:val="24"/>
                </w:rPr>
                <w:t>☐</w:t>
              </w:r>
            </w:sdtContent>
          </w:sdt>
        </w:sdtContent>
      </w:sdt>
      <w:r w:rsidR="00054C41" w:rsidRPr="004577C1">
        <w:rPr>
          <w:rFonts w:ascii="Times New Roman" w:eastAsia="Calibri" w:hAnsi="Times New Roman" w:cs="Times New Roman"/>
          <w:i/>
          <w:sz w:val="24"/>
          <w:szCs w:val="24"/>
        </w:rPr>
        <w:t xml:space="preserve"> znižuje</w:t>
      </w:r>
    </w:p>
    <w:p w14:paraId="327BF48A" w14:textId="2D3AD907" w:rsidR="00054C41" w:rsidRPr="004577C1" w:rsidRDefault="00054C41" w:rsidP="00054C41">
      <w:pPr>
        <w:spacing w:after="0"/>
        <w:jc w:val="both"/>
        <w:rPr>
          <w:rFonts w:ascii="Times New Roman" w:eastAsia="Calibri" w:hAnsi="Times New Roman" w:cs="Times New Roman"/>
          <w:i/>
          <w:sz w:val="24"/>
          <w:szCs w:val="24"/>
        </w:rPr>
      </w:pPr>
    </w:p>
    <w:p w14:paraId="5861187D" w14:textId="77777777" w:rsidR="00054C41" w:rsidRPr="004577C1" w:rsidRDefault="00054C41" w:rsidP="00054C41">
      <w:pPr>
        <w:spacing w:after="0"/>
        <w:jc w:val="both"/>
        <w:rPr>
          <w:rFonts w:ascii="Times New Roman" w:eastAsia="Calibri" w:hAnsi="Times New Roman" w:cs="Times New Roman"/>
          <w:b/>
          <w:i/>
          <w:sz w:val="24"/>
          <w:szCs w:val="24"/>
        </w:rPr>
      </w:pPr>
      <w:r w:rsidRPr="004577C1">
        <w:rPr>
          <w:rFonts w:ascii="Times New Roman" w:eastAsia="Calibri" w:hAnsi="Times New Roman" w:cs="Times New Roman"/>
          <w:b/>
          <w:i/>
          <w:sz w:val="24"/>
          <w:szCs w:val="24"/>
        </w:rPr>
        <w:t>Produktivita:</w:t>
      </w:r>
    </w:p>
    <w:p w14:paraId="1FF562C2"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4577C1" w:rsidRDefault="00054C41" w:rsidP="00054C41">
      <w:pPr>
        <w:spacing w:after="0"/>
        <w:jc w:val="both"/>
        <w:rPr>
          <w:rFonts w:ascii="Times New Roman" w:eastAsia="Calibri" w:hAnsi="Times New Roman" w:cs="Times New Roman"/>
          <w:i/>
          <w:sz w:val="24"/>
          <w:szCs w:val="24"/>
        </w:rPr>
      </w:pPr>
    </w:p>
    <w:p w14:paraId="0B272ABF" w14:textId="77777777" w:rsidR="00054C41" w:rsidRPr="004577C1" w:rsidRDefault="00054C41" w:rsidP="00054C41">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Na základe uvedenej odpovede zaškrtnite a popíšte, či materiál produktivitu:</w:t>
      </w:r>
    </w:p>
    <w:p w14:paraId="789FA80A" w14:textId="659DB19D" w:rsidR="00054C41" w:rsidRPr="004577C1"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4577C1">
                <w:rPr>
                  <w:rFonts w:ascii="Segoe UI Symbol" w:eastAsia="Calibri" w:hAnsi="Segoe UI Symbol" w:cs="Segoe UI Symbol"/>
                  <w:i/>
                  <w:sz w:val="24"/>
                  <w:szCs w:val="24"/>
                </w:rPr>
                <w:t>☐</w:t>
              </w:r>
            </w:sdtContent>
          </w:sdt>
        </w:sdtContent>
      </w:sdt>
      <w:r w:rsidR="00054C41" w:rsidRPr="004577C1">
        <w:rPr>
          <w:rFonts w:ascii="Times New Roman" w:eastAsia="Calibri" w:hAnsi="Times New Roman" w:cs="Times New Roman"/>
          <w:i/>
          <w:sz w:val="24"/>
          <w:szCs w:val="24"/>
        </w:rPr>
        <w:t xml:space="preserve"> zvyšuje  </w:t>
      </w:r>
      <w:r w:rsidR="00054C41" w:rsidRPr="004577C1">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CC6E81" w:rsidRPr="004577C1">
                <w:rPr>
                  <w:rFonts w:ascii="Times New Roman" w:eastAsia="Calibri" w:hAnsi="Times New Roman" w:cs="Times New Roman"/>
                  <w:i/>
                  <w:sz w:val="24"/>
                  <w:szCs w:val="24"/>
                </w:rPr>
                <w:t xml:space="preserve">x </w:t>
              </w:r>
            </w:sdtContent>
          </w:sdt>
        </w:sdtContent>
      </w:sdt>
      <w:r w:rsidR="00054C41" w:rsidRPr="004577C1">
        <w:rPr>
          <w:rFonts w:ascii="Times New Roman" w:eastAsia="Calibri" w:hAnsi="Times New Roman" w:cs="Times New Roman"/>
          <w:i/>
          <w:sz w:val="24"/>
          <w:szCs w:val="24"/>
        </w:rPr>
        <w:t xml:space="preserve"> nemení</w:t>
      </w:r>
      <w:r w:rsidR="00054C41" w:rsidRPr="004577C1">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4577C1">
                <w:rPr>
                  <w:rFonts w:ascii="Segoe UI Symbol" w:eastAsia="Calibri" w:hAnsi="Segoe UI Symbol" w:cs="Segoe UI Symbol"/>
                  <w:i/>
                  <w:sz w:val="24"/>
                  <w:szCs w:val="24"/>
                </w:rPr>
                <w:t>☐</w:t>
              </w:r>
            </w:sdtContent>
          </w:sdt>
        </w:sdtContent>
      </w:sdt>
      <w:r w:rsidR="00054C41" w:rsidRPr="004577C1">
        <w:rPr>
          <w:rFonts w:ascii="Times New Roman" w:eastAsia="Calibri" w:hAnsi="Times New Roman" w:cs="Times New Roman"/>
          <w:i/>
          <w:sz w:val="24"/>
          <w:szCs w:val="24"/>
        </w:rPr>
        <w:t xml:space="preserve"> znižuje</w:t>
      </w:r>
    </w:p>
    <w:p w14:paraId="1FFE92DA" w14:textId="77777777" w:rsidR="00054C41" w:rsidRPr="004577C1" w:rsidRDefault="00054C41" w:rsidP="00054C41">
      <w:pPr>
        <w:spacing w:after="0"/>
        <w:jc w:val="both"/>
        <w:rPr>
          <w:rFonts w:ascii="Times New Roman" w:eastAsia="Calibri" w:hAnsi="Times New Roman" w:cs="Times New Roman"/>
          <w:i/>
          <w:sz w:val="24"/>
          <w:szCs w:val="24"/>
        </w:rPr>
      </w:pPr>
    </w:p>
    <w:p w14:paraId="6E668C07" w14:textId="77777777" w:rsidR="0093119D" w:rsidRPr="004577C1" w:rsidRDefault="0093119D" w:rsidP="0093119D">
      <w:pPr>
        <w:spacing w:after="0"/>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Návrh zákona zvyšuje konkurencieschopnosť veriteľov poskytujúcich spotrebiteľské úvery na vnútornom trhu v rámci oblastí, ktoré nie sú v súčasnosti upravené v platnom zákone č. 129/2010 Z. z. o spotrebiteľských úveroch a o iných úveroch a pôžičkách pre spotrebiteľov a o zmene a doplnení niektorých zákonov. Konkurencieschopnosť veriteľov sa zvyšuje aj z dôvodu zavedenia podmienok pre veriteľov z iných členských štátov, ktorí budú mať záujem na území Slovenskej republiky poskytovať spotrebiteľské úvery. Týmito opatreniami by sa mali </w:t>
      </w:r>
      <w:r w:rsidRPr="004577C1">
        <w:rPr>
          <w:rFonts w:ascii="Times New Roman" w:eastAsia="Calibri" w:hAnsi="Times New Roman" w:cs="Times New Roman"/>
          <w:sz w:val="24"/>
          <w:szCs w:val="24"/>
        </w:rPr>
        <w:lastRenderedPageBreak/>
        <w:t>dosiahnuť ciele smernice 2023/2225, a to konkrétne podpora konkurencieschopnosti na vnútornom trhu a pri cezhraničnom poskytovaní spotrebiteľských úverov.</w:t>
      </w:r>
    </w:p>
    <w:p w14:paraId="6DE627FD" w14:textId="62CB32D3" w:rsidR="0093119D" w:rsidRPr="004577C1" w:rsidRDefault="0093119D" w:rsidP="00054C41">
      <w:pPr>
        <w:spacing w:after="0"/>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Návrh zákona ďalej nepredpokladá špeciálne režimy v rámci ustanovení pre MSP. Zmena regulácie vyslovene neovplyvňuje inovácie, vedu a výskum, ale primárne rieši zlepšenie poskytovania spotrebiteľských úverov v dôsledku digitalizácie.</w:t>
      </w:r>
    </w:p>
    <w:p w14:paraId="7B328A1D" w14:textId="40649648" w:rsidR="00726FCD" w:rsidRPr="004577C1" w:rsidRDefault="00BD6113" w:rsidP="00054C41">
      <w:pPr>
        <w:spacing w:after="0"/>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Návrh zákona nemení produktivitu </w:t>
      </w:r>
      <w:r w:rsidR="00F3348E" w:rsidRPr="004577C1">
        <w:rPr>
          <w:rFonts w:ascii="Times New Roman" w:eastAsia="Calibri" w:hAnsi="Times New Roman" w:cs="Times New Roman"/>
          <w:sz w:val="24"/>
          <w:szCs w:val="24"/>
        </w:rPr>
        <w:t xml:space="preserve">veriteľov. </w:t>
      </w:r>
      <w:r w:rsidRPr="004577C1">
        <w:rPr>
          <w:rFonts w:ascii="Times New Roman" w:eastAsia="Calibri" w:hAnsi="Times New Roman" w:cs="Times New Roman"/>
          <w:sz w:val="24"/>
          <w:szCs w:val="24"/>
        </w:rPr>
        <w:t xml:space="preserve"> </w:t>
      </w:r>
    </w:p>
    <w:p w14:paraId="3814BF91" w14:textId="6319E2FC" w:rsidR="00E30D85" w:rsidRPr="004577C1" w:rsidRDefault="00E30D85" w:rsidP="00054C41">
      <w:pPr>
        <w:spacing w:after="0"/>
        <w:jc w:val="both"/>
        <w:rPr>
          <w:rFonts w:ascii="Times New Roman" w:eastAsia="Calibri" w:hAnsi="Times New Roman" w:cs="Times New Roman"/>
          <w:i/>
          <w:sz w:val="24"/>
          <w:szCs w:val="24"/>
        </w:rPr>
      </w:pPr>
    </w:p>
    <w:p w14:paraId="0F05F45F" w14:textId="77777777" w:rsidR="00054C41" w:rsidRPr="004577C1" w:rsidRDefault="00054C41" w:rsidP="00054C41">
      <w:pPr>
        <w:jc w:val="both"/>
        <w:rPr>
          <w:rFonts w:ascii="Times New Roman" w:eastAsia="Calibri" w:hAnsi="Times New Roman" w:cs="Times New Roman"/>
          <w:b/>
          <w:sz w:val="24"/>
          <w:szCs w:val="24"/>
        </w:rPr>
      </w:pPr>
      <w:r w:rsidRPr="004577C1">
        <w:rPr>
          <w:rFonts w:ascii="Times New Roman" w:eastAsia="Calibri" w:hAnsi="Times New Roman" w:cs="Times New Roman"/>
          <w:b/>
          <w:sz w:val="24"/>
          <w:szCs w:val="24"/>
        </w:rPr>
        <w:t xml:space="preserve">3.4  Iné vplyvy na podnikateľské prostredie </w:t>
      </w:r>
    </w:p>
    <w:p w14:paraId="727C9A0E" w14:textId="77777777" w:rsidR="00FF414B" w:rsidRPr="004577C1" w:rsidRDefault="00FF414B" w:rsidP="00FF414B">
      <w:pPr>
        <w:spacing w:after="0"/>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Pr="004577C1"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4577C1"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regulované ceny podľa zákona č. 18/1996 Z. z. o cenách;</w:t>
      </w:r>
    </w:p>
    <w:p w14:paraId="46E907D6" w14:textId="77777777" w:rsidR="00FF414B" w:rsidRPr="004577C1"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iné vplyvy, ktoré predpokladá materiál, ale nemožno ich zaradiť do častí 3.1 a 3.3.</w:t>
      </w:r>
      <w:r w:rsidR="00E214C0" w:rsidRPr="004577C1">
        <w:rPr>
          <w:rFonts w:ascii="Times New Roman" w:eastAsia="Calibri" w:hAnsi="Times New Roman" w:cs="Times New Roman"/>
          <w:i/>
          <w:sz w:val="24"/>
          <w:szCs w:val="24"/>
        </w:rPr>
        <w:t>,</w:t>
      </w:r>
    </w:p>
    <w:p w14:paraId="656A83C3" w14:textId="66AC563C" w:rsidR="00B21D1F" w:rsidRPr="004577C1" w:rsidRDefault="00D114ED" w:rsidP="00CC6E81">
      <w:pPr>
        <w:pStyle w:val="Odsekzoznamu"/>
        <w:numPr>
          <w:ilvl w:val="0"/>
          <w:numId w:val="6"/>
        </w:numPr>
        <w:spacing w:after="0" w:line="254" w:lineRule="auto"/>
        <w:jc w:val="both"/>
        <w:rPr>
          <w:rFonts w:ascii="Times New Roman" w:eastAsia="Calibri" w:hAnsi="Times New Roman" w:cs="Times New Roman"/>
          <w:i/>
          <w:sz w:val="24"/>
          <w:szCs w:val="24"/>
        </w:rPr>
      </w:pPr>
      <w:r w:rsidRPr="004577C1">
        <w:rPr>
          <w:rFonts w:ascii="Times New Roman" w:eastAsia="Calibri" w:hAnsi="Times New Roman" w:cs="Times New Roman"/>
          <w:i/>
          <w:sz w:val="24"/>
          <w:szCs w:val="24"/>
        </w:rPr>
        <w:t>iné vplyvy podľa písm. a) až c), ktoré sú goldplatingom.</w:t>
      </w:r>
    </w:p>
    <w:p w14:paraId="7C751E53" w14:textId="6F6F9BC1" w:rsidR="00CC6E81" w:rsidRPr="004577C1" w:rsidRDefault="00CC6E81" w:rsidP="00CC6E81">
      <w:pPr>
        <w:spacing w:after="0" w:line="254" w:lineRule="auto"/>
        <w:jc w:val="both"/>
        <w:rPr>
          <w:rFonts w:ascii="Times New Roman" w:eastAsia="Calibri" w:hAnsi="Times New Roman" w:cs="Times New Roman"/>
          <w:i/>
          <w:sz w:val="24"/>
          <w:szCs w:val="24"/>
        </w:rPr>
      </w:pPr>
    </w:p>
    <w:p w14:paraId="0EE59C9F" w14:textId="266492C2" w:rsidR="00D91DD4" w:rsidRPr="004577C1" w:rsidRDefault="005B53F7" w:rsidP="00CC6E81">
      <w:pPr>
        <w:spacing w:after="0" w:line="254" w:lineRule="auto"/>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 xml:space="preserve">Návrh zákona predpokladá pozitívne, ako aj negatívne vplyvy na podnikateľské prostredie. </w:t>
      </w:r>
      <w:r w:rsidR="00740BFC" w:rsidRPr="004577C1">
        <w:rPr>
          <w:rFonts w:ascii="Times New Roman" w:eastAsia="Calibri" w:hAnsi="Times New Roman" w:cs="Times New Roman"/>
          <w:sz w:val="24"/>
          <w:szCs w:val="24"/>
        </w:rPr>
        <w:t xml:space="preserve">Predmetná regulácia v rámci návrhu zákona je </w:t>
      </w:r>
      <w:r w:rsidR="00D23568" w:rsidRPr="004577C1">
        <w:rPr>
          <w:rFonts w:ascii="Times New Roman" w:eastAsia="Calibri" w:hAnsi="Times New Roman" w:cs="Times New Roman"/>
          <w:sz w:val="24"/>
          <w:szCs w:val="24"/>
        </w:rPr>
        <w:t xml:space="preserve">teda </w:t>
      </w:r>
      <w:r w:rsidR="00740BFC" w:rsidRPr="004577C1">
        <w:rPr>
          <w:rFonts w:ascii="Times New Roman" w:eastAsia="Calibri" w:hAnsi="Times New Roman" w:cs="Times New Roman"/>
          <w:sz w:val="24"/>
          <w:szCs w:val="24"/>
        </w:rPr>
        <w:t xml:space="preserve">zameraná hlavne na zvýšenie ochrany spotrebiteľa, ale predpokladá aj istý pozitívny vplyv na podnikateľské prostredie, ktorý však nie je možné vyčísliť, nakoľko ide o veľmi abstraktný vplyv, ktorého účinky nie je možné dopredu definovať. </w:t>
      </w:r>
    </w:p>
    <w:p w14:paraId="2082D901" w14:textId="564FBB1A" w:rsidR="00D23568" w:rsidRPr="004577C1" w:rsidRDefault="00D23568" w:rsidP="00CC6E81">
      <w:pPr>
        <w:spacing w:after="0" w:line="254" w:lineRule="auto"/>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Medzi pozitívne vplyvy na podnikateľské p</w:t>
      </w:r>
      <w:r w:rsidR="00152758" w:rsidRPr="004577C1">
        <w:rPr>
          <w:rFonts w:ascii="Times New Roman" w:eastAsia="Calibri" w:hAnsi="Times New Roman" w:cs="Times New Roman"/>
          <w:sz w:val="24"/>
          <w:szCs w:val="24"/>
        </w:rPr>
        <w:t xml:space="preserve">rostredie zaraďujeme napríklad </w:t>
      </w:r>
      <w:r w:rsidRPr="004577C1">
        <w:rPr>
          <w:rFonts w:ascii="Times New Roman" w:eastAsia="Calibri" w:hAnsi="Times New Roman" w:cs="Times New Roman"/>
          <w:sz w:val="24"/>
          <w:szCs w:val="24"/>
        </w:rPr>
        <w:t>ustanovenie o možnosti pre veriteľa požadovať od spotrebiteľa otvorenie alebo ponechanie si platobného účtu alebo sporiaceho účtu za účelom zhromažďovania finančných prostriedkov na splácanie spotrebiteľského úveru</w:t>
      </w:r>
      <w:r w:rsidR="00070275" w:rsidRPr="004577C1">
        <w:rPr>
          <w:rFonts w:ascii="Times New Roman" w:eastAsia="Calibri" w:hAnsi="Times New Roman" w:cs="Times New Roman"/>
          <w:sz w:val="24"/>
          <w:szCs w:val="24"/>
        </w:rPr>
        <w:t xml:space="preserve">, </w:t>
      </w:r>
      <w:r w:rsidRPr="004577C1">
        <w:rPr>
          <w:rFonts w:ascii="Times New Roman" w:eastAsia="Calibri" w:hAnsi="Times New Roman" w:cs="Times New Roman"/>
          <w:sz w:val="24"/>
          <w:szCs w:val="24"/>
        </w:rPr>
        <w:t>informovania o splácaní spotrebiteľského úveru, sporenia z dôvodu získania spotrebiteľského úveru a poskytnutia dodatočnej zábezpeky veriteľovi v prípade omeškania so splácaním spotrebiteľského úveru</w:t>
      </w:r>
      <w:r w:rsidR="0042164E" w:rsidRPr="004577C1">
        <w:rPr>
          <w:rFonts w:ascii="Times New Roman" w:eastAsia="Calibri" w:hAnsi="Times New Roman" w:cs="Times New Roman"/>
          <w:sz w:val="24"/>
          <w:szCs w:val="24"/>
        </w:rPr>
        <w:t xml:space="preserve"> </w:t>
      </w:r>
      <w:r w:rsidR="00070275" w:rsidRPr="004577C1">
        <w:rPr>
          <w:rFonts w:ascii="Times New Roman" w:eastAsia="Calibri" w:hAnsi="Times New Roman" w:cs="Times New Roman"/>
          <w:sz w:val="24"/>
          <w:szCs w:val="24"/>
        </w:rPr>
        <w:t>(§ 4 ods. 4)</w:t>
      </w:r>
      <w:r w:rsidRPr="004577C1">
        <w:rPr>
          <w:rFonts w:ascii="Times New Roman" w:eastAsia="Calibri" w:hAnsi="Times New Roman" w:cs="Times New Roman"/>
          <w:sz w:val="24"/>
          <w:szCs w:val="24"/>
        </w:rPr>
        <w:t>. Taktiež môže veriteľ požadovať uzavretie náležitej poistnej zmluvy k zmluve o spotrebiteľskom úvere</w:t>
      </w:r>
      <w:r w:rsidR="00070275" w:rsidRPr="004577C1">
        <w:rPr>
          <w:rFonts w:ascii="Times New Roman" w:eastAsia="Calibri" w:hAnsi="Times New Roman" w:cs="Times New Roman"/>
          <w:sz w:val="24"/>
          <w:szCs w:val="24"/>
        </w:rPr>
        <w:t xml:space="preserve"> (§ 4 ods. 5)</w:t>
      </w:r>
      <w:r w:rsidRPr="004577C1">
        <w:rPr>
          <w:rFonts w:ascii="Times New Roman" w:eastAsia="Calibri" w:hAnsi="Times New Roman" w:cs="Times New Roman"/>
          <w:sz w:val="24"/>
          <w:szCs w:val="24"/>
        </w:rPr>
        <w:t>. Cieľom ustanovení je, aby veritelia získali istotu vrátenia peňažných prostriedkov zo strany spotrebiteľa v prípade, ak dôjde k neočakávaným okolnostiam, resp. nemožnosti splácať takýto úver.</w:t>
      </w:r>
    </w:p>
    <w:p w14:paraId="1133F87E" w14:textId="34D738CA" w:rsidR="00D91DD4" w:rsidRPr="004577C1" w:rsidRDefault="00B32C8A" w:rsidP="00CC6E81">
      <w:pPr>
        <w:spacing w:after="0" w:line="254" w:lineRule="auto"/>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Medzi pozitívne vplyvy zaraďujeme aj zvýšenie limitu poskytnutých spotrebiteľských úverov pre veriteľa, ktorý poskytuje úvery v obmedzenom rozsahu, a to z 10 000 eur na 30 000 eur</w:t>
      </w:r>
      <w:r w:rsidR="009B319D" w:rsidRPr="004577C1">
        <w:rPr>
          <w:rFonts w:ascii="Times New Roman" w:eastAsia="Calibri" w:hAnsi="Times New Roman" w:cs="Times New Roman"/>
          <w:sz w:val="24"/>
          <w:szCs w:val="24"/>
        </w:rPr>
        <w:t xml:space="preserve"> (§ 27 ods. 1)</w:t>
      </w:r>
      <w:r w:rsidRPr="004577C1">
        <w:rPr>
          <w:rFonts w:ascii="Times New Roman" w:eastAsia="Calibri" w:hAnsi="Times New Roman" w:cs="Times New Roman"/>
          <w:sz w:val="24"/>
          <w:szCs w:val="24"/>
        </w:rPr>
        <w:t xml:space="preserve">. Limit sa zvyšuje </w:t>
      </w:r>
      <w:r w:rsidR="009B319D" w:rsidRPr="004577C1">
        <w:rPr>
          <w:rFonts w:ascii="Times New Roman" w:eastAsia="Calibri" w:hAnsi="Times New Roman" w:cs="Times New Roman"/>
          <w:sz w:val="24"/>
          <w:szCs w:val="24"/>
        </w:rPr>
        <w:t>s ohľadom na aktuálny</w:t>
      </w:r>
      <w:r w:rsidRPr="004577C1">
        <w:rPr>
          <w:rFonts w:ascii="Times New Roman" w:eastAsia="Calibri" w:hAnsi="Times New Roman" w:cs="Times New Roman"/>
          <w:sz w:val="24"/>
          <w:szCs w:val="24"/>
        </w:rPr>
        <w:t xml:space="preserve"> vývoj na finančnom trhu.</w:t>
      </w:r>
    </w:p>
    <w:p w14:paraId="6CA4702C" w14:textId="25645ECC" w:rsidR="00D91DD4" w:rsidRPr="004577C1" w:rsidRDefault="00D91DD4" w:rsidP="00CC6E81">
      <w:pPr>
        <w:spacing w:after="0" w:line="254" w:lineRule="auto"/>
        <w:jc w:val="both"/>
        <w:rPr>
          <w:rFonts w:ascii="Times New Roman" w:eastAsia="Calibri" w:hAnsi="Times New Roman" w:cs="Times New Roman"/>
          <w:sz w:val="24"/>
          <w:szCs w:val="24"/>
        </w:rPr>
      </w:pPr>
      <w:r w:rsidRPr="004577C1">
        <w:rPr>
          <w:rFonts w:ascii="Times New Roman" w:hAnsi="Times New Roman" w:cs="Times New Roman"/>
          <w:bCs/>
          <w:sz w:val="24"/>
          <w:szCs w:val="24"/>
        </w:rPr>
        <w:t>Pozitívny dopad na podnikateľské prostredie predstavuje aj zmena zákona o úveroch na bývanie (§ 13 ods. 4). V uvedenom zákone dochádza k zjednoteniu ustanovenia ohľadom jednej z náležitostí zmluvy o úvere na bývanie s ustanovením zákona o spotrebiteľských úveroch najmä z dôvodu, že aktuálna právna úprava spôsobuje právnu neistotu pri cudzích štátnych príslušníkoch, ktorí nemajú pridelené rodné číslo, keďže rodné číslo je povinnou náležitosťou zmluvy o úvere na bývanie. Cieľom je zvýšenie právnej istoty pre banky, ako aj odstránenie bariér pri poskytovaní úverov</w:t>
      </w:r>
      <w:r w:rsidR="00F702B9" w:rsidRPr="004577C1">
        <w:rPr>
          <w:rFonts w:ascii="Times New Roman" w:hAnsi="Times New Roman" w:cs="Times New Roman"/>
          <w:bCs/>
          <w:sz w:val="24"/>
          <w:szCs w:val="24"/>
        </w:rPr>
        <w:t xml:space="preserve"> na bývanie</w:t>
      </w:r>
      <w:r w:rsidRPr="004577C1">
        <w:rPr>
          <w:rFonts w:ascii="Times New Roman" w:hAnsi="Times New Roman" w:cs="Times New Roman"/>
          <w:bCs/>
          <w:sz w:val="24"/>
          <w:szCs w:val="24"/>
        </w:rPr>
        <w:t xml:space="preserve"> cudzím štátnym príslušníkom. </w:t>
      </w:r>
    </w:p>
    <w:p w14:paraId="3DBF3AC0" w14:textId="77777777" w:rsidR="00B236C3" w:rsidRPr="004577C1" w:rsidRDefault="00B236C3" w:rsidP="00740BFC">
      <w:pPr>
        <w:spacing w:after="0" w:line="254" w:lineRule="auto"/>
        <w:jc w:val="both"/>
        <w:rPr>
          <w:rFonts w:ascii="Times New Roman" w:eastAsia="Calibri" w:hAnsi="Times New Roman" w:cs="Times New Roman"/>
          <w:sz w:val="24"/>
          <w:szCs w:val="24"/>
          <w:highlight w:val="yellow"/>
        </w:rPr>
      </w:pPr>
    </w:p>
    <w:p w14:paraId="349283BA" w14:textId="1FABB392" w:rsidR="00B236C3" w:rsidRPr="004577C1" w:rsidRDefault="005B53F7" w:rsidP="00740BFC">
      <w:pPr>
        <w:spacing w:after="0" w:line="254" w:lineRule="auto"/>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Negatívne vplyvy sú primárne vyčíslené prostredníctvom kalkulačky nákladov podnikateľského prostredia. Medzi negatívne vplyvy</w:t>
      </w:r>
      <w:r w:rsidR="005A7153" w:rsidRPr="004577C1">
        <w:rPr>
          <w:rFonts w:ascii="Times New Roman" w:eastAsia="Calibri" w:hAnsi="Times New Roman" w:cs="Times New Roman"/>
          <w:sz w:val="24"/>
          <w:szCs w:val="24"/>
        </w:rPr>
        <w:t>, ktoré nie je možné vyčísliť,</w:t>
      </w:r>
      <w:r w:rsidRPr="004577C1">
        <w:rPr>
          <w:rFonts w:ascii="Times New Roman" w:eastAsia="Calibri" w:hAnsi="Times New Roman" w:cs="Times New Roman"/>
          <w:sz w:val="24"/>
          <w:szCs w:val="24"/>
        </w:rPr>
        <w:t xml:space="preserve"> zaraďujeme aj ustanovenie o zákaze skrytých sankcií. Veriteľovi sa zakazuje ponúkať a sľubovať </w:t>
      </w:r>
      <w:r w:rsidRPr="004577C1">
        <w:rPr>
          <w:rFonts w:ascii="Times New Roman" w:eastAsia="Calibri" w:hAnsi="Times New Roman" w:cs="Times New Roman"/>
          <w:sz w:val="24"/>
          <w:szCs w:val="24"/>
        </w:rPr>
        <w:lastRenderedPageBreak/>
        <w:t>spotrebiteľovi také zvýhodnenia súvisiace so spotrebiteľským úverom, ktoré sú podmienené dodatočnými podmienkami, ktoré</w:t>
      </w:r>
      <w:r w:rsidR="00186633" w:rsidRPr="004577C1">
        <w:rPr>
          <w:rFonts w:ascii="Times New Roman" w:eastAsia="Calibri" w:hAnsi="Times New Roman" w:cs="Times New Roman"/>
          <w:sz w:val="24"/>
          <w:szCs w:val="24"/>
        </w:rPr>
        <w:t xml:space="preserve"> by zbavovali alebo obmedzovali práva spotrebiteľa podľa návrhu zákona </w:t>
      </w:r>
      <w:r w:rsidR="009D3C9C" w:rsidRPr="004577C1">
        <w:rPr>
          <w:rFonts w:ascii="Times New Roman" w:eastAsia="Calibri" w:hAnsi="Times New Roman" w:cs="Times New Roman"/>
          <w:sz w:val="24"/>
          <w:szCs w:val="24"/>
        </w:rPr>
        <w:t xml:space="preserve">(§ 3 ods. </w:t>
      </w:r>
      <w:r w:rsidR="0016008E" w:rsidRPr="004577C1">
        <w:rPr>
          <w:rFonts w:ascii="Times New Roman" w:eastAsia="Calibri" w:hAnsi="Times New Roman" w:cs="Times New Roman"/>
          <w:sz w:val="24"/>
          <w:szCs w:val="24"/>
        </w:rPr>
        <w:t>7</w:t>
      </w:r>
      <w:r w:rsidR="009D3C9C" w:rsidRPr="004577C1">
        <w:rPr>
          <w:rFonts w:ascii="Times New Roman" w:eastAsia="Calibri" w:hAnsi="Times New Roman" w:cs="Times New Roman"/>
          <w:sz w:val="24"/>
          <w:szCs w:val="24"/>
        </w:rPr>
        <w:t>)</w:t>
      </w:r>
      <w:r w:rsidR="005A7153" w:rsidRPr="004577C1">
        <w:rPr>
          <w:rFonts w:ascii="Times New Roman" w:eastAsia="Calibri" w:hAnsi="Times New Roman" w:cs="Times New Roman"/>
          <w:sz w:val="24"/>
          <w:szCs w:val="24"/>
        </w:rPr>
        <w:t xml:space="preserve">, </w:t>
      </w:r>
      <w:r w:rsidR="005A7153" w:rsidRPr="004577C1">
        <w:rPr>
          <w:rFonts w:ascii="Times New Roman" w:hAnsi="Times New Roman" w:cs="Times New Roman"/>
          <w:sz w:val="24"/>
          <w:szCs w:val="24"/>
        </w:rPr>
        <w:t xml:space="preserve">napr. ak spotrebiteľ predčasne nesplatí spotrebiteľský úver do istého obdobia, získa odmenu v podobe zníženia úrokovej sadzby. Taktiež medzi negatívne vplyvy </w:t>
      </w:r>
      <w:r w:rsidR="00F702B9" w:rsidRPr="004577C1">
        <w:rPr>
          <w:rFonts w:ascii="Times New Roman" w:hAnsi="Times New Roman" w:cs="Times New Roman"/>
          <w:sz w:val="24"/>
          <w:szCs w:val="24"/>
        </w:rPr>
        <w:t xml:space="preserve">zaraďujeme </w:t>
      </w:r>
      <w:r w:rsidR="005A7153" w:rsidRPr="004577C1">
        <w:rPr>
          <w:rFonts w:ascii="Times New Roman" w:hAnsi="Times New Roman" w:cs="Times New Roman"/>
          <w:sz w:val="24"/>
          <w:szCs w:val="24"/>
        </w:rPr>
        <w:t>aj zákaz stanovený veriteľovi</w:t>
      </w:r>
      <w:r w:rsidR="00740BFC" w:rsidRPr="004577C1">
        <w:rPr>
          <w:rFonts w:ascii="Times New Roman" w:eastAsia="Calibri" w:hAnsi="Times New Roman" w:cs="Times New Roman"/>
          <w:sz w:val="24"/>
          <w:szCs w:val="24"/>
        </w:rPr>
        <w:t xml:space="preserve"> </w:t>
      </w:r>
      <w:r w:rsidR="00186633" w:rsidRPr="004577C1">
        <w:rPr>
          <w:rFonts w:ascii="Times New Roman" w:eastAsia="Calibri" w:hAnsi="Times New Roman" w:cs="Times New Roman"/>
          <w:sz w:val="24"/>
          <w:szCs w:val="24"/>
        </w:rPr>
        <w:t>dojednávať so spotrebiteľom v zmluve o spotrebiteľskom úvere platenie poplatkov okrem poplatkov súvisiacich s</w:t>
      </w:r>
      <w:r w:rsidR="00186633" w:rsidRPr="004577C1">
        <w:rPr>
          <w:rFonts w:ascii="Times New Roman" w:hAnsi="Times New Roman" w:cs="Times New Roman"/>
          <w:sz w:val="24"/>
          <w:szCs w:val="24"/>
        </w:rPr>
        <w:t xml:space="preserve"> </w:t>
      </w:r>
      <w:r w:rsidR="00186633" w:rsidRPr="004577C1">
        <w:rPr>
          <w:rFonts w:ascii="Times New Roman" w:eastAsia="Calibri" w:hAnsi="Times New Roman" w:cs="Times New Roman"/>
          <w:sz w:val="24"/>
          <w:szCs w:val="24"/>
        </w:rPr>
        <w:t>poskytnutím spotrebiteľského úveru, s vedením platobného účtu alebo sporiaceho účtu, ak veriteľ požaduje jeho zriadenie, s poistením, ktoré súvisí so zmluvou o spotrebiteľskom úvere, s dodatočnými nákladmi veriteľa v súvislosti s omeškaním spotrebiteľa alebo</w:t>
      </w:r>
      <w:r w:rsidR="0052250B" w:rsidRPr="004577C1">
        <w:rPr>
          <w:rFonts w:ascii="Times New Roman" w:eastAsia="Calibri" w:hAnsi="Times New Roman" w:cs="Times New Roman"/>
          <w:sz w:val="24"/>
          <w:szCs w:val="24"/>
        </w:rPr>
        <w:t xml:space="preserve"> s </w:t>
      </w:r>
      <w:r w:rsidR="00186633" w:rsidRPr="004577C1">
        <w:rPr>
          <w:rFonts w:ascii="Times New Roman" w:eastAsia="Calibri" w:hAnsi="Times New Roman" w:cs="Times New Roman"/>
          <w:sz w:val="24"/>
          <w:szCs w:val="24"/>
        </w:rPr>
        <w:t>predčasným splatením spotrebiteľského úveru</w:t>
      </w:r>
      <w:r w:rsidR="005A7153" w:rsidRPr="004577C1">
        <w:rPr>
          <w:rFonts w:ascii="Times New Roman" w:hAnsi="Times New Roman" w:cs="Times New Roman"/>
          <w:sz w:val="24"/>
          <w:szCs w:val="24"/>
        </w:rPr>
        <w:t xml:space="preserve"> (§ 3 ods. </w:t>
      </w:r>
      <w:r w:rsidR="0016008E" w:rsidRPr="004577C1">
        <w:rPr>
          <w:rFonts w:ascii="Times New Roman" w:hAnsi="Times New Roman" w:cs="Times New Roman"/>
          <w:sz w:val="24"/>
          <w:szCs w:val="24"/>
        </w:rPr>
        <w:t>6</w:t>
      </w:r>
      <w:r w:rsidR="005A7153" w:rsidRPr="004577C1">
        <w:rPr>
          <w:rFonts w:ascii="Times New Roman" w:hAnsi="Times New Roman" w:cs="Times New Roman"/>
          <w:sz w:val="24"/>
          <w:szCs w:val="24"/>
        </w:rPr>
        <w:t xml:space="preserve">). Cieľom právnej úpravy je najmä zjednodušenie pochopenia nákladovosti spotrebiteľského úveru pre spotrebiteľa, ako aj predchádzanie nevhodným marketingovým praktikám veriteľov. Predmetnou úpravou sa zvyšuje transparentnosť poskytovania a spravovania spotrebiteľských úverov. </w:t>
      </w:r>
    </w:p>
    <w:p w14:paraId="3774B1A9" w14:textId="364A1364" w:rsidR="005A7153" w:rsidRPr="004577C1" w:rsidRDefault="005A7153" w:rsidP="00740BFC">
      <w:pPr>
        <w:spacing w:after="0" w:line="254" w:lineRule="auto"/>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Návrh zákona transponuje aj ustanovenie, ktoré požaduje, aby sa všetky predzmluvné informácie poskytovali spotrebiteľovi bezplatne, bez ohľadu na spôsob ich poskytnutia</w:t>
      </w:r>
      <w:r w:rsidR="009B319D" w:rsidRPr="004577C1">
        <w:rPr>
          <w:rFonts w:ascii="Times New Roman" w:eastAsia="Calibri" w:hAnsi="Times New Roman" w:cs="Times New Roman"/>
          <w:sz w:val="24"/>
          <w:szCs w:val="24"/>
        </w:rPr>
        <w:t xml:space="preserve"> (§ 6)</w:t>
      </w:r>
      <w:r w:rsidRPr="004577C1">
        <w:rPr>
          <w:rFonts w:ascii="Times New Roman" w:eastAsia="Calibri" w:hAnsi="Times New Roman" w:cs="Times New Roman"/>
          <w:sz w:val="24"/>
          <w:szCs w:val="24"/>
        </w:rPr>
        <w:t>.</w:t>
      </w:r>
      <w:r w:rsidR="00D870EF" w:rsidRPr="004577C1">
        <w:rPr>
          <w:rFonts w:ascii="Times New Roman" w:eastAsia="Calibri" w:hAnsi="Times New Roman" w:cs="Times New Roman"/>
          <w:sz w:val="24"/>
          <w:szCs w:val="24"/>
        </w:rPr>
        <w:t xml:space="preserve"> </w:t>
      </w:r>
      <w:r w:rsidR="0052250B" w:rsidRPr="004577C1">
        <w:rPr>
          <w:rFonts w:ascii="Times New Roman" w:eastAsia="Calibri" w:hAnsi="Times New Roman" w:cs="Times New Roman"/>
          <w:sz w:val="24"/>
          <w:szCs w:val="24"/>
        </w:rPr>
        <w:t xml:space="preserve">Tieto </w:t>
      </w:r>
      <w:r w:rsidR="00D870EF" w:rsidRPr="004577C1">
        <w:rPr>
          <w:rFonts w:ascii="Times New Roman" w:eastAsia="Calibri" w:hAnsi="Times New Roman" w:cs="Times New Roman"/>
          <w:sz w:val="24"/>
          <w:szCs w:val="24"/>
        </w:rPr>
        <w:t>informácie</w:t>
      </w:r>
      <w:r w:rsidR="0052250B" w:rsidRPr="004577C1">
        <w:rPr>
          <w:rFonts w:ascii="Times New Roman" w:eastAsia="Calibri" w:hAnsi="Times New Roman" w:cs="Times New Roman"/>
          <w:sz w:val="24"/>
          <w:szCs w:val="24"/>
        </w:rPr>
        <w:t xml:space="preserve"> sa majú spotrebiteľovi so zdravotným postihnutí</w:t>
      </w:r>
      <w:r w:rsidR="00D870EF" w:rsidRPr="004577C1">
        <w:rPr>
          <w:rFonts w:ascii="Times New Roman" w:eastAsia="Calibri" w:hAnsi="Times New Roman" w:cs="Times New Roman"/>
          <w:sz w:val="24"/>
          <w:szCs w:val="24"/>
        </w:rPr>
        <w:t>m poskytnúť na požiadanie vo vhodnom a prístupnom formáte.</w:t>
      </w:r>
      <w:r w:rsidR="00562A89" w:rsidRPr="004577C1">
        <w:rPr>
          <w:rFonts w:ascii="Times New Roman" w:eastAsia="Calibri" w:hAnsi="Times New Roman" w:cs="Times New Roman"/>
          <w:sz w:val="24"/>
          <w:szCs w:val="24"/>
        </w:rPr>
        <w:t xml:space="preserve"> </w:t>
      </w:r>
      <w:r w:rsidR="00D870EF" w:rsidRPr="004577C1">
        <w:rPr>
          <w:rFonts w:ascii="Times New Roman" w:eastAsia="Calibri" w:hAnsi="Times New Roman" w:cs="Times New Roman"/>
          <w:sz w:val="24"/>
          <w:szCs w:val="24"/>
        </w:rPr>
        <w:t>Poskytovaním týchto informácií sa zvyšuje</w:t>
      </w:r>
      <w:r w:rsidR="00562A89" w:rsidRPr="004577C1">
        <w:rPr>
          <w:rFonts w:ascii="Times New Roman" w:eastAsia="Calibri" w:hAnsi="Times New Roman" w:cs="Times New Roman"/>
          <w:sz w:val="24"/>
          <w:szCs w:val="24"/>
        </w:rPr>
        <w:t xml:space="preserve"> záťaž na podnikateľské prostredie v dôsledku zavedenia informačnej povinnosti spotrebiteľa</w:t>
      </w:r>
      <w:r w:rsidRPr="004577C1">
        <w:rPr>
          <w:rFonts w:ascii="Times New Roman" w:eastAsia="Calibri" w:hAnsi="Times New Roman" w:cs="Times New Roman"/>
          <w:sz w:val="24"/>
          <w:szCs w:val="24"/>
        </w:rPr>
        <w:t xml:space="preserve"> </w:t>
      </w:r>
      <w:r w:rsidR="00562A89" w:rsidRPr="004577C1">
        <w:rPr>
          <w:rFonts w:ascii="Times New Roman" w:eastAsia="Calibri" w:hAnsi="Times New Roman" w:cs="Times New Roman"/>
          <w:sz w:val="24"/>
          <w:szCs w:val="24"/>
        </w:rPr>
        <w:t xml:space="preserve">o postupe poskytovania spotrebiteľského úveru, </w:t>
      </w:r>
      <w:r w:rsidR="0052250B" w:rsidRPr="004577C1">
        <w:rPr>
          <w:rFonts w:ascii="Times New Roman" w:eastAsia="Calibri" w:hAnsi="Times New Roman" w:cs="Times New Roman"/>
          <w:sz w:val="24"/>
          <w:szCs w:val="24"/>
        </w:rPr>
        <w:t xml:space="preserve">najmä o posúdení schopnosti spotrebiteľa splácať spotrebiteľský úver, atď. </w:t>
      </w:r>
      <w:r w:rsidR="00562A89" w:rsidRPr="004577C1">
        <w:rPr>
          <w:rFonts w:ascii="Times New Roman" w:eastAsia="Calibri" w:hAnsi="Times New Roman" w:cs="Times New Roman"/>
          <w:sz w:val="24"/>
          <w:szCs w:val="24"/>
        </w:rPr>
        <w:t>Táto povinnosť pre veriteľa bola ale upravená v doterajšej právnej úprave ako povinnosť</w:t>
      </w:r>
      <w:r w:rsidRPr="004577C1">
        <w:rPr>
          <w:rFonts w:ascii="Times New Roman" w:eastAsia="Calibri" w:hAnsi="Times New Roman" w:cs="Times New Roman"/>
          <w:sz w:val="24"/>
          <w:szCs w:val="24"/>
        </w:rPr>
        <w:t xml:space="preserve"> </w:t>
      </w:r>
      <w:r w:rsidR="00562A89" w:rsidRPr="004577C1">
        <w:rPr>
          <w:rFonts w:ascii="Times New Roman" w:eastAsia="Calibri" w:hAnsi="Times New Roman" w:cs="Times New Roman"/>
          <w:sz w:val="24"/>
          <w:szCs w:val="24"/>
        </w:rPr>
        <w:t xml:space="preserve">bezplatne poskytnúť jedno vyhotovenie návrhu zmluvy o spotrebiteľskom úvere, čím by nemalo dôjsť k výrazným negatívnym dopadom na podnikateľské prostredie. </w:t>
      </w:r>
    </w:p>
    <w:p w14:paraId="4836A325" w14:textId="12E1CF45" w:rsidR="005B53F7" w:rsidRPr="004577C1" w:rsidRDefault="00740BFC" w:rsidP="00740BFC">
      <w:pPr>
        <w:spacing w:after="0" w:line="254" w:lineRule="auto"/>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Návrh zákona môže mať negatívny vplyv aj na finančné náklady veriteľov poskytujúcich spotrebiteľské úvery v dôsledku výkonu dohľadu zo strany NBS. V prípade nedodržania požiadaviek návrhu zákona môže byť na základe dohľadu NBS uložená pokuta alebo iná sankcia</w:t>
      </w:r>
      <w:r w:rsidR="0042164E" w:rsidRPr="004577C1">
        <w:rPr>
          <w:rFonts w:ascii="Times New Roman" w:eastAsia="Calibri" w:hAnsi="Times New Roman" w:cs="Times New Roman"/>
          <w:sz w:val="24"/>
          <w:szCs w:val="24"/>
        </w:rPr>
        <w:t xml:space="preserve"> (§ </w:t>
      </w:r>
      <w:r w:rsidR="009D3C9C" w:rsidRPr="004577C1">
        <w:rPr>
          <w:rFonts w:ascii="Times New Roman" w:eastAsia="Calibri" w:hAnsi="Times New Roman" w:cs="Times New Roman"/>
          <w:sz w:val="24"/>
          <w:szCs w:val="24"/>
        </w:rPr>
        <w:t>3</w:t>
      </w:r>
      <w:r w:rsidR="00D870EF" w:rsidRPr="004577C1">
        <w:rPr>
          <w:rFonts w:ascii="Times New Roman" w:eastAsia="Calibri" w:hAnsi="Times New Roman" w:cs="Times New Roman"/>
          <w:sz w:val="24"/>
          <w:szCs w:val="24"/>
        </w:rPr>
        <w:t>7</w:t>
      </w:r>
      <w:r w:rsidR="009D3C9C" w:rsidRPr="004577C1">
        <w:rPr>
          <w:rFonts w:ascii="Times New Roman" w:eastAsia="Calibri" w:hAnsi="Times New Roman" w:cs="Times New Roman"/>
          <w:sz w:val="24"/>
          <w:szCs w:val="24"/>
        </w:rPr>
        <w:t xml:space="preserve"> a 3</w:t>
      </w:r>
      <w:r w:rsidR="00D870EF" w:rsidRPr="004577C1">
        <w:rPr>
          <w:rFonts w:ascii="Times New Roman" w:eastAsia="Calibri" w:hAnsi="Times New Roman" w:cs="Times New Roman"/>
          <w:sz w:val="24"/>
          <w:szCs w:val="24"/>
        </w:rPr>
        <w:t>8</w:t>
      </w:r>
      <w:r w:rsidR="009D3C9C" w:rsidRPr="004577C1">
        <w:rPr>
          <w:rFonts w:ascii="Times New Roman" w:eastAsia="Calibri" w:hAnsi="Times New Roman" w:cs="Times New Roman"/>
          <w:sz w:val="24"/>
          <w:szCs w:val="24"/>
        </w:rPr>
        <w:t>)</w:t>
      </w:r>
      <w:r w:rsidRPr="004577C1">
        <w:rPr>
          <w:rFonts w:ascii="Times New Roman" w:eastAsia="Calibri" w:hAnsi="Times New Roman" w:cs="Times New Roman"/>
          <w:sz w:val="24"/>
          <w:szCs w:val="24"/>
        </w:rPr>
        <w:t xml:space="preserve">. Dochádza k zvýšeniu </w:t>
      </w:r>
      <w:r w:rsidR="00070275" w:rsidRPr="004577C1">
        <w:rPr>
          <w:rFonts w:ascii="Times New Roman" w:eastAsia="Calibri" w:hAnsi="Times New Roman" w:cs="Times New Roman"/>
          <w:sz w:val="24"/>
          <w:szCs w:val="24"/>
        </w:rPr>
        <w:t xml:space="preserve">výšky </w:t>
      </w:r>
      <w:r w:rsidRPr="004577C1">
        <w:rPr>
          <w:rFonts w:ascii="Times New Roman" w:eastAsia="Calibri" w:hAnsi="Times New Roman" w:cs="Times New Roman"/>
          <w:sz w:val="24"/>
          <w:szCs w:val="24"/>
        </w:rPr>
        <w:t>pokút oproti doterajšej právnej úprave z dôvodu prispôsobenia sa situácii na finančnom trhu. Predmetné ustanovenie neobsahuje osobitnú sadzbu pre závažné a opakované porušenia, nakoľko tieto sa zohľadnia v rámci faktorov závažnosti.</w:t>
      </w:r>
    </w:p>
    <w:p w14:paraId="0DFEB65E" w14:textId="77777777" w:rsidR="00224730" w:rsidRPr="004577C1" w:rsidRDefault="00224730" w:rsidP="00CC0531">
      <w:pPr>
        <w:spacing w:after="0" w:line="254" w:lineRule="auto"/>
        <w:jc w:val="both"/>
        <w:rPr>
          <w:rFonts w:ascii="Times New Roman" w:eastAsia="Calibri" w:hAnsi="Times New Roman" w:cs="Times New Roman"/>
          <w:sz w:val="24"/>
          <w:szCs w:val="24"/>
        </w:rPr>
      </w:pPr>
    </w:p>
    <w:p w14:paraId="22CA4B91" w14:textId="49355F8E" w:rsidR="00C66406" w:rsidRPr="004577C1" w:rsidRDefault="00C66406" w:rsidP="00CC0531">
      <w:pPr>
        <w:spacing w:after="0" w:line="254" w:lineRule="auto"/>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t>Medzi negatívne vplyvy na podnikateľské prostredie zaraďujeme aj poskytovanie poradenských služieb. Návrh zákona totiž zavádza pre veriteľa a sprostredkovateľov (finančný agent a finančný poradca) možnosť poskytovať poradenské služby. S tým súvisia aj nové informačné povinnosti voči spotrebiteľovi. Predmetné regulácia spôso</w:t>
      </w:r>
      <w:r w:rsidR="000E4A1E" w:rsidRPr="004577C1">
        <w:rPr>
          <w:rFonts w:ascii="Times New Roman" w:eastAsia="Calibri" w:hAnsi="Times New Roman" w:cs="Times New Roman"/>
          <w:sz w:val="24"/>
          <w:szCs w:val="24"/>
        </w:rPr>
        <w:t>bí</w:t>
      </w:r>
      <w:r w:rsidRPr="004577C1">
        <w:rPr>
          <w:rFonts w:ascii="Times New Roman" w:eastAsia="Calibri" w:hAnsi="Times New Roman" w:cs="Times New Roman"/>
          <w:sz w:val="24"/>
          <w:szCs w:val="24"/>
        </w:rPr>
        <w:t xml:space="preserve"> zvýšenie nepriamych finančných nákladov a administratívnej záťaže pre dotknuté subjekty, ktoré sa ale v súčasnosti nedajú vyčísliť. Dotknuté subjekty </w:t>
      </w:r>
      <w:r w:rsidR="000E4A1E" w:rsidRPr="004577C1">
        <w:rPr>
          <w:rFonts w:ascii="Times New Roman" w:eastAsia="Calibri" w:hAnsi="Times New Roman" w:cs="Times New Roman"/>
          <w:sz w:val="24"/>
          <w:szCs w:val="24"/>
        </w:rPr>
        <w:t>predstavujú</w:t>
      </w:r>
      <w:r w:rsidR="00F702B9" w:rsidRPr="004577C1">
        <w:rPr>
          <w:rFonts w:ascii="Times New Roman" w:eastAsia="Calibri" w:hAnsi="Times New Roman" w:cs="Times New Roman"/>
          <w:sz w:val="24"/>
          <w:szCs w:val="24"/>
        </w:rPr>
        <w:t xml:space="preserve"> veritelia (</w:t>
      </w:r>
      <w:r w:rsidR="00D870EF" w:rsidRPr="004577C1">
        <w:rPr>
          <w:rFonts w:ascii="Times New Roman" w:eastAsia="Calibri" w:hAnsi="Times New Roman" w:cs="Times New Roman"/>
          <w:sz w:val="24"/>
          <w:szCs w:val="24"/>
        </w:rPr>
        <w:t xml:space="preserve">aktuálne </w:t>
      </w:r>
      <w:r w:rsidR="00F702B9" w:rsidRPr="004577C1">
        <w:rPr>
          <w:rFonts w:ascii="Times New Roman" w:eastAsia="Calibri" w:hAnsi="Times New Roman" w:cs="Times New Roman"/>
          <w:sz w:val="24"/>
          <w:szCs w:val="24"/>
        </w:rPr>
        <w:t>53</w:t>
      </w:r>
      <w:r w:rsidRPr="004577C1">
        <w:rPr>
          <w:rFonts w:ascii="Times New Roman" w:eastAsia="Calibri" w:hAnsi="Times New Roman" w:cs="Times New Roman"/>
          <w:sz w:val="24"/>
          <w:szCs w:val="24"/>
        </w:rPr>
        <w:t xml:space="preserve"> subjektov </w:t>
      </w:r>
      <w:r w:rsidRPr="004577C1">
        <w:rPr>
          <w:rFonts w:ascii="Times New Roman" w:eastAsia="Calibri" w:hAnsi="Times New Roman" w:cs="Times New Roman"/>
          <w:bCs/>
          <w:iCs/>
          <w:sz w:val="24"/>
          <w:szCs w:val="24"/>
        </w:rPr>
        <w:t xml:space="preserve">- </w:t>
      </w:r>
      <w:r w:rsidRPr="004577C1">
        <w:rPr>
          <w:rFonts w:ascii="Times New Roman" w:eastAsia="Calibri" w:hAnsi="Times New Roman" w:cs="Times New Roman"/>
          <w:sz w:val="24"/>
          <w:szCs w:val="24"/>
        </w:rPr>
        <w:t>počet subjektov vychádza z údajov zverejnených NBS) a sprostredkovatelia v sektore</w:t>
      </w:r>
      <w:r w:rsidRPr="004577C1">
        <w:rPr>
          <w:rFonts w:ascii="Times New Roman" w:hAnsi="Times New Roman" w:cs="Times New Roman"/>
          <w:sz w:val="24"/>
          <w:szCs w:val="24"/>
        </w:rPr>
        <w:t xml:space="preserve"> </w:t>
      </w:r>
      <w:r w:rsidRPr="004577C1">
        <w:rPr>
          <w:rFonts w:ascii="Times New Roman" w:eastAsia="Calibri" w:hAnsi="Times New Roman" w:cs="Times New Roman"/>
          <w:sz w:val="24"/>
          <w:szCs w:val="24"/>
        </w:rPr>
        <w:t>poskytovania úverov, úverov na bývanie a</w:t>
      </w:r>
      <w:r w:rsidR="00BF5C0B" w:rsidRPr="004577C1">
        <w:rPr>
          <w:rFonts w:ascii="Times New Roman" w:eastAsia="Calibri" w:hAnsi="Times New Roman" w:cs="Times New Roman"/>
          <w:sz w:val="24"/>
          <w:szCs w:val="24"/>
        </w:rPr>
        <w:t xml:space="preserve"> spotrebiteľských úverov (</w:t>
      </w:r>
      <w:r w:rsidR="00D870EF" w:rsidRPr="004577C1">
        <w:rPr>
          <w:rFonts w:ascii="Times New Roman" w:eastAsia="Calibri" w:hAnsi="Times New Roman" w:cs="Times New Roman"/>
          <w:sz w:val="24"/>
          <w:szCs w:val="24"/>
        </w:rPr>
        <w:t xml:space="preserve">aktuálne </w:t>
      </w:r>
      <w:r w:rsidR="00BF5C0B" w:rsidRPr="004577C1">
        <w:rPr>
          <w:rFonts w:ascii="Times New Roman" w:eastAsia="Calibri" w:hAnsi="Times New Roman" w:cs="Times New Roman"/>
          <w:sz w:val="24"/>
          <w:szCs w:val="24"/>
        </w:rPr>
        <w:t>11 484</w:t>
      </w:r>
      <w:r w:rsidRPr="004577C1">
        <w:rPr>
          <w:rFonts w:ascii="Times New Roman" w:eastAsia="Calibri" w:hAnsi="Times New Roman" w:cs="Times New Roman"/>
          <w:sz w:val="24"/>
          <w:szCs w:val="24"/>
        </w:rPr>
        <w:t xml:space="preserve"> finančných agentov a 5 finančných poradcov, počet sprostredkovateľov vychádza z údajov zverejnených NBS, dostupné na: </w:t>
      </w:r>
      <w:hyperlink r:id="rId17" w:history="1">
        <w:r w:rsidRPr="004577C1">
          <w:rPr>
            <w:rStyle w:val="Hypertextovprepojenie"/>
            <w:rFonts w:ascii="Times New Roman" w:eastAsia="Calibri" w:hAnsi="Times New Roman" w:cs="Times New Roman"/>
            <w:color w:val="auto"/>
            <w:sz w:val="24"/>
            <w:szCs w:val="24"/>
            <w:u w:val="none"/>
          </w:rPr>
          <w:t>https://subjekty.nbs.sk/?s=1120</w:t>
        </w:r>
      </w:hyperlink>
      <w:r w:rsidRPr="004577C1">
        <w:rPr>
          <w:rFonts w:ascii="Times New Roman" w:eastAsia="Calibri" w:hAnsi="Times New Roman" w:cs="Times New Roman"/>
          <w:sz w:val="24"/>
          <w:szCs w:val="24"/>
        </w:rPr>
        <w:t xml:space="preserve">). </w:t>
      </w:r>
      <w:r w:rsidR="000E4A1E" w:rsidRPr="004577C1">
        <w:rPr>
          <w:rFonts w:ascii="Times New Roman" w:eastAsia="Calibri" w:hAnsi="Times New Roman" w:cs="Times New Roman"/>
          <w:sz w:val="24"/>
          <w:szCs w:val="24"/>
        </w:rPr>
        <w:t xml:space="preserve">Konkrétna výška nepriamych finančných nákladov </w:t>
      </w:r>
      <w:r w:rsidR="000E4A1E" w:rsidRPr="004577C1">
        <w:rPr>
          <w:rFonts w:ascii="Times New Roman" w:eastAsia="Calibri" w:hAnsi="Times New Roman" w:cs="Times New Roman"/>
          <w:bCs/>
          <w:sz w:val="24"/>
          <w:szCs w:val="24"/>
        </w:rPr>
        <w:t xml:space="preserve">bude závisieť od miery, do akej už majú dotknuté subjekty zavedenú službu vo forme poradenských služieb (napr. pôjde o nastavenie vnútorných systémov, resp. zavedenie postupov v tejto oblasti). </w:t>
      </w:r>
      <w:r w:rsidRPr="004577C1">
        <w:rPr>
          <w:rFonts w:ascii="Times New Roman" w:eastAsia="Calibri" w:hAnsi="Times New Roman" w:cs="Times New Roman"/>
          <w:bCs/>
          <w:sz w:val="24"/>
          <w:szCs w:val="24"/>
        </w:rPr>
        <w:t>Predmetná regulácia spôsob</w:t>
      </w:r>
      <w:r w:rsidR="000E4A1E" w:rsidRPr="004577C1">
        <w:rPr>
          <w:rFonts w:ascii="Times New Roman" w:eastAsia="Calibri" w:hAnsi="Times New Roman" w:cs="Times New Roman"/>
          <w:bCs/>
          <w:sz w:val="24"/>
          <w:szCs w:val="24"/>
        </w:rPr>
        <w:t>í pravdepodobne</w:t>
      </w:r>
      <w:r w:rsidRPr="004577C1">
        <w:rPr>
          <w:rFonts w:ascii="Times New Roman" w:eastAsia="Calibri" w:hAnsi="Times New Roman" w:cs="Times New Roman"/>
          <w:bCs/>
          <w:sz w:val="24"/>
          <w:szCs w:val="24"/>
        </w:rPr>
        <w:t xml:space="preserve"> aj zvýšenie administratívnej záťaže, a to </w:t>
      </w:r>
      <w:r w:rsidR="000E4A1E" w:rsidRPr="004577C1">
        <w:rPr>
          <w:rFonts w:ascii="Times New Roman" w:eastAsia="Calibri" w:hAnsi="Times New Roman" w:cs="Times New Roman"/>
          <w:bCs/>
          <w:sz w:val="24"/>
          <w:szCs w:val="24"/>
        </w:rPr>
        <w:t>napríklad</w:t>
      </w:r>
      <w:r w:rsidRPr="004577C1">
        <w:rPr>
          <w:rFonts w:ascii="Times New Roman" w:eastAsia="Calibri" w:hAnsi="Times New Roman" w:cs="Times New Roman"/>
          <w:bCs/>
          <w:sz w:val="24"/>
          <w:szCs w:val="24"/>
        </w:rPr>
        <w:t xml:space="preserve"> vo forme oboznámenia sa s reguláciou,  zmeny vnútorných procesov a </w:t>
      </w:r>
      <w:r w:rsidRPr="004577C1">
        <w:rPr>
          <w:rFonts w:ascii="Times New Roman" w:eastAsia="Calibri" w:hAnsi="Times New Roman" w:cs="Times New Roman"/>
          <w:sz w:val="24"/>
          <w:szCs w:val="24"/>
        </w:rPr>
        <w:t xml:space="preserve">poskytnutia informácie spotrebiteľom o možnosti poskytovania poradenských služieb. </w:t>
      </w:r>
    </w:p>
    <w:p w14:paraId="7C08E914" w14:textId="77083196" w:rsidR="009B319D" w:rsidRPr="004577C1" w:rsidRDefault="009B319D" w:rsidP="00CC0531">
      <w:pPr>
        <w:spacing w:after="0" w:line="254" w:lineRule="auto"/>
        <w:jc w:val="both"/>
        <w:rPr>
          <w:rFonts w:ascii="Times New Roman" w:eastAsia="Calibri" w:hAnsi="Times New Roman" w:cs="Times New Roman"/>
          <w:sz w:val="24"/>
          <w:szCs w:val="24"/>
        </w:rPr>
      </w:pPr>
    </w:p>
    <w:p w14:paraId="10632C46" w14:textId="651B7099" w:rsidR="009B319D" w:rsidRPr="004577C1" w:rsidRDefault="009B319D" w:rsidP="00CC0531">
      <w:pPr>
        <w:spacing w:after="0" w:line="254" w:lineRule="auto"/>
        <w:jc w:val="both"/>
        <w:rPr>
          <w:rFonts w:ascii="Times New Roman" w:eastAsia="Calibri" w:hAnsi="Times New Roman" w:cs="Times New Roman"/>
          <w:sz w:val="24"/>
          <w:szCs w:val="24"/>
        </w:rPr>
      </w:pPr>
      <w:r w:rsidRPr="004577C1">
        <w:rPr>
          <w:rFonts w:ascii="Times New Roman" w:eastAsia="Calibri" w:hAnsi="Times New Roman" w:cs="Times New Roman"/>
          <w:sz w:val="24"/>
          <w:szCs w:val="24"/>
        </w:rPr>
        <w:lastRenderedPageBreak/>
        <w:t>Návrh zákona upravuje aj ustanovenie ohľadom veriteľa z iného členského štátu (§ 3</w:t>
      </w:r>
      <w:r w:rsidR="0016008E" w:rsidRPr="004577C1">
        <w:rPr>
          <w:rFonts w:ascii="Times New Roman" w:eastAsia="Calibri" w:hAnsi="Times New Roman" w:cs="Times New Roman"/>
          <w:sz w:val="24"/>
          <w:szCs w:val="24"/>
        </w:rPr>
        <w:t>5</w:t>
      </w:r>
      <w:r w:rsidRPr="004577C1">
        <w:rPr>
          <w:rFonts w:ascii="Times New Roman" w:eastAsia="Calibri" w:hAnsi="Times New Roman" w:cs="Times New Roman"/>
          <w:sz w:val="24"/>
          <w:szCs w:val="24"/>
        </w:rPr>
        <w:t xml:space="preserve">). Predmetné ustanovenie zvyšuje konkurencieschopnosť veriteľov poskytujúcich spotrebiteľské úvery na území Slovenskej republiky, čo v konečnom dôsledku predstavuje pozitívny dopad na celé podnikateľské prostredie. Na druhej strane, z dôvodu, že sa stanovujú podmienky pre týchto veriteľov, dochádza aj k vzniku negatívnych vplyvov najmä v oblasti nepriamych finančných nákladov, ako aj administratívnych nákladov. V súčasnosti nie je ale možné vyčíslenie týchto nákladov, keďže nie je známe, koľko subjektov z iných členských štátov bude mať záujem poskytovať spotrebiteľské úvery na SR. Tieto dopady sa ale primárne vzťahujú na zahraničné subjekty. </w:t>
      </w:r>
    </w:p>
    <w:p w14:paraId="424DBDFC" w14:textId="788BF2D2" w:rsidR="00B21D1F" w:rsidRPr="004577C1" w:rsidRDefault="00B21D1F" w:rsidP="000D425B">
      <w:pPr>
        <w:spacing w:after="0" w:line="240" w:lineRule="auto"/>
        <w:rPr>
          <w:rFonts w:ascii="Times New Roman" w:eastAsia="Times New Roman" w:hAnsi="Times New Roman" w:cs="Times New Roman"/>
          <w:b/>
          <w:sz w:val="24"/>
          <w:szCs w:val="24"/>
          <w:lang w:eastAsia="sk-SK"/>
        </w:rPr>
      </w:pPr>
    </w:p>
    <w:p w14:paraId="2BEF49C5" w14:textId="77777777" w:rsidR="009B319D" w:rsidRPr="004577C1" w:rsidRDefault="009B319D" w:rsidP="000D425B">
      <w:pPr>
        <w:spacing w:after="0" w:line="240" w:lineRule="auto"/>
        <w:rPr>
          <w:rFonts w:ascii="Times New Roman" w:eastAsia="Times New Roman" w:hAnsi="Times New Roman" w:cs="Times New Roman"/>
          <w:b/>
          <w:sz w:val="24"/>
          <w:szCs w:val="24"/>
          <w:lang w:eastAsia="sk-SK"/>
        </w:rPr>
      </w:pPr>
    </w:p>
    <w:sectPr w:rsidR="009B319D" w:rsidRPr="004577C1"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3C6DB" w14:textId="77777777" w:rsidR="0002240C" w:rsidRDefault="0002240C" w:rsidP="00054C41">
      <w:pPr>
        <w:spacing w:after="0" w:line="240" w:lineRule="auto"/>
      </w:pPr>
      <w:r>
        <w:separator/>
      </w:r>
    </w:p>
  </w:endnote>
  <w:endnote w:type="continuationSeparator" w:id="0">
    <w:p w14:paraId="205CB4F5" w14:textId="77777777" w:rsidR="0002240C" w:rsidRDefault="0002240C"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10F9C85" w:rsidR="00883323" w:rsidRPr="006045CB" w:rsidRDefault="00883323"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152758">
          <w:rPr>
            <w:rFonts w:ascii="Times New Roman" w:hAnsi="Times New Roman" w:cs="Times New Roman"/>
            <w:noProof/>
            <w:sz w:val="24"/>
            <w:szCs w:val="24"/>
          </w:rPr>
          <w:t>21</w:t>
        </w:r>
        <w:r w:rsidRPr="006045CB">
          <w:rPr>
            <w:rFonts w:ascii="Times New Roman" w:hAnsi="Times New Roman" w:cs="Times New Roman"/>
            <w:sz w:val="24"/>
            <w:szCs w:val="24"/>
          </w:rPr>
          <w:fldChar w:fldCharType="end"/>
        </w:r>
      </w:p>
    </w:sdtContent>
  </w:sdt>
  <w:p w14:paraId="4556761F" w14:textId="77777777" w:rsidR="00883323" w:rsidRPr="00FF7125" w:rsidRDefault="00883323" w:rsidP="00054C41">
    <w:pPr>
      <w:pStyle w:val="Pta"/>
      <w:rPr>
        <w:sz w:val="24"/>
        <w:szCs w:val="24"/>
      </w:rPr>
    </w:pPr>
  </w:p>
  <w:p w14:paraId="20FE6A4A" w14:textId="77777777" w:rsidR="00883323" w:rsidRDefault="0088332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CF00D" w14:textId="77777777" w:rsidR="0002240C" w:rsidRDefault="0002240C" w:rsidP="00054C41">
      <w:pPr>
        <w:spacing w:after="0" w:line="240" w:lineRule="auto"/>
      </w:pPr>
      <w:r>
        <w:separator/>
      </w:r>
    </w:p>
  </w:footnote>
  <w:footnote w:type="continuationSeparator" w:id="0">
    <w:p w14:paraId="6D85F2F6" w14:textId="77777777" w:rsidR="0002240C" w:rsidRDefault="0002240C" w:rsidP="00054C41">
      <w:pPr>
        <w:spacing w:after="0" w:line="240" w:lineRule="auto"/>
      </w:pPr>
      <w:r>
        <w:continuationSeparator/>
      </w:r>
    </w:p>
  </w:footnote>
  <w:footnote w:id="1">
    <w:p w14:paraId="6CC680CB" w14:textId="6BF8CDC6" w:rsidR="00883323" w:rsidRPr="000A6B7F" w:rsidRDefault="00883323"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883323" w:rsidRPr="00804BC8" w:rsidRDefault="00883323"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883323" w:rsidRDefault="00883323"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883323" w:rsidRPr="006045CB" w:rsidRDefault="00883323"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883323" w:rsidRPr="006045CB" w:rsidRDefault="00883323"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7649"/>
    <w:multiLevelType w:val="hybridMultilevel"/>
    <w:tmpl w:val="B8BA555C"/>
    <w:lvl w:ilvl="0" w:tplc="05224CCE">
      <w:start w:val="1"/>
      <w:numFmt w:val="decimal"/>
      <w:lvlText w:val="%1."/>
      <w:lvlJc w:val="left"/>
      <w:pPr>
        <w:ind w:left="720" w:hanging="360"/>
      </w:pPr>
      <w:rPr>
        <w:rFonts w:hint="default"/>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B002160"/>
    <w:multiLevelType w:val="hybridMultilevel"/>
    <w:tmpl w:val="B8BA555C"/>
    <w:lvl w:ilvl="0" w:tplc="05224CCE">
      <w:start w:val="1"/>
      <w:numFmt w:val="decimal"/>
      <w:lvlText w:val="%1."/>
      <w:lvlJc w:val="left"/>
      <w:pPr>
        <w:ind w:left="720" w:hanging="360"/>
      </w:pPr>
      <w:rPr>
        <w:rFonts w:hint="default"/>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3DB0F37"/>
    <w:multiLevelType w:val="hybridMultilevel"/>
    <w:tmpl w:val="B8BA555C"/>
    <w:lvl w:ilvl="0" w:tplc="05224CCE">
      <w:start w:val="1"/>
      <w:numFmt w:val="decimal"/>
      <w:lvlText w:val="%1."/>
      <w:lvlJc w:val="left"/>
      <w:pPr>
        <w:ind w:left="720" w:hanging="360"/>
      </w:pPr>
      <w:rPr>
        <w:rFonts w:hint="default"/>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33945"/>
    <w:multiLevelType w:val="hybridMultilevel"/>
    <w:tmpl w:val="B8BA555C"/>
    <w:lvl w:ilvl="0" w:tplc="05224CCE">
      <w:start w:val="1"/>
      <w:numFmt w:val="decimal"/>
      <w:lvlText w:val="%1."/>
      <w:lvlJc w:val="left"/>
      <w:pPr>
        <w:ind w:left="720" w:hanging="360"/>
      </w:pPr>
      <w:rPr>
        <w:rFonts w:hint="default"/>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DB8749E"/>
    <w:multiLevelType w:val="hybridMultilevel"/>
    <w:tmpl w:val="B8BA555C"/>
    <w:lvl w:ilvl="0" w:tplc="05224CCE">
      <w:start w:val="1"/>
      <w:numFmt w:val="decimal"/>
      <w:lvlText w:val="%1."/>
      <w:lvlJc w:val="left"/>
      <w:pPr>
        <w:ind w:left="720" w:hanging="360"/>
      </w:pPr>
      <w:rPr>
        <w:rFonts w:hint="default"/>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5"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7C7321EA"/>
    <w:multiLevelType w:val="hybridMultilevel"/>
    <w:tmpl w:val="8466A036"/>
    <w:lvl w:ilvl="0" w:tplc="05224CCE">
      <w:start w:val="1"/>
      <w:numFmt w:val="decimal"/>
      <w:lvlText w:val="%1."/>
      <w:lvlJc w:val="left"/>
      <w:pPr>
        <w:ind w:left="720" w:hanging="360"/>
      </w:pPr>
      <w:rPr>
        <w:rFonts w:hint="default"/>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594442365">
    <w:abstractNumId w:val="3"/>
  </w:num>
  <w:num w:numId="2" w16cid:durableId="810099120">
    <w:abstractNumId w:val="14"/>
  </w:num>
  <w:num w:numId="3" w16cid:durableId="1135487921">
    <w:abstractNumId w:val="15"/>
  </w:num>
  <w:num w:numId="4" w16cid:durableId="252207491">
    <w:abstractNumId w:val="13"/>
  </w:num>
  <w:num w:numId="5" w16cid:durableId="999038482">
    <w:abstractNumId w:val="10"/>
  </w:num>
  <w:num w:numId="6" w16cid:durableId="19187848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017926">
    <w:abstractNumId w:val="15"/>
  </w:num>
  <w:num w:numId="8" w16cid:durableId="12279567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6404177">
    <w:abstractNumId w:val="11"/>
  </w:num>
  <w:num w:numId="10" w16cid:durableId="573125897">
    <w:abstractNumId w:val="5"/>
  </w:num>
  <w:num w:numId="11" w16cid:durableId="1447694936">
    <w:abstractNumId w:val="7"/>
  </w:num>
  <w:num w:numId="12" w16cid:durableId="1433552937">
    <w:abstractNumId w:val="1"/>
  </w:num>
  <w:num w:numId="13" w16cid:durableId="1202666971">
    <w:abstractNumId w:val="16"/>
  </w:num>
  <w:num w:numId="14" w16cid:durableId="1501116638">
    <w:abstractNumId w:val="8"/>
  </w:num>
  <w:num w:numId="15" w16cid:durableId="1253049629">
    <w:abstractNumId w:val="17"/>
  </w:num>
  <w:num w:numId="16" w16cid:durableId="1862014976">
    <w:abstractNumId w:val="2"/>
  </w:num>
  <w:num w:numId="17" w16cid:durableId="1381857967">
    <w:abstractNumId w:val="12"/>
  </w:num>
  <w:num w:numId="18" w16cid:durableId="940651378">
    <w:abstractNumId w:val="9"/>
  </w:num>
  <w:num w:numId="19" w16cid:durableId="1297831323">
    <w:abstractNumId w:val="0"/>
  </w:num>
  <w:num w:numId="20" w16cid:durableId="8994874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0411C"/>
    <w:rsid w:val="00010A2D"/>
    <w:rsid w:val="00012A5A"/>
    <w:rsid w:val="0002240C"/>
    <w:rsid w:val="00023C3B"/>
    <w:rsid w:val="0002425A"/>
    <w:rsid w:val="00024EE4"/>
    <w:rsid w:val="000257BA"/>
    <w:rsid w:val="00033146"/>
    <w:rsid w:val="0004206D"/>
    <w:rsid w:val="00047C70"/>
    <w:rsid w:val="00050AAB"/>
    <w:rsid w:val="00051565"/>
    <w:rsid w:val="00054A53"/>
    <w:rsid w:val="00054C41"/>
    <w:rsid w:val="00060DA1"/>
    <w:rsid w:val="00061E85"/>
    <w:rsid w:val="000623AC"/>
    <w:rsid w:val="00070275"/>
    <w:rsid w:val="00072B9C"/>
    <w:rsid w:val="0007471B"/>
    <w:rsid w:val="0007734B"/>
    <w:rsid w:val="000820E0"/>
    <w:rsid w:val="00082C62"/>
    <w:rsid w:val="00085D02"/>
    <w:rsid w:val="00091A43"/>
    <w:rsid w:val="0009490E"/>
    <w:rsid w:val="0009559D"/>
    <w:rsid w:val="000A6161"/>
    <w:rsid w:val="000A6B7F"/>
    <w:rsid w:val="000B042F"/>
    <w:rsid w:val="000B208E"/>
    <w:rsid w:val="000B51CB"/>
    <w:rsid w:val="000C1806"/>
    <w:rsid w:val="000C32B0"/>
    <w:rsid w:val="000C5419"/>
    <w:rsid w:val="000C5E9A"/>
    <w:rsid w:val="000D0F03"/>
    <w:rsid w:val="000D15F0"/>
    <w:rsid w:val="000D3DA9"/>
    <w:rsid w:val="000D425B"/>
    <w:rsid w:val="000D71A1"/>
    <w:rsid w:val="000E4A1E"/>
    <w:rsid w:val="000E7F26"/>
    <w:rsid w:val="000F56F9"/>
    <w:rsid w:val="000F6842"/>
    <w:rsid w:val="00102C98"/>
    <w:rsid w:val="00103C9B"/>
    <w:rsid w:val="00103F05"/>
    <w:rsid w:val="00105152"/>
    <w:rsid w:val="0011003B"/>
    <w:rsid w:val="001133DA"/>
    <w:rsid w:val="00126A2B"/>
    <w:rsid w:val="00131A2E"/>
    <w:rsid w:val="00135C46"/>
    <w:rsid w:val="0013700F"/>
    <w:rsid w:val="00142154"/>
    <w:rsid w:val="001447B9"/>
    <w:rsid w:val="00146A2B"/>
    <w:rsid w:val="001476A4"/>
    <w:rsid w:val="00152758"/>
    <w:rsid w:val="00155FB8"/>
    <w:rsid w:val="00157E2F"/>
    <w:rsid w:val="0016008E"/>
    <w:rsid w:val="00162C6C"/>
    <w:rsid w:val="0016512E"/>
    <w:rsid w:val="00165BDC"/>
    <w:rsid w:val="00170988"/>
    <w:rsid w:val="00171D6A"/>
    <w:rsid w:val="00180313"/>
    <w:rsid w:val="00185185"/>
    <w:rsid w:val="00185C38"/>
    <w:rsid w:val="00186633"/>
    <w:rsid w:val="00186ED0"/>
    <w:rsid w:val="0018715C"/>
    <w:rsid w:val="001A1561"/>
    <w:rsid w:val="001A26FC"/>
    <w:rsid w:val="001B3C1A"/>
    <w:rsid w:val="001B3E17"/>
    <w:rsid w:val="001B4C03"/>
    <w:rsid w:val="001C20E0"/>
    <w:rsid w:val="001C4856"/>
    <w:rsid w:val="001C5B6C"/>
    <w:rsid w:val="001C7B91"/>
    <w:rsid w:val="001D1083"/>
    <w:rsid w:val="001D3FA0"/>
    <w:rsid w:val="001E24E8"/>
    <w:rsid w:val="001E53CB"/>
    <w:rsid w:val="001E7D32"/>
    <w:rsid w:val="001F4DDE"/>
    <w:rsid w:val="00204B0F"/>
    <w:rsid w:val="00204D65"/>
    <w:rsid w:val="00207F43"/>
    <w:rsid w:val="0021163B"/>
    <w:rsid w:val="002146F2"/>
    <w:rsid w:val="002232D3"/>
    <w:rsid w:val="00224730"/>
    <w:rsid w:val="00225A83"/>
    <w:rsid w:val="00231B8F"/>
    <w:rsid w:val="00235AC7"/>
    <w:rsid w:val="00236E73"/>
    <w:rsid w:val="0025683F"/>
    <w:rsid w:val="00260502"/>
    <w:rsid w:val="00265F44"/>
    <w:rsid w:val="00270EA5"/>
    <w:rsid w:val="002712B9"/>
    <w:rsid w:val="0027155F"/>
    <w:rsid w:val="00276D58"/>
    <w:rsid w:val="00277C2C"/>
    <w:rsid w:val="00281EC8"/>
    <w:rsid w:val="002820FE"/>
    <w:rsid w:val="00284B8C"/>
    <w:rsid w:val="00285732"/>
    <w:rsid w:val="0028770B"/>
    <w:rsid w:val="00292275"/>
    <w:rsid w:val="0029483F"/>
    <w:rsid w:val="002A284B"/>
    <w:rsid w:val="002A795A"/>
    <w:rsid w:val="002B40E0"/>
    <w:rsid w:val="002C2FC0"/>
    <w:rsid w:val="002E4265"/>
    <w:rsid w:val="002F0E6C"/>
    <w:rsid w:val="002F38C2"/>
    <w:rsid w:val="003016AC"/>
    <w:rsid w:val="00302A17"/>
    <w:rsid w:val="003126C4"/>
    <w:rsid w:val="00314D25"/>
    <w:rsid w:val="00315BE2"/>
    <w:rsid w:val="003322EE"/>
    <w:rsid w:val="00337630"/>
    <w:rsid w:val="00340CFD"/>
    <w:rsid w:val="003413D5"/>
    <w:rsid w:val="00342621"/>
    <w:rsid w:val="0034636D"/>
    <w:rsid w:val="003502B8"/>
    <w:rsid w:val="00353765"/>
    <w:rsid w:val="00356F3D"/>
    <w:rsid w:val="00357F22"/>
    <w:rsid w:val="00366D6F"/>
    <w:rsid w:val="0036748D"/>
    <w:rsid w:val="003738BF"/>
    <w:rsid w:val="00376039"/>
    <w:rsid w:val="0038065A"/>
    <w:rsid w:val="0038255E"/>
    <w:rsid w:val="003861BA"/>
    <w:rsid w:val="00386476"/>
    <w:rsid w:val="00391648"/>
    <w:rsid w:val="0039304E"/>
    <w:rsid w:val="0039334E"/>
    <w:rsid w:val="00394AD2"/>
    <w:rsid w:val="00394CD4"/>
    <w:rsid w:val="00397D7E"/>
    <w:rsid w:val="003A02AF"/>
    <w:rsid w:val="003A3124"/>
    <w:rsid w:val="003A3313"/>
    <w:rsid w:val="003A686F"/>
    <w:rsid w:val="003A7C57"/>
    <w:rsid w:val="003B3C14"/>
    <w:rsid w:val="003D00BA"/>
    <w:rsid w:val="003D3650"/>
    <w:rsid w:val="003E24AB"/>
    <w:rsid w:val="003E3E59"/>
    <w:rsid w:val="003E584E"/>
    <w:rsid w:val="003E58B8"/>
    <w:rsid w:val="003F06D7"/>
    <w:rsid w:val="003F3D9C"/>
    <w:rsid w:val="00400224"/>
    <w:rsid w:val="00400BA5"/>
    <w:rsid w:val="00405318"/>
    <w:rsid w:val="00410E62"/>
    <w:rsid w:val="00414FA7"/>
    <w:rsid w:val="00420090"/>
    <w:rsid w:val="0042164E"/>
    <w:rsid w:val="004239D1"/>
    <w:rsid w:val="00423D49"/>
    <w:rsid w:val="00424830"/>
    <w:rsid w:val="004309E4"/>
    <w:rsid w:val="00437EA6"/>
    <w:rsid w:val="00445638"/>
    <w:rsid w:val="00446432"/>
    <w:rsid w:val="00446512"/>
    <w:rsid w:val="0045270D"/>
    <w:rsid w:val="004577C1"/>
    <w:rsid w:val="00457FBF"/>
    <w:rsid w:val="0046226D"/>
    <w:rsid w:val="0046313C"/>
    <w:rsid w:val="00466D7A"/>
    <w:rsid w:val="00467458"/>
    <w:rsid w:val="00472674"/>
    <w:rsid w:val="0048237B"/>
    <w:rsid w:val="004831B1"/>
    <w:rsid w:val="004836D3"/>
    <w:rsid w:val="00484D16"/>
    <w:rsid w:val="00484DAD"/>
    <w:rsid w:val="004852A2"/>
    <w:rsid w:val="004878A9"/>
    <w:rsid w:val="00491853"/>
    <w:rsid w:val="0049244B"/>
    <w:rsid w:val="00494551"/>
    <w:rsid w:val="00494A85"/>
    <w:rsid w:val="00495C78"/>
    <w:rsid w:val="004A14CD"/>
    <w:rsid w:val="004A2C6B"/>
    <w:rsid w:val="004A6CF1"/>
    <w:rsid w:val="004B651D"/>
    <w:rsid w:val="004C56AC"/>
    <w:rsid w:val="004D20CB"/>
    <w:rsid w:val="004D3871"/>
    <w:rsid w:val="004D55E4"/>
    <w:rsid w:val="004D65B2"/>
    <w:rsid w:val="004D681D"/>
    <w:rsid w:val="004E2324"/>
    <w:rsid w:val="004E27EB"/>
    <w:rsid w:val="004E753D"/>
    <w:rsid w:val="004F2E19"/>
    <w:rsid w:val="004F63E6"/>
    <w:rsid w:val="004F642C"/>
    <w:rsid w:val="004F727B"/>
    <w:rsid w:val="00502CB2"/>
    <w:rsid w:val="00505DB2"/>
    <w:rsid w:val="005070C6"/>
    <w:rsid w:val="00507DD3"/>
    <w:rsid w:val="005103DA"/>
    <w:rsid w:val="00511F8F"/>
    <w:rsid w:val="00512BA7"/>
    <w:rsid w:val="00515726"/>
    <w:rsid w:val="00521851"/>
    <w:rsid w:val="00522090"/>
    <w:rsid w:val="0052250B"/>
    <w:rsid w:val="00524A38"/>
    <w:rsid w:val="00524E6F"/>
    <w:rsid w:val="0053284F"/>
    <w:rsid w:val="0053650A"/>
    <w:rsid w:val="00543409"/>
    <w:rsid w:val="00544243"/>
    <w:rsid w:val="00550A9B"/>
    <w:rsid w:val="0055782C"/>
    <w:rsid w:val="00562527"/>
    <w:rsid w:val="00562A1E"/>
    <w:rsid w:val="00562A89"/>
    <w:rsid w:val="00562D41"/>
    <w:rsid w:val="00563427"/>
    <w:rsid w:val="005643F7"/>
    <w:rsid w:val="00566203"/>
    <w:rsid w:val="00567982"/>
    <w:rsid w:val="00581EB9"/>
    <w:rsid w:val="00584A5A"/>
    <w:rsid w:val="00585620"/>
    <w:rsid w:val="0058630E"/>
    <w:rsid w:val="005918F9"/>
    <w:rsid w:val="00596D69"/>
    <w:rsid w:val="005A4519"/>
    <w:rsid w:val="005A7153"/>
    <w:rsid w:val="005B4E6E"/>
    <w:rsid w:val="005B53F7"/>
    <w:rsid w:val="005B56E4"/>
    <w:rsid w:val="005B5BA6"/>
    <w:rsid w:val="005B6B92"/>
    <w:rsid w:val="005C0791"/>
    <w:rsid w:val="005C795C"/>
    <w:rsid w:val="005D0E50"/>
    <w:rsid w:val="005D39D8"/>
    <w:rsid w:val="005D5344"/>
    <w:rsid w:val="005E40CF"/>
    <w:rsid w:val="005E5212"/>
    <w:rsid w:val="005F20FB"/>
    <w:rsid w:val="00601828"/>
    <w:rsid w:val="0061097B"/>
    <w:rsid w:val="0061612F"/>
    <w:rsid w:val="006177C8"/>
    <w:rsid w:val="0061797B"/>
    <w:rsid w:val="006255C0"/>
    <w:rsid w:val="0062600A"/>
    <w:rsid w:val="00630055"/>
    <w:rsid w:val="0063389E"/>
    <w:rsid w:val="00636F71"/>
    <w:rsid w:val="0063777D"/>
    <w:rsid w:val="00641F00"/>
    <w:rsid w:val="00643358"/>
    <w:rsid w:val="00645C38"/>
    <w:rsid w:val="00646084"/>
    <w:rsid w:val="00651015"/>
    <w:rsid w:val="00654E71"/>
    <w:rsid w:val="00655858"/>
    <w:rsid w:val="006564C3"/>
    <w:rsid w:val="006578CB"/>
    <w:rsid w:val="00663941"/>
    <w:rsid w:val="006668FD"/>
    <w:rsid w:val="00675B8D"/>
    <w:rsid w:val="006763DB"/>
    <w:rsid w:val="00685EE2"/>
    <w:rsid w:val="00693660"/>
    <w:rsid w:val="006A284A"/>
    <w:rsid w:val="006A28F4"/>
    <w:rsid w:val="006A3445"/>
    <w:rsid w:val="006A4030"/>
    <w:rsid w:val="006A4963"/>
    <w:rsid w:val="006A4E85"/>
    <w:rsid w:val="006A4FD3"/>
    <w:rsid w:val="006A548B"/>
    <w:rsid w:val="006A60C0"/>
    <w:rsid w:val="006A712F"/>
    <w:rsid w:val="006B31BE"/>
    <w:rsid w:val="006B5D74"/>
    <w:rsid w:val="006B7F4E"/>
    <w:rsid w:val="006C202B"/>
    <w:rsid w:val="006C231A"/>
    <w:rsid w:val="006C25BE"/>
    <w:rsid w:val="006C41C1"/>
    <w:rsid w:val="006C7486"/>
    <w:rsid w:val="006D1FFF"/>
    <w:rsid w:val="006D4183"/>
    <w:rsid w:val="006D7970"/>
    <w:rsid w:val="006D7AD8"/>
    <w:rsid w:val="006E3EB8"/>
    <w:rsid w:val="006F0BE5"/>
    <w:rsid w:val="006F1D57"/>
    <w:rsid w:val="006F68A0"/>
    <w:rsid w:val="007023D1"/>
    <w:rsid w:val="0070364C"/>
    <w:rsid w:val="0070536D"/>
    <w:rsid w:val="00710EDF"/>
    <w:rsid w:val="0072221D"/>
    <w:rsid w:val="0072357C"/>
    <w:rsid w:val="007259CB"/>
    <w:rsid w:val="00726031"/>
    <w:rsid w:val="00726615"/>
    <w:rsid w:val="00726FCD"/>
    <w:rsid w:val="00735F98"/>
    <w:rsid w:val="00737C4F"/>
    <w:rsid w:val="00740BFC"/>
    <w:rsid w:val="00742F99"/>
    <w:rsid w:val="00744AD8"/>
    <w:rsid w:val="00751DA9"/>
    <w:rsid w:val="00753739"/>
    <w:rsid w:val="00755E69"/>
    <w:rsid w:val="007566E7"/>
    <w:rsid w:val="007648EE"/>
    <w:rsid w:val="0077106D"/>
    <w:rsid w:val="00774EC8"/>
    <w:rsid w:val="00780ACC"/>
    <w:rsid w:val="00787A11"/>
    <w:rsid w:val="00794AF9"/>
    <w:rsid w:val="00797B40"/>
    <w:rsid w:val="007A0C9D"/>
    <w:rsid w:val="007A1A97"/>
    <w:rsid w:val="007A3B07"/>
    <w:rsid w:val="007A433B"/>
    <w:rsid w:val="007A4C9F"/>
    <w:rsid w:val="007A6264"/>
    <w:rsid w:val="007A6EF0"/>
    <w:rsid w:val="007B40FB"/>
    <w:rsid w:val="007B62AF"/>
    <w:rsid w:val="007B68D0"/>
    <w:rsid w:val="007C0262"/>
    <w:rsid w:val="007C1EE2"/>
    <w:rsid w:val="007C3029"/>
    <w:rsid w:val="007D127C"/>
    <w:rsid w:val="007E24B2"/>
    <w:rsid w:val="007E2DA4"/>
    <w:rsid w:val="007E3BFE"/>
    <w:rsid w:val="007E6815"/>
    <w:rsid w:val="007E7632"/>
    <w:rsid w:val="007F0B17"/>
    <w:rsid w:val="007F1136"/>
    <w:rsid w:val="007F1385"/>
    <w:rsid w:val="007F1C84"/>
    <w:rsid w:val="007F4579"/>
    <w:rsid w:val="007F725D"/>
    <w:rsid w:val="00801596"/>
    <w:rsid w:val="00804BC8"/>
    <w:rsid w:val="00806E23"/>
    <w:rsid w:val="00807981"/>
    <w:rsid w:val="00810564"/>
    <w:rsid w:val="00813F95"/>
    <w:rsid w:val="00823F5A"/>
    <w:rsid w:val="00826D40"/>
    <w:rsid w:val="00830028"/>
    <w:rsid w:val="008411E4"/>
    <w:rsid w:val="00843085"/>
    <w:rsid w:val="00845D3B"/>
    <w:rsid w:val="008615AA"/>
    <w:rsid w:val="008634E9"/>
    <w:rsid w:val="00863FDF"/>
    <w:rsid w:val="00871F77"/>
    <w:rsid w:val="00877371"/>
    <w:rsid w:val="008801B5"/>
    <w:rsid w:val="00880578"/>
    <w:rsid w:val="00882407"/>
    <w:rsid w:val="00883323"/>
    <w:rsid w:val="00885FC5"/>
    <w:rsid w:val="00891E1C"/>
    <w:rsid w:val="008920C3"/>
    <w:rsid w:val="00894052"/>
    <w:rsid w:val="00894F0E"/>
    <w:rsid w:val="008A1044"/>
    <w:rsid w:val="008A154B"/>
    <w:rsid w:val="008A6155"/>
    <w:rsid w:val="008A7B87"/>
    <w:rsid w:val="008B4AA1"/>
    <w:rsid w:val="008C1C71"/>
    <w:rsid w:val="008C7293"/>
    <w:rsid w:val="008C7F74"/>
    <w:rsid w:val="008D0C07"/>
    <w:rsid w:val="008E1AD0"/>
    <w:rsid w:val="008E315F"/>
    <w:rsid w:val="008E6B82"/>
    <w:rsid w:val="008F6ADE"/>
    <w:rsid w:val="008F7253"/>
    <w:rsid w:val="00903054"/>
    <w:rsid w:val="0091269B"/>
    <w:rsid w:val="0091367F"/>
    <w:rsid w:val="00923C0C"/>
    <w:rsid w:val="00930AC2"/>
    <w:rsid w:val="0093119D"/>
    <w:rsid w:val="0095170D"/>
    <w:rsid w:val="00952CF6"/>
    <w:rsid w:val="00957F1F"/>
    <w:rsid w:val="00960413"/>
    <w:rsid w:val="0097026E"/>
    <w:rsid w:val="0097115A"/>
    <w:rsid w:val="009778C1"/>
    <w:rsid w:val="00981995"/>
    <w:rsid w:val="00981C7F"/>
    <w:rsid w:val="009821E3"/>
    <w:rsid w:val="00985515"/>
    <w:rsid w:val="009859D2"/>
    <w:rsid w:val="00990813"/>
    <w:rsid w:val="0099334D"/>
    <w:rsid w:val="0099544D"/>
    <w:rsid w:val="00997513"/>
    <w:rsid w:val="009A0E2C"/>
    <w:rsid w:val="009A1574"/>
    <w:rsid w:val="009A4D56"/>
    <w:rsid w:val="009A4FE4"/>
    <w:rsid w:val="009A68BF"/>
    <w:rsid w:val="009B0CE8"/>
    <w:rsid w:val="009B1F04"/>
    <w:rsid w:val="009B319D"/>
    <w:rsid w:val="009B3F1B"/>
    <w:rsid w:val="009B5209"/>
    <w:rsid w:val="009B5526"/>
    <w:rsid w:val="009D3C9C"/>
    <w:rsid w:val="009D3E61"/>
    <w:rsid w:val="009E09F7"/>
    <w:rsid w:val="009E2D5C"/>
    <w:rsid w:val="009E3E44"/>
    <w:rsid w:val="009F3E73"/>
    <w:rsid w:val="009F4175"/>
    <w:rsid w:val="009F4F0B"/>
    <w:rsid w:val="009F66A4"/>
    <w:rsid w:val="009F6C80"/>
    <w:rsid w:val="00A000DA"/>
    <w:rsid w:val="00A12533"/>
    <w:rsid w:val="00A13A61"/>
    <w:rsid w:val="00A13B89"/>
    <w:rsid w:val="00A1736E"/>
    <w:rsid w:val="00A17595"/>
    <w:rsid w:val="00A216DF"/>
    <w:rsid w:val="00A33B8D"/>
    <w:rsid w:val="00A33F2C"/>
    <w:rsid w:val="00A50EE3"/>
    <w:rsid w:val="00A63A61"/>
    <w:rsid w:val="00A67EE7"/>
    <w:rsid w:val="00A7243C"/>
    <w:rsid w:val="00A83E11"/>
    <w:rsid w:val="00A8711C"/>
    <w:rsid w:val="00A94A0F"/>
    <w:rsid w:val="00AA37B6"/>
    <w:rsid w:val="00AA3C6D"/>
    <w:rsid w:val="00AA5A01"/>
    <w:rsid w:val="00AA721C"/>
    <w:rsid w:val="00AB57C4"/>
    <w:rsid w:val="00AB7990"/>
    <w:rsid w:val="00AB7BEF"/>
    <w:rsid w:val="00AC48DE"/>
    <w:rsid w:val="00AD00AF"/>
    <w:rsid w:val="00AD3F29"/>
    <w:rsid w:val="00AD486E"/>
    <w:rsid w:val="00AD5E97"/>
    <w:rsid w:val="00AE4EC0"/>
    <w:rsid w:val="00B068F3"/>
    <w:rsid w:val="00B07D3A"/>
    <w:rsid w:val="00B108B7"/>
    <w:rsid w:val="00B11CF5"/>
    <w:rsid w:val="00B14153"/>
    <w:rsid w:val="00B15A0B"/>
    <w:rsid w:val="00B209FA"/>
    <w:rsid w:val="00B21D1F"/>
    <w:rsid w:val="00B236C3"/>
    <w:rsid w:val="00B277BD"/>
    <w:rsid w:val="00B32C8A"/>
    <w:rsid w:val="00B34EC2"/>
    <w:rsid w:val="00B37743"/>
    <w:rsid w:val="00B410BA"/>
    <w:rsid w:val="00B43D68"/>
    <w:rsid w:val="00B44A3A"/>
    <w:rsid w:val="00B46810"/>
    <w:rsid w:val="00B5078E"/>
    <w:rsid w:val="00B5600C"/>
    <w:rsid w:val="00B62B71"/>
    <w:rsid w:val="00B66C85"/>
    <w:rsid w:val="00B66E33"/>
    <w:rsid w:val="00B72FB1"/>
    <w:rsid w:val="00B73215"/>
    <w:rsid w:val="00B83F76"/>
    <w:rsid w:val="00B953DA"/>
    <w:rsid w:val="00BA19B0"/>
    <w:rsid w:val="00BA758E"/>
    <w:rsid w:val="00BB139F"/>
    <w:rsid w:val="00BB3870"/>
    <w:rsid w:val="00BB45A7"/>
    <w:rsid w:val="00BB57C7"/>
    <w:rsid w:val="00BC3E1C"/>
    <w:rsid w:val="00BD0EF7"/>
    <w:rsid w:val="00BD1FE3"/>
    <w:rsid w:val="00BD30BB"/>
    <w:rsid w:val="00BD6113"/>
    <w:rsid w:val="00BD6778"/>
    <w:rsid w:val="00BE769F"/>
    <w:rsid w:val="00BF3F01"/>
    <w:rsid w:val="00BF5C0B"/>
    <w:rsid w:val="00C00448"/>
    <w:rsid w:val="00C007C6"/>
    <w:rsid w:val="00C01599"/>
    <w:rsid w:val="00C0247B"/>
    <w:rsid w:val="00C048D1"/>
    <w:rsid w:val="00C05563"/>
    <w:rsid w:val="00C073BF"/>
    <w:rsid w:val="00C077A3"/>
    <w:rsid w:val="00C11132"/>
    <w:rsid w:val="00C115B9"/>
    <w:rsid w:val="00C12FDD"/>
    <w:rsid w:val="00C145AA"/>
    <w:rsid w:val="00C14655"/>
    <w:rsid w:val="00C21399"/>
    <w:rsid w:val="00C33632"/>
    <w:rsid w:val="00C3534E"/>
    <w:rsid w:val="00C3670E"/>
    <w:rsid w:val="00C40D1F"/>
    <w:rsid w:val="00C41F1B"/>
    <w:rsid w:val="00C446E2"/>
    <w:rsid w:val="00C46E31"/>
    <w:rsid w:val="00C5107A"/>
    <w:rsid w:val="00C535F5"/>
    <w:rsid w:val="00C560C4"/>
    <w:rsid w:val="00C63E40"/>
    <w:rsid w:val="00C66406"/>
    <w:rsid w:val="00C6748F"/>
    <w:rsid w:val="00C74337"/>
    <w:rsid w:val="00C759BD"/>
    <w:rsid w:val="00C75DC8"/>
    <w:rsid w:val="00C7698D"/>
    <w:rsid w:val="00C9082B"/>
    <w:rsid w:val="00C929AE"/>
    <w:rsid w:val="00CA4344"/>
    <w:rsid w:val="00CA6348"/>
    <w:rsid w:val="00CB1232"/>
    <w:rsid w:val="00CB17A0"/>
    <w:rsid w:val="00CC0531"/>
    <w:rsid w:val="00CC305D"/>
    <w:rsid w:val="00CC3B7D"/>
    <w:rsid w:val="00CC44DD"/>
    <w:rsid w:val="00CC6E81"/>
    <w:rsid w:val="00CC7C58"/>
    <w:rsid w:val="00CD01FB"/>
    <w:rsid w:val="00CD57CD"/>
    <w:rsid w:val="00CD5AE4"/>
    <w:rsid w:val="00CD5E86"/>
    <w:rsid w:val="00CD790F"/>
    <w:rsid w:val="00CE3B21"/>
    <w:rsid w:val="00CF0E25"/>
    <w:rsid w:val="00CF2E8E"/>
    <w:rsid w:val="00CF4D09"/>
    <w:rsid w:val="00D005F2"/>
    <w:rsid w:val="00D03A8E"/>
    <w:rsid w:val="00D05A7B"/>
    <w:rsid w:val="00D114ED"/>
    <w:rsid w:val="00D1204B"/>
    <w:rsid w:val="00D230F5"/>
    <w:rsid w:val="00D23568"/>
    <w:rsid w:val="00D25478"/>
    <w:rsid w:val="00D3032C"/>
    <w:rsid w:val="00D30A45"/>
    <w:rsid w:val="00D31A3B"/>
    <w:rsid w:val="00D34EB6"/>
    <w:rsid w:val="00D40E5C"/>
    <w:rsid w:val="00D41F5A"/>
    <w:rsid w:val="00D46382"/>
    <w:rsid w:val="00D5309D"/>
    <w:rsid w:val="00D55DF6"/>
    <w:rsid w:val="00D631FA"/>
    <w:rsid w:val="00D71064"/>
    <w:rsid w:val="00D77BF3"/>
    <w:rsid w:val="00D800F1"/>
    <w:rsid w:val="00D8062B"/>
    <w:rsid w:val="00D811BB"/>
    <w:rsid w:val="00D82356"/>
    <w:rsid w:val="00D84DF8"/>
    <w:rsid w:val="00D84EEE"/>
    <w:rsid w:val="00D870EF"/>
    <w:rsid w:val="00D90A61"/>
    <w:rsid w:val="00D91DD4"/>
    <w:rsid w:val="00D9413E"/>
    <w:rsid w:val="00D946EF"/>
    <w:rsid w:val="00D95553"/>
    <w:rsid w:val="00DA5A83"/>
    <w:rsid w:val="00DB29E4"/>
    <w:rsid w:val="00DB6A09"/>
    <w:rsid w:val="00DC355F"/>
    <w:rsid w:val="00DD1E4C"/>
    <w:rsid w:val="00DD4C05"/>
    <w:rsid w:val="00DE331A"/>
    <w:rsid w:val="00DE5A2A"/>
    <w:rsid w:val="00DE6ACB"/>
    <w:rsid w:val="00DF02CE"/>
    <w:rsid w:val="00DF1462"/>
    <w:rsid w:val="00DF35DE"/>
    <w:rsid w:val="00DF7C51"/>
    <w:rsid w:val="00E030DA"/>
    <w:rsid w:val="00E03DEC"/>
    <w:rsid w:val="00E0778C"/>
    <w:rsid w:val="00E148F5"/>
    <w:rsid w:val="00E14D51"/>
    <w:rsid w:val="00E214C0"/>
    <w:rsid w:val="00E30D85"/>
    <w:rsid w:val="00E31A27"/>
    <w:rsid w:val="00E3395A"/>
    <w:rsid w:val="00E40D4D"/>
    <w:rsid w:val="00E444EB"/>
    <w:rsid w:val="00E45D38"/>
    <w:rsid w:val="00E53BC2"/>
    <w:rsid w:val="00E53BFF"/>
    <w:rsid w:val="00E574E7"/>
    <w:rsid w:val="00E65681"/>
    <w:rsid w:val="00E73605"/>
    <w:rsid w:val="00E77A69"/>
    <w:rsid w:val="00E809F0"/>
    <w:rsid w:val="00E81A42"/>
    <w:rsid w:val="00E961E8"/>
    <w:rsid w:val="00E96244"/>
    <w:rsid w:val="00E96DE0"/>
    <w:rsid w:val="00EA2333"/>
    <w:rsid w:val="00EB133C"/>
    <w:rsid w:val="00EB2BEC"/>
    <w:rsid w:val="00EB74BF"/>
    <w:rsid w:val="00EC0704"/>
    <w:rsid w:val="00EC431A"/>
    <w:rsid w:val="00EC508B"/>
    <w:rsid w:val="00ED05D4"/>
    <w:rsid w:val="00ED4AFD"/>
    <w:rsid w:val="00ED6B5D"/>
    <w:rsid w:val="00EE0B3A"/>
    <w:rsid w:val="00EE113B"/>
    <w:rsid w:val="00EE48CD"/>
    <w:rsid w:val="00EE4C99"/>
    <w:rsid w:val="00EE5C5D"/>
    <w:rsid w:val="00F033B4"/>
    <w:rsid w:val="00F06002"/>
    <w:rsid w:val="00F10452"/>
    <w:rsid w:val="00F10674"/>
    <w:rsid w:val="00F153D7"/>
    <w:rsid w:val="00F1599C"/>
    <w:rsid w:val="00F2433F"/>
    <w:rsid w:val="00F244DC"/>
    <w:rsid w:val="00F3348E"/>
    <w:rsid w:val="00F34141"/>
    <w:rsid w:val="00F346C2"/>
    <w:rsid w:val="00F378F4"/>
    <w:rsid w:val="00F41917"/>
    <w:rsid w:val="00F47912"/>
    <w:rsid w:val="00F541B6"/>
    <w:rsid w:val="00F57702"/>
    <w:rsid w:val="00F61361"/>
    <w:rsid w:val="00F613E8"/>
    <w:rsid w:val="00F633AF"/>
    <w:rsid w:val="00F64FA6"/>
    <w:rsid w:val="00F702B9"/>
    <w:rsid w:val="00F74D3C"/>
    <w:rsid w:val="00F74FC9"/>
    <w:rsid w:val="00F811B2"/>
    <w:rsid w:val="00F819B4"/>
    <w:rsid w:val="00F906A0"/>
    <w:rsid w:val="00F91F47"/>
    <w:rsid w:val="00FA4AA4"/>
    <w:rsid w:val="00FA4F36"/>
    <w:rsid w:val="00FA60BB"/>
    <w:rsid w:val="00FA6FFE"/>
    <w:rsid w:val="00FC121B"/>
    <w:rsid w:val="00FC2CE3"/>
    <w:rsid w:val="00FC4828"/>
    <w:rsid w:val="00FD3DFB"/>
    <w:rsid w:val="00FE0050"/>
    <w:rsid w:val="00FE29A3"/>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0D3DA9"/>
    <w:rPr>
      <w:color w:val="0563C1" w:themeColor="hyperlink"/>
      <w:u w:val="single"/>
    </w:rPr>
  </w:style>
  <w:style w:type="paragraph" w:styleId="Bezriadkovania">
    <w:name w:val="No Spacing"/>
    <w:uiPriority w:val="1"/>
    <w:qFormat/>
    <w:rsid w:val="001C20E0"/>
    <w:pPr>
      <w:spacing w:after="0" w:line="240" w:lineRule="auto"/>
    </w:pPr>
  </w:style>
  <w:style w:type="character" w:customStyle="1" w:styleId="normaltextrun">
    <w:name w:val="normaltextrun"/>
    <w:basedOn w:val="Predvolenpsmoodseku"/>
    <w:rsid w:val="001C20E0"/>
  </w:style>
  <w:style w:type="character" w:customStyle="1" w:styleId="Nevyrieenzmienka1">
    <w:name w:val="Nevyriešená zmienka1"/>
    <w:basedOn w:val="Predvolenpsmoodseku"/>
    <w:uiPriority w:val="99"/>
    <w:semiHidden/>
    <w:unhideWhenUsed/>
    <w:rsid w:val="004309E4"/>
    <w:rPr>
      <w:color w:val="605E5C"/>
      <w:shd w:val="clear" w:color="auto" w:fill="E1DFDD"/>
    </w:rPr>
  </w:style>
  <w:style w:type="character" w:styleId="PouitHypertextovPrepojenie">
    <w:name w:val="FollowedHyperlink"/>
    <w:basedOn w:val="Predvolenpsmoodseku"/>
    <w:uiPriority w:val="99"/>
    <w:semiHidden/>
    <w:unhideWhenUsed/>
    <w:rsid w:val="00135C46"/>
    <w:rPr>
      <w:color w:val="954F72" w:themeColor="followedHyperlink"/>
      <w:u w:val="single"/>
    </w:rPr>
  </w:style>
  <w:style w:type="character" w:styleId="Nevyrieenzmienka">
    <w:name w:val="Unresolved Mention"/>
    <w:basedOn w:val="Predvolenpsmoodseku"/>
    <w:uiPriority w:val="99"/>
    <w:semiHidden/>
    <w:unhideWhenUsed/>
    <w:rsid w:val="002A2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7148">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50489778">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40497504">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93137447">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43264436">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87393065">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50374412">
      <w:bodyDiv w:val="1"/>
      <w:marLeft w:val="0"/>
      <w:marRight w:val="0"/>
      <w:marTop w:val="0"/>
      <w:marBottom w:val="0"/>
      <w:divBdr>
        <w:top w:val="none" w:sz="0" w:space="0" w:color="auto"/>
        <w:left w:val="none" w:sz="0" w:space="0" w:color="auto"/>
        <w:bottom w:val="none" w:sz="0" w:space="0" w:color="auto"/>
        <w:right w:val="none" w:sz="0" w:space="0" w:color="auto"/>
      </w:divBdr>
    </w:div>
    <w:div w:id="1507672180">
      <w:bodyDiv w:val="1"/>
      <w:marLeft w:val="0"/>
      <w:marRight w:val="0"/>
      <w:marTop w:val="0"/>
      <w:marBottom w:val="0"/>
      <w:divBdr>
        <w:top w:val="none" w:sz="0" w:space="0" w:color="auto"/>
        <w:left w:val="none" w:sz="0" w:space="0" w:color="auto"/>
        <w:bottom w:val="none" w:sz="0" w:space="0" w:color="auto"/>
        <w:right w:val="none" w:sz="0" w:space="0" w:color="auto"/>
      </w:divBdr>
    </w:div>
    <w:div w:id="1515655771">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57243062">
      <w:bodyDiv w:val="1"/>
      <w:marLeft w:val="0"/>
      <w:marRight w:val="0"/>
      <w:marTop w:val="0"/>
      <w:marBottom w:val="0"/>
      <w:divBdr>
        <w:top w:val="none" w:sz="0" w:space="0" w:color="auto"/>
        <w:left w:val="none" w:sz="0" w:space="0" w:color="auto"/>
        <w:bottom w:val="none" w:sz="0" w:space="0" w:color="auto"/>
        <w:right w:val="none" w:sz="0" w:space="0" w:color="auto"/>
      </w:divBdr>
    </w:div>
    <w:div w:id="1890536190">
      <w:bodyDiv w:val="1"/>
      <w:marLeft w:val="0"/>
      <w:marRight w:val="0"/>
      <w:marTop w:val="0"/>
      <w:marBottom w:val="0"/>
      <w:divBdr>
        <w:top w:val="none" w:sz="0" w:space="0" w:color="auto"/>
        <w:left w:val="none" w:sz="0" w:space="0" w:color="auto"/>
        <w:bottom w:val="none" w:sz="0" w:space="0" w:color="auto"/>
        <w:right w:val="none" w:sz="0" w:space="0" w:color="auto"/>
      </w:divBdr>
    </w:div>
    <w:div w:id="1935237195">
      <w:bodyDiv w:val="1"/>
      <w:marLeft w:val="0"/>
      <w:marRight w:val="0"/>
      <w:marTop w:val="0"/>
      <w:marBottom w:val="0"/>
      <w:divBdr>
        <w:top w:val="none" w:sz="0" w:space="0" w:color="auto"/>
        <w:left w:val="none" w:sz="0" w:space="0" w:color="auto"/>
        <w:bottom w:val="none" w:sz="0" w:space="0" w:color="auto"/>
        <w:right w:val="none" w:sz="0" w:space="0" w:color="auto"/>
      </w:divBdr>
    </w:div>
    <w:div w:id="1976711825">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12699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bs.sk/dokument/4961cbac-faf3-4aca-9ce8-11af642ca306/stiahnut?force=false"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ubjekty.nbs.sk/" TargetMode="External"/><Relationship Id="rId17" Type="http://schemas.openxmlformats.org/officeDocument/2006/relationships/hyperlink" Target="https://subjekty.nbs.sk/?s=1120" TargetMode="External"/><Relationship Id="rId2" Type="http://schemas.openxmlformats.org/officeDocument/2006/relationships/customXml" Target="../customXml/item2.xml"/><Relationship Id="rId16" Type="http://schemas.openxmlformats.org/officeDocument/2006/relationships/hyperlink" Target="https://subjekty.nbs.s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subjekty.nbs.sk/?s=930"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yperlink" Target="https://subjekty.nbs.sk/?s=1120"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CA557762-86B0-4A12-9CFC-0B2D0074F94F}">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5210</TotalTime>
  <Pages>32</Pages>
  <Words>13207</Words>
  <Characters>75281</Characters>
  <Application>Microsoft Office Word</Application>
  <DocSecurity>0</DocSecurity>
  <Lines>627</Lines>
  <Paragraphs>176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88312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Matlakova Miroslava</cp:lastModifiedBy>
  <cp:revision>303</cp:revision>
  <cp:lastPrinted>2024-05-31T08:01:00Z</cp:lastPrinted>
  <dcterms:created xsi:type="dcterms:W3CDTF">2024-05-31T07:54:00Z</dcterms:created>
  <dcterms:modified xsi:type="dcterms:W3CDTF">2025-06-17T09:08:00Z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