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5ADF99"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0E40C927" w14:textId="77777777" w:rsidR="00054C41" w:rsidRPr="00895898" w:rsidRDefault="00054C41" w:rsidP="00054C41">
      <w:pPr>
        <w:jc w:val="both"/>
        <w:rPr>
          <w:rFonts w:ascii="Times New Roman" w:eastAsia="Calibri" w:hAnsi="Times New Roman" w:cs="Times New Roman"/>
          <w:b/>
          <w:sz w:val="24"/>
          <w:szCs w:val="24"/>
        </w:rPr>
      </w:pPr>
    </w:p>
    <w:p w14:paraId="6671851A" w14:textId="77777777" w:rsidR="00054C41" w:rsidRDefault="00054C41" w:rsidP="007308F0">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2C0C2F88" w14:textId="77777777" w:rsidR="00980F14" w:rsidRPr="00980F14" w:rsidRDefault="00980F14" w:rsidP="007308F0">
      <w:pPr>
        <w:spacing w:after="0"/>
        <w:jc w:val="both"/>
        <w:rPr>
          <w:rFonts w:ascii="Times New Roman" w:eastAsia="Calibri" w:hAnsi="Times New Roman" w:cs="Times New Roman"/>
          <w:sz w:val="24"/>
          <w:szCs w:val="24"/>
        </w:rPr>
      </w:pPr>
      <w:r w:rsidRPr="00980F14">
        <w:rPr>
          <w:rFonts w:ascii="Times New Roman" w:eastAsia="Calibri" w:hAnsi="Times New Roman" w:cs="Times New Roman"/>
          <w:sz w:val="24"/>
          <w:szCs w:val="24"/>
        </w:rPr>
        <w:t>Návrh vyhlášky</w:t>
      </w:r>
      <w:r w:rsidR="0093584D">
        <w:rPr>
          <w:rFonts w:ascii="Times New Roman" w:eastAsia="Calibri" w:hAnsi="Times New Roman" w:cs="Times New Roman"/>
          <w:sz w:val="24"/>
          <w:szCs w:val="24"/>
        </w:rPr>
        <w:t xml:space="preserve"> </w:t>
      </w:r>
      <w:r w:rsidRPr="00980F14">
        <w:rPr>
          <w:rFonts w:ascii="Times New Roman" w:eastAsia="Calibri" w:hAnsi="Times New Roman" w:cs="Times New Roman"/>
          <w:sz w:val="24"/>
          <w:szCs w:val="24"/>
        </w:rPr>
        <w:t>Štatistického ú</w:t>
      </w:r>
      <w:r w:rsidR="0093584D">
        <w:rPr>
          <w:rFonts w:ascii="Times New Roman" w:eastAsia="Calibri" w:hAnsi="Times New Roman" w:cs="Times New Roman"/>
          <w:sz w:val="24"/>
          <w:szCs w:val="24"/>
        </w:rPr>
        <w:t>radu Slovenskej republiky</w:t>
      </w:r>
      <w:r w:rsidRPr="00980F14">
        <w:rPr>
          <w:rFonts w:ascii="Times New Roman" w:eastAsia="Calibri" w:hAnsi="Times New Roman" w:cs="Times New Roman"/>
          <w:sz w:val="24"/>
          <w:szCs w:val="24"/>
        </w:rPr>
        <w:t>, ktorou sa vydáva Program štátnych štatistických zisťovaní na roky 202</w:t>
      </w:r>
      <w:r w:rsidR="0093584D">
        <w:rPr>
          <w:rFonts w:ascii="Times New Roman" w:eastAsia="Calibri" w:hAnsi="Times New Roman" w:cs="Times New Roman"/>
          <w:sz w:val="24"/>
          <w:szCs w:val="24"/>
        </w:rPr>
        <w:t>7</w:t>
      </w:r>
      <w:r w:rsidRPr="00980F14">
        <w:rPr>
          <w:rFonts w:ascii="Times New Roman" w:eastAsia="Calibri" w:hAnsi="Times New Roman" w:cs="Times New Roman"/>
          <w:sz w:val="24"/>
          <w:szCs w:val="24"/>
        </w:rPr>
        <w:t xml:space="preserve"> až 202</w:t>
      </w:r>
      <w:r w:rsidR="007308F0">
        <w:rPr>
          <w:rFonts w:ascii="Times New Roman" w:eastAsia="Calibri" w:hAnsi="Times New Roman" w:cs="Times New Roman"/>
          <w:sz w:val="24"/>
          <w:szCs w:val="24"/>
        </w:rPr>
        <w:t>9 (ďalej len „návrh vyhlášky“)</w:t>
      </w:r>
    </w:p>
    <w:p w14:paraId="6A883C43" w14:textId="77777777" w:rsidR="007308F0" w:rsidRDefault="007308F0" w:rsidP="007308F0">
      <w:pPr>
        <w:spacing w:after="0"/>
        <w:jc w:val="both"/>
        <w:rPr>
          <w:rFonts w:ascii="Times New Roman" w:eastAsia="Calibri" w:hAnsi="Times New Roman" w:cs="Times New Roman"/>
          <w:b/>
          <w:sz w:val="24"/>
          <w:szCs w:val="24"/>
        </w:rPr>
      </w:pPr>
    </w:p>
    <w:p w14:paraId="077CB79A" w14:textId="77777777" w:rsidR="00054C41" w:rsidRDefault="00054C41" w:rsidP="007308F0">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569C3994" w14:textId="77777777" w:rsidR="00980F14" w:rsidRPr="00980F14" w:rsidRDefault="00980F14" w:rsidP="007308F0">
      <w:pPr>
        <w:spacing w:after="0"/>
        <w:jc w:val="both"/>
        <w:rPr>
          <w:rFonts w:ascii="Times New Roman" w:eastAsia="Calibri" w:hAnsi="Times New Roman" w:cs="Times New Roman"/>
          <w:sz w:val="24"/>
          <w:szCs w:val="24"/>
        </w:rPr>
      </w:pPr>
      <w:r w:rsidRPr="00980F14">
        <w:rPr>
          <w:rFonts w:ascii="Times New Roman" w:eastAsia="Calibri" w:hAnsi="Times New Roman" w:cs="Times New Roman"/>
          <w:sz w:val="24"/>
          <w:szCs w:val="24"/>
        </w:rPr>
        <w:t>Štatistický úrad Slovenskej republiky (ďalej len „úrad“)</w:t>
      </w:r>
    </w:p>
    <w:p w14:paraId="4259CA2B" w14:textId="77777777" w:rsidR="007308F0" w:rsidRDefault="007308F0" w:rsidP="007308F0">
      <w:pPr>
        <w:spacing w:after="0"/>
        <w:jc w:val="both"/>
        <w:rPr>
          <w:rFonts w:ascii="Times New Roman" w:eastAsia="Calibri" w:hAnsi="Times New Roman" w:cs="Times New Roman"/>
          <w:b/>
          <w:sz w:val="24"/>
          <w:szCs w:val="24"/>
        </w:rPr>
      </w:pPr>
    </w:p>
    <w:p w14:paraId="09ADA093" w14:textId="77777777" w:rsidR="00054C41" w:rsidRPr="001F1B43" w:rsidRDefault="00054C41" w:rsidP="007308F0">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64F5EFC8" w14:textId="77777777" w:rsidR="007308F0" w:rsidRDefault="007308F0" w:rsidP="007308F0">
      <w:pPr>
        <w:tabs>
          <w:tab w:val="left" w:pos="8025"/>
        </w:tabs>
        <w:spacing w:after="0"/>
        <w:rPr>
          <w:rFonts w:ascii="Times New Roman" w:eastAsia="Calibri" w:hAnsi="Times New Roman" w:cs="Times New Roman"/>
          <w:b/>
          <w:i/>
          <w:iCs/>
          <w:sz w:val="24"/>
          <w:szCs w:val="24"/>
        </w:rPr>
      </w:pPr>
    </w:p>
    <w:p w14:paraId="49FCB754" w14:textId="77777777" w:rsidR="00054C41" w:rsidRPr="001F1B43" w:rsidRDefault="00054C41" w:rsidP="007308F0">
      <w:pPr>
        <w:tabs>
          <w:tab w:val="left" w:pos="8025"/>
        </w:tabs>
        <w:spacing w:after="0"/>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7F11EC07" w14:textId="77777777" w:rsidR="00054C41" w:rsidRPr="00D8247C" w:rsidRDefault="00054C41" w:rsidP="007308F0">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6D98B290" w14:textId="77777777" w:rsidR="007308F0" w:rsidRDefault="007308F0" w:rsidP="00054C41">
      <w:pPr>
        <w:jc w:val="both"/>
        <w:rPr>
          <w:rFonts w:ascii="Times New Roman" w:eastAsia="Calibri" w:hAnsi="Times New Roman" w:cs="Times New Roman"/>
          <w:i/>
          <w:sz w:val="24"/>
          <w:szCs w:val="24"/>
        </w:rPr>
      </w:pPr>
    </w:p>
    <w:p w14:paraId="16073F6B" w14:textId="130502CB"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2"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09E9FC1C" w14:textId="20D15C46" w:rsidR="007308F0" w:rsidRDefault="007308F0" w:rsidP="00054C41">
      <w:pPr>
        <w:jc w:val="both"/>
        <w:rPr>
          <w:rFonts w:ascii="Times New Roman" w:eastAsia="Calibri" w:hAnsi="Times New Roman" w:cs="Times New Roman"/>
          <w:i/>
          <w:sz w:val="24"/>
          <w:szCs w:val="24"/>
        </w:rPr>
      </w:pPr>
    </w:p>
    <w:tbl>
      <w:tblPr>
        <w:tblW w:w="8700" w:type="dxa"/>
        <w:tblCellMar>
          <w:left w:w="70" w:type="dxa"/>
          <w:right w:w="70" w:type="dxa"/>
        </w:tblCellMar>
        <w:tblLook w:val="04A0" w:firstRow="1" w:lastRow="0" w:firstColumn="1" w:lastColumn="0" w:noHBand="0" w:noVBand="1"/>
      </w:tblPr>
      <w:tblGrid>
        <w:gridCol w:w="4740"/>
        <w:gridCol w:w="1980"/>
        <w:gridCol w:w="1980"/>
      </w:tblGrid>
      <w:tr w:rsidR="004809C5" w:rsidRPr="004809C5" w14:paraId="1D18BB5D" w14:textId="77777777" w:rsidTr="004809C5">
        <w:trPr>
          <w:trHeight w:val="675"/>
        </w:trPr>
        <w:tc>
          <w:tcPr>
            <w:tcW w:w="47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B63D80F" w14:textId="77777777" w:rsidR="004809C5" w:rsidRPr="004809C5" w:rsidRDefault="004809C5" w:rsidP="004809C5">
            <w:pPr>
              <w:spacing w:after="0" w:line="240" w:lineRule="auto"/>
              <w:jc w:val="center"/>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TYP NÁKLADOV</w:t>
            </w:r>
          </w:p>
        </w:tc>
        <w:tc>
          <w:tcPr>
            <w:tcW w:w="1980" w:type="dxa"/>
            <w:tcBorders>
              <w:top w:val="single" w:sz="8" w:space="0" w:color="auto"/>
              <w:left w:val="nil"/>
              <w:bottom w:val="single" w:sz="8" w:space="0" w:color="auto"/>
              <w:right w:val="single" w:sz="4" w:space="0" w:color="auto"/>
            </w:tcBorders>
            <w:shd w:val="clear" w:color="000000" w:fill="FFC000"/>
            <w:vAlign w:val="center"/>
            <w:hideMark/>
          </w:tcPr>
          <w:p w14:paraId="4064ABAA"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Zvýšenie nákladov v € na PP</w:t>
            </w:r>
          </w:p>
        </w:tc>
        <w:tc>
          <w:tcPr>
            <w:tcW w:w="1980" w:type="dxa"/>
            <w:tcBorders>
              <w:top w:val="single" w:sz="8" w:space="0" w:color="auto"/>
              <w:left w:val="nil"/>
              <w:bottom w:val="single" w:sz="8" w:space="0" w:color="auto"/>
              <w:right w:val="single" w:sz="8" w:space="0" w:color="auto"/>
            </w:tcBorders>
            <w:shd w:val="clear" w:color="000000" w:fill="92D050"/>
            <w:vAlign w:val="center"/>
            <w:hideMark/>
          </w:tcPr>
          <w:p w14:paraId="711A681B"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Zníženie nákladov v € na PP</w:t>
            </w:r>
          </w:p>
        </w:tc>
      </w:tr>
      <w:tr w:rsidR="004809C5" w:rsidRPr="004809C5" w14:paraId="2AAA7228" w14:textId="77777777" w:rsidTr="004809C5">
        <w:trPr>
          <w:trHeight w:val="810"/>
        </w:trPr>
        <w:tc>
          <w:tcPr>
            <w:tcW w:w="4740" w:type="dxa"/>
            <w:tcBorders>
              <w:top w:val="nil"/>
              <w:left w:val="single" w:sz="8" w:space="0" w:color="auto"/>
              <w:bottom w:val="single" w:sz="4" w:space="0" w:color="auto"/>
              <w:right w:val="single" w:sz="4" w:space="0" w:color="auto"/>
            </w:tcBorders>
            <w:shd w:val="clear" w:color="auto" w:fill="auto"/>
            <w:vAlign w:val="center"/>
            <w:hideMark/>
          </w:tcPr>
          <w:p w14:paraId="58D89375"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proofErr w:type="spellStart"/>
            <w:r w:rsidRPr="004809C5">
              <w:rPr>
                <w:rFonts w:ascii="Times New Roman" w:eastAsia="Times New Roman" w:hAnsi="Times New Roman" w:cs="Times New Roman"/>
                <w:b/>
                <w:bCs/>
                <w:i/>
                <w:iCs/>
                <w:color w:val="000000"/>
                <w:sz w:val="20"/>
                <w:szCs w:val="20"/>
                <w:lang w:eastAsia="sk-SK"/>
              </w:rPr>
              <w:t>A.Dane</w:t>
            </w:r>
            <w:proofErr w:type="spellEnd"/>
            <w:r w:rsidRPr="004809C5">
              <w:rPr>
                <w:rFonts w:ascii="Times New Roman" w:eastAsia="Times New Roman" w:hAnsi="Times New Roman" w:cs="Times New Roman"/>
                <w:b/>
                <w:bCs/>
                <w:i/>
                <w:iCs/>
                <w:color w:val="000000"/>
                <w:sz w:val="20"/>
                <w:szCs w:val="20"/>
                <w:lang w:eastAsia="sk-SK"/>
              </w:rPr>
              <w:t>, odvody, clá a poplatky, ktorých cieľom je znižovať negatívne externality</w:t>
            </w:r>
          </w:p>
        </w:tc>
        <w:tc>
          <w:tcPr>
            <w:tcW w:w="1980" w:type="dxa"/>
            <w:tcBorders>
              <w:top w:val="nil"/>
              <w:left w:val="nil"/>
              <w:bottom w:val="single" w:sz="4" w:space="0" w:color="auto"/>
              <w:right w:val="single" w:sz="4" w:space="0" w:color="auto"/>
            </w:tcBorders>
            <w:shd w:val="clear" w:color="000000" w:fill="FFC000"/>
            <w:vAlign w:val="center"/>
            <w:hideMark/>
          </w:tcPr>
          <w:p w14:paraId="079DE3F2"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c>
          <w:tcPr>
            <w:tcW w:w="1980" w:type="dxa"/>
            <w:tcBorders>
              <w:top w:val="nil"/>
              <w:left w:val="nil"/>
              <w:bottom w:val="single" w:sz="4" w:space="0" w:color="auto"/>
              <w:right w:val="single" w:sz="8" w:space="0" w:color="auto"/>
            </w:tcBorders>
            <w:shd w:val="clear" w:color="000000" w:fill="92D050"/>
            <w:vAlign w:val="center"/>
            <w:hideMark/>
          </w:tcPr>
          <w:p w14:paraId="4F3E78BB"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r>
      <w:tr w:rsidR="004809C5" w:rsidRPr="004809C5" w14:paraId="0651A8AD" w14:textId="77777777" w:rsidTr="004809C5">
        <w:trPr>
          <w:trHeight w:val="300"/>
        </w:trPr>
        <w:tc>
          <w:tcPr>
            <w:tcW w:w="4740" w:type="dxa"/>
            <w:tcBorders>
              <w:top w:val="nil"/>
              <w:left w:val="single" w:sz="8" w:space="0" w:color="auto"/>
              <w:bottom w:val="single" w:sz="4" w:space="0" w:color="auto"/>
              <w:right w:val="single" w:sz="4" w:space="0" w:color="auto"/>
            </w:tcBorders>
            <w:shd w:val="clear" w:color="auto" w:fill="auto"/>
            <w:vAlign w:val="center"/>
            <w:hideMark/>
          </w:tcPr>
          <w:p w14:paraId="67EA224D"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B. Iné poplatky</w:t>
            </w:r>
          </w:p>
        </w:tc>
        <w:tc>
          <w:tcPr>
            <w:tcW w:w="1980" w:type="dxa"/>
            <w:tcBorders>
              <w:top w:val="nil"/>
              <w:left w:val="nil"/>
              <w:bottom w:val="single" w:sz="4" w:space="0" w:color="auto"/>
              <w:right w:val="single" w:sz="4" w:space="0" w:color="auto"/>
            </w:tcBorders>
            <w:shd w:val="clear" w:color="000000" w:fill="FFC000"/>
            <w:vAlign w:val="center"/>
            <w:hideMark/>
          </w:tcPr>
          <w:p w14:paraId="1C32BF8A"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c>
          <w:tcPr>
            <w:tcW w:w="1980" w:type="dxa"/>
            <w:tcBorders>
              <w:top w:val="nil"/>
              <w:left w:val="nil"/>
              <w:bottom w:val="single" w:sz="4" w:space="0" w:color="auto"/>
              <w:right w:val="single" w:sz="8" w:space="0" w:color="auto"/>
            </w:tcBorders>
            <w:shd w:val="clear" w:color="000000" w:fill="92D050"/>
            <w:vAlign w:val="center"/>
            <w:hideMark/>
          </w:tcPr>
          <w:p w14:paraId="61EAC342"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r>
      <w:tr w:rsidR="004809C5" w:rsidRPr="004809C5" w14:paraId="12EDD51D" w14:textId="77777777" w:rsidTr="004809C5">
        <w:trPr>
          <w:trHeight w:val="300"/>
        </w:trPr>
        <w:tc>
          <w:tcPr>
            <w:tcW w:w="4740" w:type="dxa"/>
            <w:tcBorders>
              <w:top w:val="nil"/>
              <w:left w:val="single" w:sz="8" w:space="0" w:color="auto"/>
              <w:bottom w:val="single" w:sz="4" w:space="0" w:color="auto"/>
              <w:right w:val="single" w:sz="4" w:space="0" w:color="auto"/>
            </w:tcBorders>
            <w:shd w:val="clear" w:color="auto" w:fill="auto"/>
            <w:vAlign w:val="center"/>
            <w:hideMark/>
          </w:tcPr>
          <w:p w14:paraId="05C0A555"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C. Sankcie a pokuty</w:t>
            </w:r>
          </w:p>
        </w:tc>
        <w:tc>
          <w:tcPr>
            <w:tcW w:w="1980" w:type="dxa"/>
            <w:tcBorders>
              <w:top w:val="nil"/>
              <w:left w:val="nil"/>
              <w:bottom w:val="single" w:sz="4" w:space="0" w:color="auto"/>
              <w:right w:val="single" w:sz="4" w:space="0" w:color="auto"/>
            </w:tcBorders>
            <w:shd w:val="clear" w:color="000000" w:fill="FFC000"/>
            <w:vAlign w:val="center"/>
            <w:hideMark/>
          </w:tcPr>
          <w:p w14:paraId="4A934EFF"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c>
          <w:tcPr>
            <w:tcW w:w="1980" w:type="dxa"/>
            <w:tcBorders>
              <w:top w:val="nil"/>
              <w:left w:val="nil"/>
              <w:bottom w:val="single" w:sz="4" w:space="0" w:color="auto"/>
              <w:right w:val="single" w:sz="8" w:space="0" w:color="auto"/>
            </w:tcBorders>
            <w:shd w:val="clear" w:color="000000" w:fill="92D050"/>
            <w:vAlign w:val="center"/>
            <w:hideMark/>
          </w:tcPr>
          <w:p w14:paraId="104A716B"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r>
      <w:tr w:rsidR="004809C5" w:rsidRPr="004809C5" w14:paraId="00BC944B" w14:textId="77777777" w:rsidTr="004809C5">
        <w:trPr>
          <w:trHeight w:val="300"/>
        </w:trPr>
        <w:tc>
          <w:tcPr>
            <w:tcW w:w="4740" w:type="dxa"/>
            <w:tcBorders>
              <w:top w:val="nil"/>
              <w:left w:val="single" w:sz="8" w:space="0" w:color="auto"/>
              <w:bottom w:val="single" w:sz="4" w:space="0" w:color="auto"/>
              <w:right w:val="single" w:sz="4" w:space="0" w:color="auto"/>
            </w:tcBorders>
            <w:shd w:val="clear" w:color="auto" w:fill="auto"/>
            <w:vAlign w:val="center"/>
            <w:hideMark/>
          </w:tcPr>
          <w:p w14:paraId="491578B3"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D. Nepriame finančné náklady</w:t>
            </w:r>
          </w:p>
        </w:tc>
        <w:tc>
          <w:tcPr>
            <w:tcW w:w="1980" w:type="dxa"/>
            <w:tcBorders>
              <w:top w:val="nil"/>
              <w:left w:val="nil"/>
              <w:bottom w:val="single" w:sz="4" w:space="0" w:color="auto"/>
              <w:right w:val="single" w:sz="4" w:space="0" w:color="auto"/>
            </w:tcBorders>
            <w:shd w:val="clear" w:color="000000" w:fill="FFC000"/>
            <w:vAlign w:val="center"/>
            <w:hideMark/>
          </w:tcPr>
          <w:p w14:paraId="57C44996"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c>
          <w:tcPr>
            <w:tcW w:w="1980" w:type="dxa"/>
            <w:tcBorders>
              <w:top w:val="nil"/>
              <w:left w:val="nil"/>
              <w:bottom w:val="single" w:sz="4" w:space="0" w:color="auto"/>
              <w:right w:val="single" w:sz="8" w:space="0" w:color="auto"/>
            </w:tcBorders>
            <w:shd w:val="clear" w:color="000000" w:fill="92D050"/>
            <w:vAlign w:val="center"/>
            <w:hideMark/>
          </w:tcPr>
          <w:p w14:paraId="2047E22D"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r>
      <w:tr w:rsidR="004809C5" w:rsidRPr="004809C5" w14:paraId="311B37DF" w14:textId="77777777" w:rsidTr="004809C5">
        <w:trPr>
          <w:trHeight w:val="300"/>
        </w:trPr>
        <w:tc>
          <w:tcPr>
            <w:tcW w:w="4740" w:type="dxa"/>
            <w:tcBorders>
              <w:top w:val="nil"/>
              <w:left w:val="single" w:sz="8" w:space="0" w:color="auto"/>
              <w:bottom w:val="nil"/>
              <w:right w:val="single" w:sz="4" w:space="0" w:color="auto"/>
            </w:tcBorders>
            <w:shd w:val="clear" w:color="auto" w:fill="auto"/>
            <w:vAlign w:val="center"/>
            <w:hideMark/>
          </w:tcPr>
          <w:p w14:paraId="5D91C0B5"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E. Administratívne náklady</w:t>
            </w:r>
          </w:p>
        </w:tc>
        <w:tc>
          <w:tcPr>
            <w:tcW w:w="1980" w:type="dxa"/>
            <w:tcBorders>
              <w:top w:val="nil"/>
              <w:left w:val="nil"/>
              <w:bottom w:val="nil"/>
              <w:right w:val="single" w:sz="4" w:space="0" w:color="auto"/>
            </w:tcBorders>
            <w:shd w:val="clear" w:color="000000" w:fill="FFC000"/>
            <w:vAlign w:val="center"/>
            <w:hideMark/>
          </w:tcPr>
          <w:p w14:paraId="3B9ADA30"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98 374</w:t>
            </w:r>
          </w:p>
        </w:tc>
        <w:tc>
          <w:tcPr>
            <w:tcW w:w="1980" w:type="dxa"/>
            <w:tcBorders>
              <w:top w:val="nil"/>
              <w:left w:val="nil"/>
              <w:bottom w:val="nil"/>
              <w:right w:val="single" w:sz="8" w:space="0" w:color="auto"/>
            </w:tcBorders>
            <w:shd w:val="clear" w:color="000000" w:fill="92D050"/>
            <w:vAlign w:val="center"/>
            <w:hideMark/>
          </w:tcPr>
          <w:p w14:paraId="3EB14119"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62 262</w:t>
            </w:r>
          </w:p>
        </w:tc>
      </w:tr>
      <w:tr w:rsidR="004809C5" w:rsidRPr="004809C5" w14:paraId="2A1607D6" w14:textId="77777777" w:rsidTr="004809C5">
        <w:trPr>
          <w:trHeight w:val="300"/>
        </w:trPr>
        <w:tc>
          <w:tcPr>
            <w:tcW w:w="47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C3B2D0A"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Spolu = A+B+C+D+E</w:t>
            </w:r>
          </w:p>
        </w:tc>
        <w:tc>
          <w:tcPr>
            <w:tcW w:w="1980" w:type="dxa"/>
            <w:tcBorders>
              <w:top w:val="single" w:sz="8" w:space="0" w:color="auto"/>
              <w:left w:val="nil"/>
              <w:bottom w:val="single" w:sz="8" w:space="0" w:color="auto"/>
              <w:right w:val="single" w:sz="4" w:space="0" w:color="auto"/>
            </w:tcBorders>
            <w:shd w:val="clear" w:color="000000" w:fill="FFC000"/>
            <w:vAlign w:val="center"/>
            <w:hideMark/>
          </w:tcPr>
          <w:p w14:paraId="053BE055"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98 374</w:t>
            </w:r>
          </w:p>
        </w:tc>
        <w:tc>
          <w:tcPr>
            <w:tcW w:w="1980" w:type="dxa"/>
            <w:tcBorders>
              <w:top w:val="single" w:sz="8" w:space="0" w:color="auto"/>
              <w:left w:val="nil"/>
              <w:bottom w:val="single" w:sz="8" w:space="0" w:color="auto"/>
              <w:right w:val="single" w:sz="8" w:space="0" w:color="auto"/>
            </w:tcBorders>
            <w:shd w:val="clear" w:color="000000" w:fill="92D050"/>
            <w:vAlign w:val="center"/>
            <w:hideMark/>
          </w:tcPr>
          <w:p w14:paraId="6519CE8E"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62 262</w:t>
            </w:r>
          </w:p>
        </w:tc>
      </w:tr>
      <w:tr w:rsidR="004809C5" w:rsidRPr="004809C5" w14:paraId="5A88677F" w14:textId="77777777" w:rsidTr="004809C5">
        <w:trPr>
          <w:trHeight w:val="300"/>
        </w:trPr>
        <w:tc>
          <w:tcPr>
            <w:tcW w:w="4740" w:type="dxa"/>
            <w:tcBorders>
              <w:top w:val="nil"/>
              <w:left w:val="nil"/>
              <w:bottom w:val="nil"/>
              <w:right w:val="nil"/>
            </w:tcBorders>
            <w:shd w:val="clear" w:color="auto" w:fill="auto"/>
            <w:vAlign w:val="center"/>
            <w:hideMark/>
          </w:tcPr>
          <w:p w14:paraId="2A3765F3"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p>
        </w:tc>
        <w:tc>
          <w:tcPr>
            <w:tcW w:w="1980" w:type="dxa"/>
            <w:tcBorders>
              <w:top w:val="nil"/>
              <w:left w:val="nil"/>
              <w:bottom w:val="nil"/>
              <w:right w:val="nil"/>
            </w:tcBorders>
            <w:shd w:val="clear" w:color="auto" w:fill="auto"/>
            <w:vAlign w:val="center"/>
            <w:hideMark/>
          </w:tcPr>
          <w:p w14:paraId="2A4EE083"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vAlign w:val="center"/>
            <w:hideMark/>
          </w:tcPr>
          <w:p w14:paraId="2F07D523"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r>
      <w:tr w:rsidR="004809C5" w:rsidRPr="004809C5" w14:paraId="7DFCEDB2" w14:textId="77777777" w:rsidTr="004809C5">
        <w:trPr>
          <w:trHeight w:val="600"/>
        </w:trPr>
        <w:tc>
          <w:tcPr>
            <w:tcW w:w="47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DF74D6D"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Harmonizácia práva EÚ</w:t>
            </w:r>
          </w:p>
        </w:tc>
        <w:tc>
          <w:tcPr>
            <w:tcW w:w="1980" w:type="dxa"/>
            <w:tcBorders>
              <w:top w:val="single" w:sz="8" w:space="0" w:color="auto"/>
              <w:left w:val="nil"/>
              <w:bottom w:val="single" w:sz="8" w:space="0" w:color="auto"/>
              <w:right w:val="single" w:sz="4" w:space="0" w:color="auto"/>
            </w:tcBorders>
            <w:shd w:val="clear" w:color="000000" w:fill="FFC000"/>
            <w:vAlign w:val="center"/>
            <w:hideMark/>
          </w:tcPr>
          <w:p w14:paraId="536223B7"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Zvýšenie nákladov v € na PP</w:t>
            </w:r>
          </w:p>
        </w:tc>
        <w:tc>
          <w:tcPr>
            <w:tcW w:w="1980" w:type="dxa"/>
            <w:tcBorders>
              <w:top w:val="single" w:sz="8" w:space="0" w:color="auto"/>
              <w:left w:val="nil"/>
              <w:bottom w:val="single" w:sz="8" w:space="0" w:color="auto"/>
              <w:right w:val="single" w:sz="8" w:space="0" w:color="auto"/>
            </w:tcBorders>
            <w:shd w:val="clear" w:color="000000" w:fill="92D050"/>
            <w:vAlign w:val="center"/>
            <w:hideMark/>
          </w:tcPr>
          <w:p w14:paraId="77010A81"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Zníženie nákladov v € na PP</w:t>
            </w:r>
          </w:p>
        </w:tc>
      </w:tr>
      <w:tr w:rsidR="004809C5" w:rsidRPr="004809C5" w14:paraId="7E3A9B9E" w14:textId="77777777" w:rsidTr="004809C5">
        <w:trPr>
          <w:trHeight w:val="990"/>
        </w:trPr>
        <w:tc>
          <w:tcPr>
            <w:tcW w:w="4740" w:type="dxa"/>
            <w:tcBorders>
              <w:top w:val="nil"/>
              <w:left w:val="single" w:sz="8" w:space="0" w:color="auto"/>
              <w:bottom w:val="nil"/>
              <w:right w:val="single" w:sz="4" w:space="0" w:color="auto"/>
            </w:tcBorders>
            <w:shd w:val="clear" w:color="auto" w:fill="auto"/>
            <w:vAlign w:val="center"/>
            <w:hideMark/>
          </w:tcPr>
          <w:p w14:paraId="6B37C929"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F. Úplná harmonizácia práva EÚ</w:t>
            </w:r>
            <w:r w:rsidRPr="004809C5">
              <w:rPr>
                <w:rFonts w:ascii="Times New Roman" w:eastAsia="Times New Roman" w:hAnsi="Times New Roman" w:cs="Times New Roman"/>
                <w:b/>
                <w:bCs/>
                <w:i/>
                <w:iCs/>
                <w:color w:val="000000"/>
                <w:sz w:val="20"/>
                <w:szCs w:val="20"/>
                <w:lang w:eastAsia="sk-SK"/>
              </w:rPr>
              <w:br/>
            </w:r>
            <w:r w:rsidRPr="004809C5">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980" w:type="dxa"/>
            <w:tcBorders>
              <w:top w:val="nil"/>
              <w:left w:val="nil"/>
              <w:bottom w:val="nil"/>
              <w:right w:val="single" w:sz="4" w:space="0" w:color="auto"/>
            </w:tcBorders>
            <w:shd w:val="clear" w:color="000000" w:fill="FFC000"/>
            <w:vAlign w:val="center"/>
            <w:hideMark/>
          </w:tcPr>
          <w:p w14:paraId="562D21B4"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c>
          <w:tcPr>
            <w:tcW w:w="1980" w:type="dxa"/>
            <w:tcBorders>
              <w:top w:val="nil"/>
              <w:left w:val="nil"/>
              <w:bottom w:val="nil"/>
              <w:right w:val="single" w:sz="8" w:space="0" w:color="auto"/>
            </w:tcBorders>
            <w:shd w:val="clear" w:color="000000" w:fill="92D050"/>
            <w:vAlign w:val="center"/>
            <w:hideMark/>
          </w:tcPr>
          <w:p w14:paraId="1C72E151"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r>
      <w:tr w:rsidR="004809C5" w:rsidRPr="004809C5" w14:paraId="7106102F" w14:textId="77777777" w:rsidTr="004809C5">
        <w:trPr>
          <w:trHeight w:val="270"/>
        </w:trPr>
        <w:tc>
          <w:tcPr>
            <w:tcW w:w="47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970E945" w14:textId="77777777" w:rsidR="004809C5" w:rsidRPr="004809C5" w:rsidRDefault="004809C5" w:rsidP="004809C5">
            <w:pPr>
              <w:spacing w:after="0" w:line="240" w:lineRule="auto"/>
              <w:rPr>
                <w:rFonts w:ascii="Times New Roman" w:eastAsia="Times New Roman" w:hAnsi="Times New Roman" w:cs="Times New Roman"/>
                <w:b/>
                <w:bCs/>
                <w:i/>
                <w:iCs/>
                <w:color w:val="000000"/>
                <w:sz w:val="20"/>
                <w:szCs w:val="20"/>
                <w:lang w:eastAsia="sk-SK"/>
              </w:rPr>
            </w:pPr>
            <w:r w:rsidRPr="004809C5">
              <w:rPr>
                <w:rFonts w:ascii="Times New Roman" w:eastAsia="Times New Roman" w:hAnsi="Times New Roman" w:cs="Times New Roman"/>
                <w:b/>
                <w:bCs/>
                <w:i/>
                <w:iCs/>
                <w:color w:val="000000"/>
                <w:sz w:val="20"/>
                <w:szCs w:val="20"/>
                <w:lang w:eastAsia="sk-SK"/>
              </w:rPr>
              <w:t>G. Goldplating</w:t>
            </w:r>
          </w:p>
        </w:tc>
        <w:tc>
          <w:tcPr>
            <w:tcW w:w="1980" w:type="dxa"/>
            <w:tcBorders>
              <w:top w:val="single" w:sz="8" w:space="0" w:color="auto"/>
              <w:left w:val="nil"/>
              <w:bottom w:val="single" w:sz="8" w:space="0" w:color="auto"/>
              <w:right w:val="single" w:sz="4" w:space="0" w:color="auto"/>
            </w:tcBorders>
            <w:shd w:val="clear" w:color="000000" w:fill="FFC000"/>
            <w:vAlign w:val="center"/>
            <w:hideMark/>
          </w:tcPr>
          <w:p w14:paraId="6BB1D30E"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c>
          <w:tcPr>
            <w:tcW w:w="1980" w:type="dxa"/>
            <w:tcBorders>
              <w:top w:val="single" w:sz="8" w:space="0" w:color="auto"/>
              <w:left w:val="nil"/>
              <w:bottom w:val="single" w:sz="8" w:space="0" w:color="auto"/>
              <w:right w:val="single" w:sz="8" w:space="0" w:color="auto"/>
            </w:tcBorders>
            <w:shd w:val="clear" w:color="000000" w:fill="92D050"/>
            <w:vAlign w:val="center"/>
            <w:hideMark/>
          </w:tcPr>
          <w:p w14:paraId="1FFABBDF"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0</w:t>
            </w:r>
          </w:p>
        </w:tc>
      </w:tr>
      <w:tr w:rsidR="004809C5" w:rsidRPr="004809C5" w14:paraId="46FDB9D0" w14:textId="77777777" w:rsidTr="004809C5">
        <w:trPr>
          <w:trHeight w:val="270"/>
        </w:trPr>
        <w:tc>
          <w:tcPr>
            <w:tcW w:w="4740" w:type="dxa"/>
            <w:tcBorders>
              <w:top w:val="nil"/>
              <w:left w:val="nil"/>
              <w:bottom w:val="nil"/>
              <w:right w:val="nil"/>
            </w:tcBorders>
            <w:shd w:val="clear" w:color="auto" w:fill="auto"/>
            <w:noWrap/>
            <w:vAlign w:val="bottom"/>
            <w:hideMark/>
          </w:tcPr>
          <w:p w14:paraId="10A7C16E"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p>
        </w:tc>
        <w:tc>
          <w:tcPr>
            <w:tcW w:w="1980" w:type="dxa"/>
            <w:tcBorders>
              <w:top w:val="nil"/>
              <w:left w:val="nil"/>
              <w:bottom w:val="nil"/>
              <w:right w:val="nil"/>
            </w:tcBorders>
            <w:shd w:val="clear" w:color="auto" w:fill="auto"/>
            <w:vAlign w:val="center"/>
            <w:hideMark/>
          </w:tcPr>
          <w:p w14:paraId="0EB4513C"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vAlign w:val="center"/>
            <w:hideMark/>
          </w:tcPr>
          <w:p w14:paraId="369D2E15"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r>
      <w:tr w:rsidR="004809C5" w:rsidRPr="004809C5" w14:paraId="54E98911" w14:textId="77777777" w:rsidTr="004809C5">
        <w:trPr>
          <w:trHeight w:val="270"/>
        </w:trPr>
        <w:tc>
          <w:tcPr>
            <w:tcW w:w="4740" w:type="dxa"/>
            <w:tcBorders>
              <w:top w:val="nil"/>
              <w:left w:val="nil"/>
              <w:bottom w:val="nil"/>
              <w:right w:val="nil"/>
            </w:tcBorders>
            <w:shd w:val="clear" w:color="auto" w:fill="auto"/>
            <w:noWrap/>
            <w:vAlign w:val="bottom"/>
            <w:hideMark/>
          </w:tcPr>
          <w:p w14:paraId="0ECE46C5"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vAlign w:val="center"/>
            <w:hideMark/>
          </w:tcPr>
          <w:p w14:paraId="1A7D9DC1"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c>
          <w:tcPr>
            <w:tcW w:w="1980" w:type="dxa"/>
            <w:tcBorders>
              <w:top w:val="nil"/>
              <w:left w:val="nil"/>
              <w:bottom w:val="nil"/>
              <w:right w:val="nil"/>
            </w:tcBorders>
            <w:shd w:val="clear" w:color="auto" w:fill="auto"/>
            <w:vAlign w:val="center"/>
            <w:hideMark/>
          </w:tcPr>
          <w:p w14:paraId="6019B2B4" w14:textId="77777777" w:rsidR="004809C5" w:rsidRPr="004809C5" w:rsidRDefault="004809C5" w:rsidP="004809C5">
            <w:pPr>
              <w:spacing w:after="0" w:line="240" w:lineRule="auto"/>
              <w:rPr>
                <w:rFonts w:ascii="Times New Roman" w:eastAsia="Times New Roman" w:hAnsi="Times New Roman" w:cs="Times New Roman"/>
                <w:sz w:val="20"/>
                <w:szCs w:val="20"/>
                <w:lang w:eastAsia="sk-SK"/>
              </w:rPr>
            </w:pPr>
          </w:p>
        </w:tc>
      </w:tr>
      <w:tr w:rsidR="004809C5" w:rsidRPr="004809C5" w14:paraId="487B352B" w14:textId="77777777" w:rsidTr="004809C5">
        <w:trPr>
          <w:trHeight w:val="330"/>
        </w:trPr>
        <w:tc>
          <w:tcPr>
            <w:tcW w:w="47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E3C3DAD" w14:textId="77777777" w:rsidR="004809C5" w:rsidRPr="004809C5" w:rsidRDefault="004809C5" w:rsidP="004809C5">
            <w:pPr>
              <w:spacing w:after="0" w:line="240" w:lineRule="auto"/>
              <w:rPr>
                <w:rFonts w:ascii="Times New Roman" w:eastAsia="Times New Roman" w:hAnsi="Times New Roman" w:cs="Times New Roman"/>
                <w:i/>
                <w:iCs/>
                <w:color w:val="000000"/>
                <w:sz w:val="20"/>
                <w:szCs w:val="20"/>
                <w:lang w:eastAsia="sk-SK"/>
              </w:rPr>
            </w:pPr>
            <w:r w:rsidRPr="004809C5">
              <w:rPr>
                <w:rFonts w:ascii="Times New Roman" w:eastAsia="Times New Roman" w:hAnsi="Times New Roman" w:cs="Times New Roman"/>
                <w:i/>
                <w:iCs/>
                <w:color w:val="000000"/>
                <w:sz w:val="20"/>
                <w:szCs w:val="20"/>
                <w:lang w:eastAsia="sk-SK"/>
              </w:rPr>
              <w:t>VÝPOČET PRAVIDLA 1in2out:</w:t>
            </w:r>
          </w:p>
        </w:tc>
        <w:tc>
          <w:tcPr>
            <w:tcW w:w="1980" w:type="dxa"/>
            <w:tcBorders>
              <w:top w:val="single" w:sz="8" w:space="0" w:color="auto"/>
              <w:left w:val="nil"/>
              <w:bottom w:val="single" w:sz="4" w:space="0" w:color="auto"/>
              <w:right w:val="single" w:sz="4" w:space="0" w:color="auto"/>
            </w:tcBorders>
            <w:shd w:val="clear" w:color="000000" w:fill="FFC000"/>
            <w:vAlign w:val="center"/>
            <w:hideMark/>
          </w:tcPr>
          <w:p w14:paraId="0816C9ED"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IN</w:t>
            </w:r>
          </w:p>
        </w:tc>
        <w:tc>
          <w:tcPr>
            <w:tcW w:w="1980" w:type="dxa"/>
            <w:tcBorders>
              <w:top w:val="single" w:sz="8" w:space="0" w:color="auto"/>
              <w:left w:val="nil"/>
              <w:bottom w:val="single" w:sz="4" w:space="0" w:color="auto"/>
              <w:right w:val="single" w:sz="8" w:space="0" w:color="auto"/>
            </w:tcBorders>
            <w:shd w:val="clear" w:color="000000" w:fill="92D050"/>
            <w:vAlign w:val="center"/>
            <w:hideMark/>
          </w:tcPr>
          <w:p w14:paraId="6D4D45CA"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OUT</w:t>
            </w:r>
          </w:p>
        </w:tc>
      </w:tr>
      <w:tr w:rsidR="004809C5" w:rsidRPr="004809C5" w14:paraId="11B172CB" w14:textId="77777777" w:rsidTr="004809C5">
        <w:trPr>
          <w:trHeight w:val="345"/>
        </w:trPr>
        <w:tc>
          <w:tcPr>
            <w:tcW w:w="4740" w:type="dxa"/>
            <w:tcBorders>
              <w:top w:val="nil"/>
              <w:left w:val="single" w:sz="8" w:space="0" w:color="auto"/>
              <w:bottom w:val="single" w:sz="8" w:space="0" w:color="auto"/>
              <w:right w:val="single" w:sz="4" w:space="0" w:color="auto"/>
            </w:tcBorders>
            <w:shd w:val="clear" w:color="auto" w:fill="auto"/>
            <w:vAlign w:val="center"/>
            <w:hideMark/>
          </w:tcPr>
          <w:p w14:paraId="39B383EB" w14:textId="77777777" w:rsidR="004809C5" w:rsidRPr="004809C5" w:rsidRDefault="004809C5" w:rsidP="004809C5">
            <w:pPr>
              <w:spacing w:after="0" w:line="240" w:lineRule="auto"/>
              <w:rPr>
                <w:rFonts w:ascii="Times New Roman" w:eastAsia="Times New Roman" w:hAnsi="Times New Roman" w:cs="Times New Roman"/>
                <w:i/>
                <w:iCs/>
                <w:color w:val="000000"/>
                <w:sz w:val="20"/>
                <w:szCs w:val="20"/>
                <w:lang w:eastAsia="sk-SK"/>
              </w:rPr>
            </w:pPr>
            <w:r w:rsidRPr="004809C5">
              <w:rPr>
                <w:rFonts w:ascii="Times New Roman" w:eastAsia="Times New Roman" w:hAnsi="Times New Roman" w:cs="Times New Roman"/>
                <w:i/>
                <w:iCs/>
                <w:color w:val="000000"/>
                <w:sz w:val="20"/>
                <w:szCs w:val="20"/>
                <w:lang w:eastAsia="sk-SK"/>
              </w:rPr>
              <w:t>H</w:t>
            </w:r>
            <w:r w:rsidRPr="004809C5">
              <w:rPr>
                <w:rFonts w:ascii="Times New Roman" w:eastAsia="Times New Roman" w:hAnsi="Times New Roman" w:cs="Times New Roman"/>
                <w:b/>
                <w:bCs/>
                <w:i/>
                <w:iCs/>
                <w:color w:val="000000"/>
                <w:sz w:val="20"/>
                <w:szCs w:val="20"/>
                <w:lang w:eastAsia="sk-SK"/>
              </w:rPr>
              <w:t>.</w:t>
            </w:r>
            <w:r w:rsidRPr="004809C5">
              <w:rPr>
                <w:rFonts w:ascii="Times New Roman" w:eastAsia="Times New Roman" w:hAnsi="Times New Roman" w:cs="Times New Roman"/>
                <w:i/>
                <w:iCs/>
                <w:color w:val="000000"/>
                <w:sz w:val="20"/>
                <w:szCs w:val="20"/>
                <w:lang w:eastAsia="sk-SK"/>
              </w:rPr>
              <w:t xml:space="preserve"> Náklady okrem výnimiek = B+D+E-F</w:t>
            </w:r>
          </w:p>
        </w:tc>
        <w:tc>
          <w:tcPr>
            <w:tcW w:w="1980" w:type="dxa"/>
            <w:tcBorders>
              <w:top w:val="nil"/>
              <w:left w:val="nil"/>
              <w:bottom w:val="single" w:sz="8" w:space="0" w:color="auto"/>
              <w:right w:val="single" w:sz="4" w:space="0" w:color="auto"/>
            </w:tcBorders>
            <w:shd w:val="clear" w:color="000000" w:fill="FFC000"/>
            <w:vAlign w:val="center"/>
            <w:hideMark/>
          </w:tcPr>
          <w:p w14:paraId="36D8AB48"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98 374</w:t>
            </w:r>
          </w:p>
        </w:tc>
        <w:tc>
          <w:tcPr>
            <w:tcW w:w="1980" w:type="dxa"/>
            <w:tcBorders>
              <w:top w:val="nil"/>
              <w:left w:val="nil"/>
              <w:bottom w:val="single" w:sz="8" w:space="0" w:color="auto"/>
              <w:right w:val="single" w:sz="8" w:space="0" w:color="auto"/>
            </w:tcBorders>
            <w:shd w:val="clear" w:color="000000" w:fill="92D050"/>
            <w:vAlign w:val="center"/>
            <w:hideMark/>
          </w:tcPr>
          <w:p w14:paraId="312FCBFD"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62 262</w:t>
            </w:r>
          </w:p>
        </w:tc>
      </w:tr>
    </w:tbl>
    <w:p w14:paraId="1ACD9ACF" w14:textId="77777777" w:rsidR="004809C5" w:rsidRDefault="004809C5" w:rsidP="00054C41">
      <w:pPr>
        <w:jc w:val="both"/>
        <w:rPr>
          <w:rFonts w:ascii="Times New Roman" w:eastAsia="Calibri" w:hAnsi="Times New Roman" w:cs="Times New Roman"/>
          <w:i/>
          <w:sz w:val="24"/>
          <w:szCs w:val="24"/>
        </w:rPr>
        <w:sectPr w:rsidR="004809C5" w:rsidSect="007308F0">
          <w:footerReference w:type="default" r:id="rId13"/>
          <w:pgSz w:w="11906" w:h="16838"/>
          <w:pgMar w:top="1417" w:right="1417" w:bottom="1417" w:left="1417" w:header="708" w:footer="708" w:gutter="0"/>
          <w:cols w:space="708"/>
          <w:docGrid w:linePitch="360"/>
        </w:sectPr>
      </w:pPr>
    </w:p>
    <w:p w14:paraId="70796DC0"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p>
    <w:p w14:paraId="7D7445B3" w14:textId="3759DDF2"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5000" w:type="pct"/>
        <w:tblCellMar>
          <w:left w:w="70" w:type="dxa"/>
          <w:right w:w="70" w:type="dxa"/>
        </w:tblCellMar>
        <w:tblLook w:val="04A0" w:firstRow="1" w:lastRow="0" w:firstColumn="1" w:lastColumn="0" w:noHBand="0" w:noVBand="1"/>
      </w:tblPr>
      <w:tblGrid>
        <w:gridCol w:w="451"/>
        <w:gridCol w:w="1618"/>
        <w:gridCol w:w="896"/>
        <w:gridCol w:w="1129"/>
        <w:gridCol w:w="2027"/>
        <w:gridCol w:w="934"/>
        <w:gridCol w:w="1307"/>
        <w:gridCol w:w="974"/>
        <w:gridCol w:w="791"/>
        <w:gridCol w:w="974"/>
        <w:gridCol w:w="840"/>
        <w:gridCol w:w="890"/>
        <w:gridCol w:w="1163"/>
      </w:tblGrid>
      <w:tr w:rsidR="004809C5" w:rsidRPr="004809C5" w14:paraId="0BEBAB53" w14:textId="77777777" w:rsidTr="004809C5">
        <w:trPr>
          <w:trHeight w:val="265"/>
        </w:trPr>
        <w:tc>
          <w:tcPr>
            <w:tcW w:w="17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FE4732E"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4809C5">
              <w:rPr>
                <w:rFonts w:ascii="Times New Roman" w:eastAsia="Times New Roman" w:hAnsi="Times New Roman" w:cs="Times New Roman"/>
                <w:b/>
                <w:bCs/>
                <w:color w:val="000000"/>
                <w:sz w:val="20"/>
                <w:szCs w:val="20"/>
                <w:lang w:eastAsia="sk-SK"/>
              </w:rPr>
              <w:t>P.č</w:t>
            </w:r>
            <w:proofErr w:type="spellEnd"/>
            <w:r w:rsidRPr="004809C5">
              <w:rPr>
                <w:rFonts w:ascii="Times New Roman" w:eastAsia="Times New Roman" w:hAnsi="Times New Roman" w:cs="Times New Roman"/>
                <w:b/>
                <w:bCs/>
                <w:color w:val="000000"/>
                <w:sz w:val="20"/>
                <w:szCs w:val="20"/>
                <w:lang w:eastAsia="sk-SK"/>
              </w:rPr>
              <w:t>.</w:t>
            </w:r>
          </w:p>
        </w:tc>
        <w:tc>
          <w:tcPr>
            <w:tcW w:w="85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A239582"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 xml:space="preserve">Zrozumiteľný a stručný opis regulácie </w:t>
            </w:r>
            <w:r w:rsidRPr="004809C5">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4809C5">
              <w:rPr>
                <w:rFonts w:ascii="Times New Roman" w:eastAsia="Times New Roman" w:hAnsi="Times New Roman" w:cs="Times New Roman"/>
                <w:b/>
                <w:bCs/>
                <w:color w:val="000000"/>
                <w:sz w:val="20"/>
                <w:szCs w:val="20"/>
                <w:lang w:eastAsia="sk-SK"/>
              </w:rPr>
              <w:t>su</w:t>
            </w:r>
            <w:proofErr w:type="spellEnd"/>
            <w:r w:rsidRPr="004809C5">
              <w:rPr>
                <w:rFonts w:ascii="Times New Roman" w:eastAsia="Times New Roman" w:hAnsi="Times New Roman" w:cs="Times New Roman"/>
                <w:b/>
                <w:bCs/>
                <w:color w:val="000000"/>
                <w:sz w:val="20"/>
                <w:szCs w:val="20"/>
                <w:lang w:eastAsia="sk-SK"/>
              </w:rPr>
              <w:t xml:space="preserve"> goldplatingom)</w:t>
            </w:r>
          </w:p>
        </w:tc>
        <w:tc>
          <w:tcPr>
            <w:tcW w:w="357"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22B8859"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Číslo normy</w:t>
            </w:r>
            <w:r w:rsidRPr="004809C5">
              <w:rPr>
                <w:rFonts w:ascii="Times New Roman" w:eastAsia="Times New Roman" w:hAnsi="Times New Roman" w:cs="Times New Roman"/>
                <w:b/>
                <w:bCs/>
                <w:color w:val="000000"/>
                <w:sz w:val="20"/>
                <w:szCs w:val="20"/>
                <w:lang w:eastAsia="sk-SK"/>
              </w:rPr>
              <w:br/>
            </w:r>
            <w:r w:rsidRPr="004809C5">
              <w:rPr>
                <w:rFonts w:ascii="Times New Roman" w:eastAsia="Times New Roman" w:hAnsi="Times New Roman" w:cs="Times New Roman"/>
                <w:color w:val="000000"/>
                <w:sz w:val="20"/>
                <w:szCs w:val="20"/>
                <w:lang w:eastAsia="sk-SK"/>
              </w:rPr>
              <w:t>(zákona, vyhlášky a pod.)</w:t>
            </w:r>
          </w:p>
        </w:tc>
        <w:tc>
          <w:tcPr>
            <w:tcW w:w="357"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B1A9C5F"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Lokalizácia</w:t>
            </w:r>
            <w:r w:rsidRPr="004809C5">
              <w:rPr>
                <w:rFonts w:ascii="Times New Roman" w:eastAsia="Times New Roman" w:hAnsi="Times New Roman" w:cs="Times New Roman"/>
                <w:b/>
                <w:bCs/>
                <w:color w:val="000000"/>
                <w:sz w:val="20"/>
                <w:szCs w:val="20"/>
                <w:lang w:eastAsia="sk-SK"/>
              </w:rPr>
              <w:br/>
              <w:t>(§, ods., čl.,...)</w:t>
            </w:r>
          </w:p>
        </w:tc>
        <w:tc>
          <w:tcPr>
            <w:tcW w:w="114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6ED9A69"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 xml:space="preserve">Pôvod regulácie: </w:t>
            </w:r>
            <w:r w:rsidRPr="004809C5">
              <w:rPr>
                <w:rFonts w:ascii="Times New Roman" w:eastAsia="Times New Roman" w:hAnsi="Times New Roman" w:cs="Times New Roman"/>
                <w:b/>
                <w:bCs/>
                <w:color w:val="000000"/>
                <w:sz w:val="20"/>
                <w:szCs w:val="20"/>
                <w:lang w:eastAsia="sk-SK"/>
              </w:rPr>
              <w:br/>
            </w:r>
            <w:r w:rsidRPr="004809C5">
              <w:rPr>
                <w:rFonts w:ascii="Times New Roman" w:eastAsia="Times New Roman" w:hAnsi="Times New Roman" w:cs="Times New Roman"/>
                <w:color w:val="000000"/>
                <w:sz w:val="20"/>
                <w:szCs w:val="20"/>
                <w:lang w:eastAsia="sk-SK"/>
              </w:rPr>
              <w:t xml:space="preserve">SK/EÚ úplná </w:t>
            </w:r>
            <w:proofErr w:type="spellStart"/>
            <w:r w:rsidRPr="004809C5">
              <w:rPr>
                <w:rFonts w:ascii="Times New Roman" w:eastAsia="Times New Roman" w:hAnsi="Times New Roman" w:cs="Times New Roman"/>
                <w:color w:val="000000"/>
                <w:sz w:val="20"/>
                <w:szCs w:val="20"/>
                <w:lang w:eastAsia="sk-SK"/>
              </w:rPr>
              <w:t>harm</w:t>
            </w:r>
            <w:proofErr w:type="spellEnd"/>
            <w:r w:rsidRPr="004809C5">
              <w:rPr>
                <w:rFonts w:ascii="Times New Roman" w:eastAsia="Times New Roman" w:hAnsi="Times New Roman" w:cs="Times New Roman"/>
                <w:color w:val="000000"/>
                <w:sz w:val="20"/>
                <w:szCs w:val="20"/>
                <w:lang w:eastAsia="sk-SK"/>
              </w:rPr>
              <w:t>./</w:t>
            </w:r>
            <w:r w:rsidRPr="004809C5">
              <w:rPr>
                <w:rFonts w:ascii="Times New Roman" w:eastAsia="Times New Roman" w:hAnsi="Times New Roman" w:cs="Times New Roman"/>
                <w:color w:val="000000"/>
                <w:sz w:val="20"/>
                <w:szCs w:val="20"/>
                <w:lang w:eastAsia="sk-SK"/>
              </w:rPr>
              <w:br/>
              <w:t>goldplating</w:t>
            </w:r>
          </w:p>
        </w:tc>
        <w:tc>
          <w:tcPr>
            <w:tcW w:w="19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449AD4C"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Účinnosť regulácie</w:t>
            </w:r>
          </w:p>
        </w:tc>
        <w:tc>
          <w:tcPr>
            <w:tcW w:w="26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8A1FD0"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 xml:space="preserve">Kategória </w:t>
            </w:r>
            <w:proofErr w:type="spellStart"/>
            <w:r w:rsidRPr="004809C5">
              <w:rPr>
                <w:rFonts w:ascii="Times New Roman" w:eastAsia="Times New Roman" w:hAnsi="Times New Roman" w:cs="Times New Roman"/>
                <w:b/>
                <w:bCs/>
                <w:color w:val="000000"/>
                <w:sz w:val="20"/>
                <w:szCs w:val="20"/>
                <w:lang w:eastAsia="sk-SK"/>
              </w:rPr>
              <w:t>dotk</w:t>
            </w:r>
            <w:proofErr w:type="spellEnd"/>
            <w:r w:rsidRPr="004809C5">
              <w:rPr>
                <w:rFonts w:ascii="Times New Roman" w:eastAsia="Times New Roman" w:hAnsi="Times New Roman" w:cs="Times New Roman"/>
                <w:b/>
                <w:bCs/>
                <w:color w:val="000000"/>
                <w:sz w:val="20"/>
                <w:szCs w:val="20"/>
                <w:lang w:eastAsia="sk-SK"/>
              </w:rPr>
              <w:t>. subjektov</w:t>
            </w:r>
          </w:p>
        </w:tc>
        <w:tc>
          <w:tcPr>
            <w:tcW w:w="20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F35B49"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 xml:space="preserve">Počet </w:t>
            </w:r>
            <w:proofErr w:type="spellStart"/>
            <w:r w:rsidRPr="004809C5">
              <w:rPr>
                <w:rFonts w:ascii="Times New Roman" w:eastAsia="Times New Roman" w:hAnsi="Times New Roman" w:cs="Times New Roman"/>
                <w:b/>
                <w:bCs/>
                <w:color w:val="000000"/>
                <w:sz w:val="20"/>
                <w:szCs w:val="20"/>
                <w:lang w:eastAsia="sk-SK"/>
              </w:rPr>
              <w:t>dotk</w:t>
            </w:r>
            <w:proofErr w:type="spellEnd"/>
            <w:r w:rsidRPr="004809C5">
              <w:rPr>
                <w:rFonts w:ascii="Times New Roman" w:eastAsia="Times New Roman" w:hAnsi="Times New Roman" w:cs="Times New Roman"/>
                <w:b/>
                <w:bCs/>
                <w:color w:val="000000"/>
                <w:sz w:val="20"/>
                <w:szCs w:val="20"/>
                <w:lang w:eastAsia="sk-SK"/>
              </w:rPr>
              <w:t xml:space="preserve">. subjektov spolu </w:t>
            </w:r>
          </w:p>
        </w:tc>
        <w:tc>
          <w:tcPr>
            <w:tcW w:w="22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D01C87F"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Vplyv na 1 podnik. v €</w:t>
            </w:r>
          </w:p>
        </w:tc>
        <w:tc>
          <w:tcPr>
            <w:tcW w:w="249"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875AD30"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 xml:space="preserve">Vplyv na kategóriu </w:t>
            </w:r>
            <w:proofErr w:type="spellStart"/>
            <w:r w:rsidRPr="004809C5">
              <w:rPr>
                <w:rFonts w:ascii="Times New Roman" w:eastAsia="Times New Roman" w:hAnsi="Times New Roman" w:cs="Times New Roman"/>
                <w:b/>
                <w:bCs/>
                <w:color w:val="000000"/>
                <w:sz w:val="20"/>
                <w:szCs w:val="20"/>
                <w:lang w:eastAsia="sk-SK"/>
              </w:rPr>
              <w:t>dotk</w:t>
            </w:r>
            <w:proofErr w:type="spellEnd"/>
            <w:r w:rsidRPr="004809C5">
              <w:rPr>
                <w:rFonts w:ascii="Times New Roman" w:eastAsia="Times New Roman" w:hAnsi="Times New Roman" w:cs="Times New Roman"/>
                <w:b/>
                <w:bCs/>
                <w:color w:val="000000"/>
                <w:sz w:val="20"/>
                <w:szCs w:val="20"/>
                <w:lang w:eastAsia="sk-SK"/>
              </w:rPr>
              <w:t>. subjektov v €</w:t>
            </w:r>
          </w:p>
        </w:tc>
        <w:tc>
          <w:tcPr>
            <w:tcW w:w="35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58210C8"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Druh vplyvu</w:t>
            </w:r>
            <w:r w:rsidRPr="004809C5">
              <w:rPr>
                <w:rFonts w:ascii="Times New Roman" w:eastAsia="Times New Roman" w:hAnsi="Times New Roman" w:cs="Times New Roman"/>
                <w:b/>
                <w:bCs/>
                <w:color w:val="000000"/>
                <w:sz w:val="20"/>
                <w:szCs w:val="20"/>
                <w:lang w:eastAsia="sk-SK"/>
              </w:rPr>
              <w:br/>
            </w:r>
            <w:r w:rsidRPr="004809C5">
              <w:rPr>
                <w:rFonts w:ascii="Times New Roman" w:eastAsia="Times New Roman" w:hAnsi="Times New Roman" w:cs="Times New Roman"/>
                <w:color w:val="000000"/>
                <w:sz w:val="20"/>
                <w:szCs w:val="20"/>
                <w:lang w:eastAsia="sk-SK"/>
              </w:rPr>
              <w:t xml:space="preserve">In (zvyšuje náklady) / </w:t>
            </w:r>
            <w:r w:rsidRPr="004809C5">
              <w:rPr>
                <w:rFonts w:ascii="Times New Roman" w:eastAsia="Times New Roman" w:hAnsi="Times New Roman" w:cs="Times New Roman"/>
                <w:color w:val="000000"/>
                <w:sz w:val="20"/>
                <w:szCs w:val="20"/>
                <w:lang w:eastAsia="sk-SK"/>
              </w:rPr>
              <w:br/>
            </w:r>
            <w:proofErr w:type="spellStart"/>
            <w:r w:rsidRPr="004809C5">
              <w:rPr>
                <w:rFonts w:ascii="Times New Roman" w:eastAsia="Times New Roman" w:hAnsi="Times New Roman" w:cs="Times New Roman"/>
                <w:color w:val="000000"/>
                <w:sz w:val="20"/>
                <w:szCs w:val="20"/>
                <w:lang w:eastAsia="sk-SK"/>
              </w:rPr>
              <w:t>Out</w:t>
            </w:r>
            <w:proofErr w:type="spellEnd"/>
            <w:r w:rsidRPr="004809C5">
              <w:rPr>
                <w:rFonts w:ascii="Times New Roman" w:eastAsia="Times New Roman" w:hAnsi="Times New Roman" w:cs="Times New Roman"/>
                <w:color w:val="000000"/>
                <w:sz w:val="20"/>
                <w:szCs w:val="20"/>
                <w:lang w:eastAsia="sk-SK"/>
              </w:rPr>
              <w:t xml:space="preserve"> (znižuje náklady) / Nemení sa</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CABCB8"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 xml:space="preserve">1in2out </w:t>
            </w:r>
            <w:r w:rsidRPr="004809C5">
              <w:rPr>
                <w:rFonts w:ascii="Times New Roman" w:eastAsia="Times New Roman" w:hAnsi="Times New Roman" w:cs="Times New Roman"/>
                <w:b/>
                <w:bCs/>
                <w:color w:val="000000"/>
                <w:sz w:val="20"/>
                <w:szCs w:val="20"/>
                <w:lang w:eastAsia="sk-SK"/>
              </w:rPr>
              <w:br/>
              <w:t>celkom</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B6C68B" w14:textId="77777777" w:rsidR="004809C5" w:rsidRPr="004809C5" w:rsidRDefault="004809C5" w:rsidP="004809C5">
            <w:pPr>
              <w:spacing w:after="0" w:line="240" w:lineRule="auto"/>
              <w:jc w:val="center"/>
              <w:rPr>
                <w:rFonts w:ascii="Times New Roman" w:eastAsia="Times New Roman" w:hAnsi="Times New Roman" w:cs="Times New Roman"/>
                <w:b/>
                <w:bCs/>
                <w:color w:val="000000"/>
                <w:sz w:val="20"/>
                <w:szCs w:val="20"/>
                <w:lang w:eastAsia="sk-SK"/>
              </w:rPr>
            </w:pPr>
            <w:r w:rsidRPr="004809C5">
              <w:rPr>
                <w:rFonts w:ascii="Times New Roman" w:eastAsia="Times New Roman" w:hAnsi="Times New Roman" w:cs="Times New Roman"/>
                <w:b/>
                <w:bCs/>
                <w:color w:val="000000"/>
                <w:sz w:val="20"/>
                <w:szCs w:val="20"/>
                <w:lang w:eastAsia="sk-SK"/>
              </w:rPr>
              <w:t>Goldplating celkom</w:t>
            </w:r>
          </w:p>
        </w:tc>
      </w:tr>
      <w:tr w:rsidR="004809C5" w:rsidRPr="004809C5" w14:paraId="4C2B6270" w14:textId="77777777" w:rsidTr="004809C5">
        <w:trPr>
          <w:trHeight w:val="408"/>
        </w:trPr>
        <w:tc>
          <w:tcPr>
            <w:tcW w:w="170" w:type="pct"/>
            <w:vMerge/>
            <w:tcBorders>
              <w:top w:val="single" w:sz="4" w:space="0" w:color="auto"/>
              <w:left w:val="single" w:sz="4" w:space="0" w:color="auto"/>
              <w:bottom w:val="single" w:sz="4" w:space="0" w:color="auto"/>
              <w:right w:val="single" w:sz="4" w:space="0" w:color="auto"/>
            </w:tcBorders>
            <w:vAlign w:val="center"/>
            <w:hideMark/>
          </w:tcPr>
          <w:p w14:paraId="6B18471F"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856" w:type="pct"/>
            <w:vMerge/>
            <w:tcBorders>
              <w:top w:val="single" w:sz="4" w:space="0" w:color="auto"/>
              <w:left w:val="single" w:sz="4" w:space="0" w:color="auto"/>
              <w:bottom w:val="single" w:sz="4" w:space="0" w:color="auto"/>
              <w:right w:val="single" w:sz="4" w:space="0" w:color="auto"/>
            </w:tcBorders>
            <w:vAlign w:val="center"/>
            <w:hideMark/>
          </w:tcPr>
          <w:p w14:paraId="1D6D6467"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08B18BE1"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1E4FDCA8"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144" w:type="pct"/>
            <w:vMerge/>
            <w:tcBorders>
              <w:top w:val="single" w:sz="4" w:space="0" w:color="auto"/>
              <w:left w:val="single" w:sz="4" w:space="0" w:color="auto"/>
              <w:bottom w:val="single" w:sz="4" w:space="0" w:color="auto"/>
              <w:right w:val="single" w:sz="4" w:space="0" w:color="auto"/>
            </w:tcBorders>
            <w:vAlign w:val="center"/>
            <w:hideMark/>
          </w:tcPr>
          <w:p w14:paraId="78D0C90F"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7CBE2ED8"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271811FA"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06" w:type="pct"/>
            <w:vMerge/>
            <w:tcBorders>
              <w:top w:val="single" w:sz="4" w:space="0" w:color="auto"/>
              <w:left w:val="single" w:sz="4" w:space="0" w:color="auto"/>
              <w:bottom w:val="single" w:sz="4" w:space="0" w:color="auto"/>
              <w:right w:val="single" w:sz="4" w:space="0" w:color="auto"/>
            </w:tcBorders>
            <w:vAlign w:val="center"/>
            <w:hideMark/>
          </w:tcPr>
          <w:p w14:paraId="617660E3"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56FBFB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7B1B258C"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5B7C6A0A"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4EFCD6FA"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4D00A63"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r>
      <w:tr w:rsidR="004809C5" w:rsidRPr="004809C5" w14:paraId="516BA406" w14:textId="77777777" w:rsidTr="004809C5">
        <w:trPr>
          <w:trHeight w:val="408"/>
        </w:trPr>
        <w:tc>
          <w:tcPr>
            <w:tcW w:w="170" w:type="pct"/>
            <w:vMerge/>
            <w:tcBorders>
              <w:top w:val="single" w:sz="4" w:space="0" w:color="auto"/>
              <w:left w:val="single" w:sz="4" w:space="0" w:color="auto"/>
              <w:bottom w:val="single" w:sz="4" w:space="0" w:color="auto"/>
              <w:right w:val="single" w:sz="4" w:space="0" w:color="auto"/>
            </w:tcBorders>
            <w:vAlign w:val="center"/>
            <w:hideMark/>
          </w:tcPr>
          <w:p w14:paraId="376C40CC"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856" w:type="pct"/>
            <w:vMerge/>
            <w:tcBorders>
              <w:top w:val="single" w:sz="4" w:space="0" w:color="auto"/>
              <w:left w:val="single" w:sz="4" w:space="0" w:color="auto"/>
              <w:bottom w:val="single" w:sz="4" w:space="0" w:color="auto"/>
              <w:right w:val="single" w:sz="4" w:space="0" w:color="auto"/>
            </w:tcBorders>
            <w:vAlign w:val="center"/>
            <w:hideMark/>
          </w:tcPr>
          <w:p w14:paraId="4EFEB158"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1BE651A4"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6DD6BDC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144" w:type="pct"/>
            <w:vMerge/>
            <w:tcBorders>
              <w:top w:val="single" w:sz="4" w:space="0" w:color="auto"/>
              <w:left w:val="single" w:sz="4" w:space="0" w:color="auto"/>
              <w:bottom w:val="single" w:sz="4" w:space="0" w:color="auto"/>
              <w:right w:val="single" w:sz="4" w:space="0" w:color="auto"/>
            </w:tcBorders>
            <w:vAlign w:val="center"/>
            <w:hideMark/>
          </w:tcPr>
          <w:p w14:paraId="623BFDF2"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328A07A7"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4546A3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06" w:type="pct"/>
            <w:vMerge/>
            <w:tcBorders>
              <w:top w:val="single" w:sz="4" w:space="0" w:color="auto"/>
              <w:left w:val="single" w:sz="4" w:space="0" w:color="auto"/>
              <w:bottom w:val="single" w:sz="4" w:space="0" w:color="auto"/>
              <w:right w:val="single" w:sz="4" w:space="0" w:color="auto"/>
            </w:tcBorders>
            <w:vAlign w:val="center"/>
            <w:hideMark/>
          </w:tcPr>
          <w:p w14:paraId="657C4E18"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CCCE7E0"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0BE87191"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F597E72"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5754D326"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6C353CD5"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r>
      <w:tr w:rsidR="004809C5" w:rsidRPr="004809C5" w14:paraId="13E91B89" w14:textId="77777777" w:rsidTr="004809C5">
        <w:trPr>
          <w:trHeight w:val="408"/>
        </w:trPr>
        <w:tc>
          <w:tcPr>
            <w:tcW w:w="170" w:type="pct"/>
            <w:vMerge/>
            <w:tcBorders>
              <w:top w:val="single" w:sz="4" w:space="0" w:color="auto"/>
              <w:left w:val="single" w:sz="4" w:space="0" w:color="auto"/>
              <w:bottom w:val="single" w:sz="4" w:space="0" w:color="auto"/>
              <w:right w:val="single" w:sz="4" w:space="0" w:color="auto"/>
            </w:tcBorders>
            <w:vAlign w:val="center"/>
            <w:hideMark/>
          </w:tcPr>
          <w:p w14:paraId="298062B5"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856" w:type="pct"/>
            <w:vMerge/>
            <w:tcBorders>
              <w:top w:val="single" w:sz="4" w:space="0" w:color="auto"/>
              <w:left w:val="single" w:sz="4" w:space="0" w:color="auto"/>
              <w:bottom w:val="single" w:sz="4" w:space="0" w:color="auto"/>
              <w:right w:val="single" w:sz="4" w:space="0" w:color="auto"/>
            </w:tcBorders>
            <w:vAlign w:val="center"/>
            <w:hideMark/>
          </w:tcPr>
          <w:p w14:paraId="3D577C24"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6042485E"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69DF2F70"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144" w:type="pct"/>
            <w:vMerge/>
            <w:tcBorders>
              <w:top w:val="single" w:sz="4" w:space="0" w:color="auto"/>
              <w:left w:val="single" w:sz="4" w:space="0" w:color="auto"/>
              <w:bottom w:val="single" w:sz="4" w:space="0" w:color="auto"/>
              <w:right w:val="single" w:sz="4" w:space="0" w:color="auto"/>
            </w:tcBorders>
            <w:vAlign w:val="center"/>
            <w:hideMark/>
          </w:tcPr>
          <w:p w14:paraId="322BCE1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558EA34C"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C1B6B02"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06" w:type="pct"/>
            <w:vMerge/>
            <w:tcBorders>
              <w:top w:val="single" w:sz="4" w:space="0" w:color="auto"/>
              <w:left w:val="single" w:sz="4" w:space="0" w:color="auto"/>
              <w:bottom w:val="single" w:sz="4" w:space="0" w:color="auto"/>
              <w:right w:val="single" w:sz="4" w:space="0" w:color="auto"/>
            </w:tcBorders>
            <w:vAlign w:val="center"/>
            <w:hideMark/>
          </w:tcPr>
          <w:p w14:paraId="22E501BF"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680C3F1"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54E9E04C"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2B4EA518"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3204943"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8A74405"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r>
      <w:tr w:rsidR="004809C5" w:rsidRPr="004809C5" w14:paraId="3B0E67D7" w14:textId="77777777" w:rsidTr="004809C5">
        <w:trPr>
          <w:trHeight w:val="408"/>
        </w:trPr>
        <w:tc>
          <w:tcPr>
            <w:tcW w:w="170" w:type="pct"/>
            <w:vMerge/>
            <w:tcBorders>
              <w:top w:val="single" w:sz="4" w:space="0" w:color="auto"/>
              <w:left w:val="single" w:sz="4" w:space="0" w:color="auto"/>
              <w:bottom w:val="single" w:sz="4" w:space="0" w:color="auto"/>
              <w:right w:val="single" w:sz="4" w:space="0" w:color="auto"/>
            </w:tcBorders>
            <w:vAlign w:val="center"/>
            <w:hideMark/>
          </w:tcPr>
          <w:p w14:paraId="70D20537"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856" w:type="pct"/>
            <w:vMerge/>
            <w:tcBorders>
              <w:top w:val="single" w:sz="4" w:space="0" w:color="auto"/>
              <w:left w:val="single" w:sz="4" w:space="0" w:color="auto"/>
              <w:bottom w:val="single" w:sz="4" w:space="0" w:color="auto"/>
              <w:right w:val="single" w:sz="4" w:space="0" w:color="auto"/>
            </w:tcBorders>
            <w:vAlign w:val="center"/>
            <w:hideMark/>
          </w:tcPr>
          <w:p w14:paraId="441EF140"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7219F372"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689D5C64"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144" w:type="pct"/>
            <w:vMerge/>
            <w:tcBorders>
              <w:top w:val="single" w:sz="4" w:space="0" w:color="auto"/>
              <w:left w:val="single" w:sz="4" w:space="0" w:color="auto"/>
              <w:bottom w:val="single" w:sz="4" w:space="0" w:color="auto"/>
              <w:right w:val="single" w:sz="4" w:space="0" w:color="auto"/>
            </w:tcBorders>
            <w:vAlign w:val="center"/>
            <w:hideMark/>
          </w:tcPr>
          <w:p w14:paraId="77EE4B75"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0BD1AD43"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05F08A3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06" w:type="pct"/>
            <w:vMerge/>
            <w:tcBorders>
              <w:top w:val="single" w:sz="4" w:space="0" w:color="auto"/>
              <w:left w:val="single" w:sz="4" w:space="0" w:color="auto"/>
              <w:bottom w:val="single" w:sz="4" w:space="0" w:color="auto"/>
              <w:right w:val="single" w:sz="4" w:space="0" w:color="auto"/>
            </w:tcBorders>
            <w:vAlign w:val="center"/>
            <w:hideMark/>
          </w:tcPr>
          <w:p w14:paraId="77F3B752"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BCCC657"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59E1D3B1"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47831035"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A11921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F1EC8E8"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r>
      <w:tr w:rsidR="004809C5" w:rsidRPr="004809C5" w14:paraId="1DCAA65B" w14:textId="77777777" w:rsidTr="004809C5">
        <w:trPr>
          <w:trHeight w:val="408"/>
        </w:trPr>
        <w:tc>
          <w:tcPr>
            <w:tcW w:w="170" w:type="pct"/>
            <w:vMerge/>
            <w:tcBorders>
              <w:top w:val="single" w:sz="4" w:space="0" w:color="auto"/>
              <w:left w:val="single" w:sz="4" w:space="0" w:color="auto"/>
              <w:bottom w:val="single" w:sz="4" w:space="0" w:color="auto"/>
              <w:right w:val="single" w:sz="4" w:space="0" w:color="auto"/>
            </w:tcBorders>
            <w:vAlign w:val="center"/>
            <w:hideMark/>
          </w:tcPr>
          <w:p w14:paraId="32B26ABD"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856" w:type="pct"/>
            <w:vMerge/>
            <w:tcBorders>
              <w:top w:val="single" w:sz="4" w:space="0" w:color="auto"/>
              <w:left w:val="single" w:sz="4" w:space="0" w:color="auto"/>
              <w:bottom w:val="single" w:sz="4" w:space="0" w:color="auto"/>
              <w:right w:val="single" w:sz="4" w:space="0" w:color="auto"/>
            </w:tcBorders>
            <w:vAlign w:val="center"/>
            <w:hideMark/>
          </w:tcPr>
          <w:p w14:paraId="01B5A104"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2FEECD74"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000000"/>
              <w:right w:val="single" w:sz="4" w:space="0" w:color="auto"/>
            </w:tcBorders>
            <w:vAlign w:val="center"/>
            <w:hideMark/>
          </w:tcPr>
          <w:p w14:paraId="774C9B0E"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144" w:type="pct"/>
            <w:vMerge/>
            <w:tcBorders>
              <w:top w:val="single" w:sz="4" w:space="0" w:color="auto"/>
              <w:left w:val="single" w:sz="4" w:space="0" w:color="auto"/>
              <w:bottom w:val="single" w:sz="4" w:space="0" w:color="auto"/>
              <w:right w:val="single" w:sz="4" w:space="0" w:color="auto"/>
            </w:tcBorders>
            <w:vAlign w:val="center"/>
            <w:hideMark/>
          </w:tcPr>
          <w:p w14:paraId="50E5569B"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09384F27"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04152A6"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06" w:type="pct"/>
            <w:vMerge/>
            <w:tcBorders>
              <w:top w:val="single" w:sz="4" w:space="0" w:color="auto"/>
              <w:left w:val="single" w:sz="4" w:space="0" w:color="auto"/>
              <w:bottom w:val="single" w:sz="4" w:space="0" w:color="auto"/>
              <w:right w:val="single" w:sz="4" w:space="0" w:color="auto"/>
            </w:tcBorders>
            <w:vAlign w:val="center"/>
            <w:hideMark/>
          </w:tcPr>
          <w:p w14:paraId="750C8F15"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DD9FE3A"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49" w:type="pct"/>
            <w:vMerge/>
            <w:tcBorders>
              <w:top w:val="single" w:sz="4" w:space="0" w:color="auto"/>
              <w:left w:val="single" w:sz="4" w:space="0" w:color="auto"/>
              <w:bottom w:val="single" w:sz="4" w:space="0" w:color="auto"/>
              <w:right w:val="single" w:sz="4" w:space="0" w:color="auto"/>
            </w:tcBorders>
            <w:vAlign w:val="center"/>
            <w:hideMark/>
          </w:tcPr>
          <w:p w14:paraId="2EFB02F6"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EAD7600"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0F94C7A7"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59BC09A3" w14:textId="77777777" w:rsidR="004809C5" w:rsidRPr="004809C5" w:rsidRDefault="004809C5" w:rsidP="004809C5">
            <w:pPr>
              <w:spacing w:after="0" w:line="240" w:lineRule="auto"/>
              <w:rPr>
                <w:rFonts w:ascii="Times New Roman" w:eastAsia="Times New Roman" w:hAnsi="Times New Roman" w:cs="Times New Roman"/>
                <w:b/>
                <w:bCs/>
                <w:color w:val="000000"/>
                <w:sz w:val="20"/>
                <w:szCs w:val="20"/>
                <w:lang w:eastAsia="sk-SK"/>
              </w:rPr>
            </w:pPr>
          </w:p>
        </w:tc>
      </w:tr>
      <w:tr w:rsidR="004809C5" w:rsidRPr="004809C5" w14:paraId="009F72C7" w14:textId="77777777" w:rsidTr="004809C5">
        <w:trPr>
          <w:trHeight w:val="33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025CB95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w:t>
            </w:r>
          </w:p>
        </w:tc>
        <w:tc>
          <w:tcPr>
            <w:tcW w:w="856" w:type="pct"/>
            <w:tcBorders>
              <w:top w:val="nil"/>
              <w:left w:val="nil"/>
              <w:bottom w:val="single" w:sz="4" w:space="0" w:color="auto"/>
              <w:right w:val="single" w:sz="4" w:space="0" w:color="auto"/>
            </w:tcBorders>
            <w:shd w:val="clear" w:color="auto" w:fill="auto"/>
            <w:vAlign w:val="center"/>
            <w:hideMark/>
          </w:tcPr>
          <w:p w14:paraId="3A40097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zrušenie štatistického zisťovania </w:t>
            </w:r>
            <w:proofErr w:type="spellStart"/>
            <w:r w:rsidRPr="004809C5">
              <w:rPr>
                <w:rFonts w:ascii="Times New Roman" w:eastAsia="Times New Roman" w:hAnsi="Times New Roman" w:cs="Times New Roman"/>
                <w:color w:val="000000"/>
                <w:sz w:val="20"/>
                <w:szCs w:val="20"/>
                <w:lang w:eastAsia="sk-SK"/>
              </w:rPr>
              <w:t>Poi</w:t>
            </w:r>
            <w:proofErr w:type="spellEnd"/>
            <w:r w:rsidRPr="004809C5">
              <w:rPr>
                <w:rFonts w:ascii="Times New Roman" w:eastAsia="Times New Roman" w:hAnsi="Times New Roman" w:cs="Times New Roman"/>
                <w:color w:val="000000"/>
                <w:sz w:val="20"/>
                <w:szCs w:val="20"/>
                <w:lang w:eastAsia="sk-SK"/>
              </w:rPr>
              <w:t xml:space="preserve"> 3-04</w:t>
            </w:r>
          </w:p>
        </w:tc>
        <w:tc>
          <w:tcPr>
            <w:tcW w:w="357" w:type="pct"/>
            <w:tcBorders>
              <w:top w:val="nil"/>
              <w:left w:val="nil"/>
              <w:bottom w:val="single" w:sz="4" w:space="0" w:color="auto"/>
              <w:right w:val="single" w:sz="4" w:space="0" w:color="auto"/>
            </w:tcBorders>
            <w:shd w:val="clear" w:color="auto" w:fill="auto"/>
            <w:vAlign w:val="center"/>
            <w:hideMark/>
          </w:tcPr>
          <w:p w14:paraId="45B8DF0C"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6051A9A5"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Príloha č. 1 bod 59</w:t>
            </w:r>
          </w:p>
        </w:tc>
        <w:tc>
          <w:tcPr>
            <w:tcW w:w="1144" w:type="pct"/>
            <w:tcBorders>
              <w:top w:val="nil"/>
              <w:left w:val="nil"/>
              <w:bottom w:val="single" w:sz="4" w:space="0" w:color="auto"/>
              <w:right w:val="single" w:sz="4" w:space="0" w:color="auto"/>
            </w:tcBorders>
            <w:shd w:val="clear" w:color="auto" w:fill="auto"/>
            <w:vAlign w:val="center"/>
            <w:hideMark/>
          </w:tcPr>
          <w:p w14:paraId="37E61A6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1190884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70C842C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finančný sektor</w:t>
            </w:r>
          </w:p>
        </w:tc>
        <w:tc>
          <w:tcPr>
            <w:tcW w:w="206" w:type="pct"/>
            <w:tcBorders>
              <w:top w:val="nil"/>
              <w:left w:val="nil"/>
              <w:bottom w:val="single" w:sz="4" w:space="0" w:color="auto"/>
              <w:right w:val="single" w:sz="4" w:space="0" w:color="auto"/>
            </w:tcBorders>
            <w:shd w:val="clear" w:color="auto" w:fill="auto"/>
            <w:vAlign w:val="center"/>
            <w:hideMark/>
          </w:tcPr>
          <w:p w14:paraId="4DB8028C"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441 </w:t>
            </w:r>
          </w:p>
        </w:tc>
        <w:tc>
          <w:tcPr>
            <w:tcW w:w="220" w:type="pct"/>
            <w:tcBorders>
              <w:top w:val="nil"/>
              <w:left w:val="nil"/>
              <w:bottom w:val="single" w:sz="4" w:space="0" w:color="auto"/>
              <w:right w:val="single" w:sz="4" w:space="0" w:color="auto"/>
            </w:tcBorders>
            <w:shd w:val="clear" w:color="000000" w:fill="FFFFFF"/>
            <w:vAlign w:val="center"/>
            <w:hideMark/>
          </w:tcPr>
          <w:p w14:paraId="27469EBC"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92</w:t>
            </w:r>
          </w:p>
        </w:tc>
        <w:tc>
          <w:tcPr>
            <w:tcW w:w="249" w:type="pct"/>
            <w:tcBorders>
              <w:top w:val="nil"/>
              <w:left w:val="nil"/>
              <w:bottom w:val="single" w:sz="4" w:space="0" w:color="auto"/>
              <w:right w:val="single" w:sz="4" w:space="0" w:color="auto"/>
            </w:tcBorders>
            <w:shd w:val="clear" w:color="auto" w:fill="auto"/>
            <w:vAlign w:val="center"/>
            <w:hideMark/>
          </w:tcPr>
          <w:p w14:paraId="5B445F0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40 543</w:t>
            </w:r>
          </w:p>
        </w:tc>
        <w:tc>
          <w:tcPr>
            <w:tcW w:w="357" w:type="pct"/>
            <w:tcBorders>
              <w:top w:val="nil"/>
              <w:left w:val="nil"/>
              <w:bottom w:val="single" w:sz="4" w:space="0" w:color="auto"/>
              <w:right w:val="single" w:sz="4" w:space="0" w:color="auto"/>
            </w:tcBorders>
            <w:shd w:val="clear" w:color="auto" w:fill="auto"/>
            <w:vAlign w:val="center"/>
            <w:hideMark/>
          </w:tcPr>
          <w:p w14:paraId="68FE430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proofErr w:type="spellStart"/>
            <w:r w:rsidRPr="004809C5">
              <w:rPr>
                <w:rFonts w:ascii="Times New Roman" w:eastAsia="Times New Roman" w:hAnsi="Times New Roman" w:cs="Times New Roman"/>
                <w:color w:val="000000"/>
                <w:sz w:val="20"/>
                <w:szCs w:val="20"/>
                <w:lang w:eastAsia="sk-SK"/>
              </w:rPr>
              <w:t>Out</w:t>
            </w:r>
            <w:proofErr w:type="spellEnd"/>
            <w:r w:rsidRPr="004809C5">
              <w:rPr>
                <w:rFonts w:ascii="Times New Roman" w:eastAsia="Times New Roman" w:hAnsi="Times New Roman" w:cs="Times New Roman"/>
                <w:color w:val="000000"/>
                <w:sz w:val="20"/>
                <w:szCs w:val="20"/>
                <w:lang w:eastAsia="sk-SK"/>
              </w:rPr>
              <w:t xml:space="preserve"> (znižuje náklady)</w:t>
            </w:r>
          </w:p>
        </w:tc>
        <w:tc>
          <w:tcPr>
            <w:tcW w:w="357" w:type="pct"/>
            <w:tcBorders>
              <w:top w:val="nil"/>
              <w:left w:val="nil"/>
              <w:bottom w:val="single" w:sz="4" w:space="0" w:color="auto"/>
              <w:right w:val="single" w:sz="4" w:space="0" w:color="auto"/>
            </w:tcBorders>
            <w:shd w:val="clear" w:color="auto" w:fill="auto"/>
            <w:vAlign w:val="center"/>
            <w:hideMark/>
          </w:tcPr>
          <w:p w14:paraId="7D5DE87C"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40 543</w:t>
            </w:r>
          </w:p>
        </w:tc>
        <w:tc>
          <w:tcPr>
            <w:tcW w:w="267" w:type="pct"/>
            <w:tcBorders>
              <w:top w:val="nil"/>
              <w:left w:val="nil"/>
              <w:bottom w:val="single" w:sz="4" w:space="0" w:color="auto"/>
              <w:right w:val="single" w:sz="4" w:space="0" w:color="auto"/>
            </w:tcBorders>
            <w:shd w:val="clear" w:color="auto" w:fill="auto"/>
            <w:vAlign w:val="center"/>
            <w:hideMark/>
          </w:tcPr>
          <w:p w14:paraId="16ACDCC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676F113A" w14:textId="77777777" w:rsidTr="004809C5">
        <w:trPr>
          <w:trHeight w:val="26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0002E8A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w:t>
            </w:r>
          </w:p>
        </w:tc>
        <w:tc>
          <w:tcPr>
            <w:tcW w:w="856" w:type="pct"/>
            <w:tcBorders>
              <w:top w:val="nil"/>
              <w:left w:val="nil"/>
              <w:bottom w:val="single" w:sz="4" w:space="0" w:color="auto"/>
              <w:right w:val="single" w:sz="4" w:space="0" w:color="auto"/>
            </w:tcBorders>
            <w:shd w:val="clear" w:color="auto" w:fill="auto"/>
            <w:vAlign w:val="center"/>
            <w:hideMark/>
          </w:tcPr>
          <w:p w14:paraId="0AA41687"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zrušenie štatistického zisťovania </w:t>
            </w:r>
            <w:proofErr w:type="spellStart"/>
            <w:r w:rsidRPr="004809C5">
              <w:rPr>
                <w:rFonts w:ascii="Times New Roman" w:eastAsia="Times New Roman" w:hAnsi="Times New Roman" w:cs="Times New Roman"/>
                <w:color w:val="000000"/>
                <w:sz w:val="20"/>
                <w:szCs w:val="20"/>
                <w:lang w:eastAsia="sk-SK"/>
              </w:rPr>
              <w:t>Pen</w:t>
            </w:r>
            <w:proofErr w:type="spellEnd"/>
            <w:r w:rsidRPr="004809C5">
              <w:rPr>
                <w:rFonts w:ascii="Times New Roman" w:eastAsia="Times New Roman" w:hAnsi="Times New Roman" w:cs="Times New Roman"/>
                <w:color w:val="000000"/>
                <w:sz w:val="20"/>
                <w:szCs w:val="20"/>
                <w:lang w:eastAsia="sk-SK"/>
              </w:rPr>
              <w:t xml:space="preserve"> 3-04</w:t>
            </w:r>
          </w:p>
        </w:tc>
        <w:tc>
          <w:tcPr>
            <w:tcW w:w="357" w:type="pct"/>
            <w:tcBorders>
              <w:top w:val="nil"/>
              <w:left w:val="nil"/>
              <w:bottom w:val="single" w:sz="4" w:space="0" w:color="auto"/>
              <w:right w:val="single" w:sz="4" w:space="0" w:color="auto"/>
            </w:tcBorders>
            <w:shd w:val="clear" w:color="auto" w:fill="auto"/>
            <w:vAlign w:val="center"/>
            <w:hideMark/>
          </w:tcPr>
          <w:p w14:paraId="5400FF6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455436AC"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Príloha č. 1 bod 60</w:t>
            </w:r>
          </w:p>
        </w:tc>
        <w:tc>
          <w:tcPr>
            <w:tcW w:w="1144" w:type="pct"/>
            <w:tcBorders>
              <w:top w:val="nil"/>
              <w:left w:val="nil"/>
              <w:bottom w:val="single" w:sz="4" w:space="0" w:color="auto"/>
              <w:right w:val="single" w:sz="4" w:space="0" w:color="auto"/>
            </w:tcBorders>
            <w:shd w:val="clear" w:color="auto" w:fill="auto"/>
            <w:vAlign w:val="center"/>
            <w:hideMark/>
          </w:tcPr>
          <w:p w14:paraId="4AC23F5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1906060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17218D8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finančný sektor</w:t>
            </w:r>
          </w:p>
        </w:tc>
        <w:tc>
          <w:tcPr>
            <w:tcW w:w="206" w:type="pct"/>
            <w:tcBorders>
              <w:top w:val="nil"/>
              <w:left w:val="nil"/>
              <w:bottom w:val="single" w:sz="4" w:space="0" w:color="auto"/>
              <w:right w:val="single" w:sz="4" w:space="0" w:color="auto"/>
            </w:tcBorders>
            <w:shd w:val="clear" w:color="auto" w:fill="auto"/>
            <w:vAlign w:val="center"/>
            <w:hideMark/>
          </w:tcPr>
          <w:p w14:paraId="7D3EAE0E"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22 </w:t>
            </w:r>
          </w:p>
        </w:tc>
        <w:tc>
          <w:tcPr>
            <w:tcW w:w="220" w:type="pct"/>
            <w:tcBorders>
              <w:top w:val="nil"/>
              <w:left w:val="nil"/>
              <w:bottom w:val="single" w:sz="4" w:space="0" w:color="auto"/>
              <w:right w:val="single" w:sz="4" w:space="0" w:color="auto"/>
            </w:tcBorders>
            <w:shd w:val="clear" w:color="auto" w:fill="auto"/>
            <w:vAlign w:val="center"/>
            <w:hideMark/>
          </w:tcPr>
          <w:p w14:paraId="68A85CA0"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211</w:t>
            </w:r>
          </w:p>
        </w:tc>
        <w:tc>
          <w:tcPr>
            <w:tcW w:w="249" w:type="pct"/>
            <w:tcBorders>
              <w:top w:val="nil"/>
              <w:left w:val="nil"/>
              <w:bottom w:val="single" w:sz="4" w:space="0" w:color="auto"/>
              <w:right w:val="single" w:sz="4" w:space="0" w:color="auto"/>
            </w:tcBorders>
            <w:shd w:val="clear" w:color="auto" w:fill="auto"/>
            <w:vAlign w:val="center"/>
            <w:hideMark/>
          </w:tcPr>
          <w:p w14:paraId="1DF6449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4 652</w:t>
            </w:r>
          </w:p>
        </w:tc>
        <w:tc>
          <w:tcPr>
            <w:tcW w:w="357" w:type="pct"/>
            <w:tcBorders>
              <w:top w:val="nil"/>
              <w:left w:val="nil"/>
              <w:bottom w:val="single" w:sz="4" w:space="0" w:color="auto"/>
              <w:right w:val="single" w:sz="4" w:space="0" w:color="auto"/>
            </w:tcBorders>
            <w:shd w:val="clear" w:color="auto" w:fill="auto"/>
            <w:vAlign w:val="center"/>
            <w:hideMark/>
          </w:tcPr>
          <w:p w14:paraId="0BB2F063"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proofErr w:type="spellStart"/>
            <w:r w:rsidRPr="004809C5">
              <w:rPr>
                <w:rFonts w:ascii="Times New Roman" w:eastAsia="Times New Roman" w:hAnsi="Times New Roman" w:cs="Times New Roman"/>
                <w:color w:val="000000"/>
                <w:sz w:val="20"/>
                <w:szCs w:val="20"/>
                <w:lang w:eastAsia="sk-SK"/>
              </w:rPr>
              <w:t>Out</w:t>
            </w:r>
            <w:proofErr w:type="spellEnd"/>
            <w:r w:rsidRPr="004809C5">
              <w:rPr>
                <w:rFonts w:ascii="Times New Roman" w:eastAsia="Times New Roman" w:hAnsi="Times New Roman" w:cs="Times New Roman"/>
                <w:color w:val="000000"/>
                <w:sz w:val="20"/>
                <w:szCs w:val="20"/>
                <w:lang w:eastAsia="sk-SK"/>
              </w:rPr>
              <w:t xml:space="preserve"> (znižuje náklady)</w:t>
            </w:r>
          </w:p>
        </w:tc>
        <w:tc>
          <w:tcPr>
            <w:tcW w:w="357" w:type="pct"/>
            <w:tcBorders>
              <w:top w:val="nil"/>
              <w:left w:val="nil"/>
              <w:bottom w:val="single" w:sz="4" w:space="0" w:color="auto"/>
              <w:right w:val="single" w:sz="4" w:space="0" w:color="auto"/>
            </w:tcBorders>
            <w:shd w:val="clear" w:color="auto" w:fill="auto"/>
            <w:vAlign w:val="center"/>
            <w:hideMark/>
          </w:tcPr>
          <w:p w14:paraId="6ABCC607"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4 652</w:t>
            </w:r>
          </w:p>
        </w:tc>
        <w:tc>
          <w:tcPr>
            <w:tcW w:w="267" w:type="pct"/>
            <w:tcBorders>
              <w:top w:val="nil"/>
              <w:left w:val="nil"/>
              <w:bottom w:val="single" w:sz="4" w:space="0" w:color="auto"/>
              <w:right w:val="single" w:sz="4" w:space="0" w:color="auto"/>
            </w:tcBorders>
            <w:shd w:val="clear" w:color="auto" w:fill="auto"/>
            <w:vAlign w:val="center"/>
            <w:hideMark/>
          </w:tcPr>
          <w:p w14:paraId="6705DFF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006F7EC3" w14:textId="77777777" w:rsidTr="004809C5">
        <w:trPr>
          <w:trHeight w:val="26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2AF4C4E0"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3</w:t>
            </w:r>
          </w:p>
        </w:tc>
        <w:tc>
          <w:tcPr>
            <w:tcW w:w="856" w:type="pct"/>
            <w:tcBorders>
              <w:top w:val="nil"/>
              <w:left w:val="nil"/>
              <w:bottom w:val="single" w:sz="4" w:space="0" w:color="auto"/>
              <w:right w:val="single" w:sz="4" w:space="0" w:color="auto"/>
            </w:tcBorders>
            <w:shd w:val="clear" w:color="auto" w:fill="auto"/>
            <w:vAlign w:val="center"/>
            <w:hideMark/>
          </w:tcPr>
          <w:p w14:paraId="0B3180F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zrušenie štatistického zisťovania </w:t>
            </w:r>
            <w:proofErr w:type="spellStart"/>
            <w:r w:rsidRPr="004809C5">
              <w:rPr>
                <w:rFonts w:ascii="Times New Roman" w:eastAsia="Times New Roman" w:hAnsi="Times New Roman" w:cs="Times New Roman"/>
                <w:color w:val="000000"/>
                <w:sz w:val="20"/>
                <w:szCs w:val="20"/>
                <w:lang w:eastAsia="sk-SK"/>
              </w:rPr>
              <w:t>Pin</w:t>
            </w:r>
            <w:proofErr w:type="spellEnd"/>
            <w:r w:rsidRPr="004809C5">
              <w:rPr>
                <w:rFonts w:ascii="Times New Roman" w:eastAsia="Times New Roman" w:hAnsi="Times New Roman" w:cs="Times New Roman"/>
                <w:color w:val="000000"/>
                <w:sz w:val="20"/>
                <w:szCs w:val="20"/>
                <w:lang w:eastAsia="sk-SK"/>
              </w:rPr>
              <w:t xml:space="preserve"> 3-04</w:t>
            </w:r>
          </w:p>
        </w:tc>
        <w:tc>
          <w:tcPr>
            <w:tcW w:w="357" w:type="pct"/>
            <w:tcBorders>
              <w:top w:val="nil"/>
              <w:left w:val="nil"/>
              <w:bottom w:val="single" w:sz="4" w:space="0" w:color="auto"/>
              <w:right w:val="single" w:sz="4" w:space="0" w:color="auto"/>
            </w:tcBorders>
            <w:shd w:val="clear" w:color="auto" w:fill="auto"/>
            <w:vAlign w:val="center"/>
            <w:hideMark/>
          </w:tcPr>
          <w:p w14:paraId="052C86E7"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18400E3B"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Príloha č. 1 bod 61</w:t>
            </w:r>
          </w:p>
        </w:tc>
        <w:tc>
          <w:tcPr>
            <w:tcW w:w="1144" w:type="pct"/>
            <w:tcBorders>
              <w:top w:val="nil"/>
              <w:left w:val="nil"/>
              <w:bottom w:val="single" w:sz="4" w:space="0" w:color="auto"/>
              <w:right w:val="single" w:sz="4" w:space="0" w:color="auto"/>
            </w:tcBorders>
            <w:shd w:val="clear" w:color="auto" w:fill="auto"/>
            <w:vAlign w:val="center"/>
            <w:hideMark/>
          </w:tcPr>
          <w:p w14:paraId="6C6EBDC1"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6F728A8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183928CC"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finančný sektor</w:t>
            </w:r>
          </w:p>
        </w:tc>
        <w:tc>
          <w:tcPr>
            <w:tcW w:w="206" w:type="pct"/>
            <w:tcBorders>
              <w:top w:val="nil"/>
              <w:left w:val="nil"/>
              <w:bottom w:val="single" w:sz="4" w:space="0" w:color="auto"/>
              <w:right w:val="single" w:sz="4" w:space="0" w:color="auto"/>
            </w:tcBorders>
            <w:shd w:val="clear" w:color="auto" w:fill="auto"/>
            <w:vAlign w:val="center"/>
            <w:hideMark/>
          </w:tcPr>
          <w:p w14:paraId="63DEE629"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104 </w:t>
            </w:r>
          </w:p>
        </w:tc>
        <w:tc>
          <w:tcPr>
            <w:tcW w:w="220" w:type="pct"/>
            <w:tcBorders>
              <w:top w:val="nil"/>
              <w:left w:val="nil"/>
              <w:bottom w:val="single" w:sz="4" w:space="0" w:color="auto"/>
              <w:right w:val="single" w:sz="4" w:space="0" w:color="auto"/>
            </w:tcBorders>
            <w:shd w:val="clear" w:color="auto" w:fill="auto"/>
            <w:vAlign w:val="center"/>
            <w:hideMark/>
          </w:tcPr>
          <w:p w14:paraId="79309AB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128</w:t>
            </w:r>
          </w:p>
        </w:tc>
        <w:tc>
          <w:tcPr>
            <w:tcW w:w="249" w:type="pct"/>
            <w:tcBorders>
              <w:top w:val="nil"/>
              <w:left w:val="nil"/>
              <w:bottom w:val="single" w:sz="4" w:space="0" w:color="auto"/>
              <w:right w:val="single" w:sz="4" w:space="0" w:color="auto"/>
            </w:tcBorders>
            <w:shd w:val="clear" w:color="auto" w:fill="auto"/>
            <w:vAlign w:val="center"/>
            <w:hideMark/>
          </w:tcPr>
          <w:p w14:paraId="58AD61C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13 290</w:t>
            </w:r>
          </w:p>
        </w:tc>
        <w:tc>
          <w:tcPr>
            <w:tcW w:w="357" w:type="pct"/>
            <w:tcBorders>
              <w:top w:val="nil"/>
              <w:left w:val="nil"/>
              <w:bottom w:val="single" w:sz="4" w:space="0" w:color="auto"/>
              <w:right w:val="single" w:sz="4" w:space="0" w:color="auto"/>
            </w:tcBorders>
            <w:shd w:val="clear" w:color="auto" w:fill="auto"/>
            <w:vAlign w:val="center"/>
            <w:hideMark/>
          </w:tcPr>
          <w:p w14:paraId="0E8D321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proofErr w:type="spellStart"/>
            <w:r w:rsidRPr="004809C5">
              <w:rPr>
                <w:rFonts w:ascii="Times New Roman" w:eastAsia="Times New Roman" w:hAnsi="Times New Roman" w:cs="Times New Roman"/>
                <w:color w:val="000000"/>
                <w:sz w:val="20"/>
                <w:szCs w:val="20"/>
                <w:lang w:eastAsia="sk-SK"/>
              </w:rPr>
              <w:t>Out</w:t>
            </w:r>
            <w:proofErr w:type="spellEnd"/>
            <w:r w:rsidRPr="004809C5">
              <w:rPr>
                <w:rFonts w:ascii="Times New Roman" w:eastAsia="Times New Roman" w:hAnsi="Times New Roman" w:cs="Times New Roman"/>
                <w:color w:val="000000"/>
                <w:sz w:val="20"/>
                <w:szCs w:val="20"/>
                <w:lang w:eastAsia="sk-SK"/>
              </w:rPr>
              <w:t xml:space="preserve"> (znižuje náklady)</w:t>
            </w:r>
          </w:p>
        </w:tc>
        <w:tc>
          <w:tcPr>
            <w:tcW w:w="357" w:type="pct"/>
            <w:tcBorders>
              <w:top w:val="nil"/>
              <w:left w:val="nil"/>
              <w:bottom w:val="single" w:sz="4" w:space="0" w:color="auto"/>
              <w:right w:val="single" w:sz="4" w:space="0" w:color="auto"/>
            </w:tcBorders>
            <w:shd w:val="clear" w:color="auto" w:fill="auto"/>
            <w:vAlign w:val="center"/>
            <w:hideMark/>
          </w:tcPr>
          <w:p w14:paraId="59C8510F"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13 290</w:t>
            </w:r>
          </w:p>
        </w:tc>
        <w:tc>
          <w:tcPr>
            <w:tcW w:w="267" w:type="pct"/>
            <w:tcBorders>
              <w:top w:val="nil"/>
              <w:left w:val="nil"/>
              <w:bottom w:val="single" w:sz="4" w:space="0" w:color="auto"/>
              <w:right w:val="single" w:sz="4" w:space="0" w:color="auto"/>
            </w:tcBorders>
            <w:shd w:val="clear" w:color="auto" w:fill="auto"/>
            <w:vAlign w:val="center"/>
            <w:hideMark/>
          </w:tcPr>
          <w:p w14:paraId="74DA941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222E7297" w14:textId="77777777" w:rsidTr="004809C5">
        <w:trPr>
          <w:trHeight w:val="26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505EBB0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w:t>
            </w:r>
          </w:p>
        </w:tc>
        <w:tc>
          <w:tcPr>
            <w:tcW w:w="856" w:type="pct"/>
            <w:tcBorders>
              <w:top w:val="nil"/>
              <w:left w:val="nil"/>
              <w:bottom w:val="single" w:sz="4" w:space="0" w:color="auto"/>
              <w:right w:val="single" w:sz="4" w:space="0" w:color="auto"/>
            </w:tcBorders>
            <w:shd w:val="clear" w:color="auto" w:fill="auto"/>
            <w:vAlign w:val="center"/>
            <w:hideMark/>
          </w:tcPr>
          <w:p w14:paraId="5D39101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zaradenie štatistického zisťovania FISE 1-04</w:t>
            </w:r>
          </w:p>
        </w:tc>
        <w:tc>
          <w:tcPr>
            <w:tcW w:w="357" w:type="pct"/>
            <w:tcBorders>
              <w:top w:val="nil"/>
              <w:left w:val="nil"/>
              <w:bottom w:val="single" w:sz="4" w:space="0" w:color="auto"/>
              <w:right w:val="single" w:sz="4" w:space="0" w:color="auto"/>
            </w:tcBorders>
            <w:shd w:val="clear" w:color="auto" w:fill="auto"/>
            <w:vAlign w:val="center"/>
            <w:hideMark/>
          </w:tcPr>
          <w:p w14:paraId="712B6240"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286522EB"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c>
          <w:tcPr>
            <w:tcW w:w="1144" w:type="pct"/>
            <w:tcBorders>
              <w:top w:val="nil"/>
              <w:left w:val="nil"/>
              <w:bottom w:val="single" w:sz="4" w:space="0" w:color="auto"/>
              <w:right w:val="single" w:sz="4" w:space="0" w:color="auto"/>
            </w:tcBorders>
            <w:shd w:val="clear" w:color="auto" w:fill="auto"/>
            <w:vAlign w:val="center"/>
            <w:hideMark/>
          </w:tcPr>
          <w:p w14:paraId="4AF959FA"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5AFDA60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4FD7756B"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finančný sektor</w:t>
            </w:r>
          </w:p>
        </w:tc>
        <w:tc>
          <w:tcPr>
            <w:tcW w:w="206" w:type="pct"/>
            <w:tcBorders>
              <w:top w:val="nil"/>
              <w:left w:val="nil"/>
              <w:bottom w:val="single" w:sz="4" w:space="0" w:color="auto"/>
              <w:right w:val="single" w:sz="4" w:space="0" w:color="auto"/>
            </w:tcBorders>
            <w:shd w:val="clear" w:color="auto" w:fill="auto"/>
            <w:vAlign w:val="center"/>
            <w:hideMark/>
          </w:tcPr>
          <w:p w14:paraId="17C07505"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204 </w:t>
            </w:r>
          </w:p>
        </w:tc>
        <w:tc>
          <w:tcPr>
            <w:tcW w:w="220" w:type="pct"/>
            <w:tcBorders>
              <w:top w:val="nil"/>
              <w:left w:val="nil"/>
              <w:bottom w:val="single" w:sz="4" w:space="0" w:color="auto"/>
              <w:right w:val="single" w:sz="4" w:space="0" w:color="auto"/>
            </w:tcBorders>
            <w:shd w:val="clear" w:color="auto" w:fill="auto"/>
            <w:vAlign w:val="center"/>
            <w:hideMark/>
          </w:tcPr>
          <w:p w14:paraId="4D5610EA"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70</w:t>
            </w:r>
          </w:p>
        </w:tc>
        <w:tc>
          <w:tcPr>
            <w:tcW w:w="249" w:type="pct"/>
            <w:tcBorders>
              <w:top w:val="nil"/>
              <w:left w:val="nil"/>
              <w:bottom w:val="single" w:sz="4" w:space="0" w:color="auto"/>
              <w:right w:val="single" w:sz="4" w:space="0" w:color="auto"/>
            </w:tcBorders>
            <w:shd w:val="clear" w:color="auto" w:fill="auto"/>
            <w:vAlign w:val="center"/>
            <w:hideMark/>
          </w:tcPr>
          <w:p w14:paraId="79D3C183"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14 254</w:t>
            </w:r>
          </w:p>
        </w:tc>
        <w:tc>
          <w:tcPr>
            <w:tcW w:w="357" w:type="pct"/>
            <w:tcBorders>
              <w:top w:val="nil"/>
              <w:left w:val="nil"/>
              <w:bottom w:val="single" w:sz="4" w:space="0" w:color="auto"/>
              <w:right w:val="single" w:sz="4" w:space="0" w:color="auto"/>
            </w:tcBorders>
            <w:shd w:val="clear" w:color="auto" w:fill="auto"/>
            <w:vAlign w:val="center"/>
            <w:hideMark/>
          </w:tcPr>
          <w:p w14:paraId="4BB3BCF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49664699"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14 254</w:t>
            </w:r>
          </w:p>
        </w:tc>
        <w:tc>
          <w:tcPr>
            <w:tcW w:w="267" w:type="pct"/>
            <w:tcBorders>
              <w:top w:val="nil"/>
              <w:left w:val="nil"/>
              <w:bottom w:val="single" w:sz="4" w:space="0" w:color="auto"/>
              <w:right w:val="single" w:sz="4" w:space="0" w:color="auto"/>
            </w:tcBorders>
            <w:shd w:val="clear" w:color="auto" w:fill="auto"/>
            <w:vAlign w:val="center"/>
            <w:hideMark/>
          </w:tcPr>
          <w:p w14:paraId="73AF2BC1"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3DE16FBE" w14:textId="77777777" w:rsidTr="004809C5">
        <w:trPr>
          <w:trHeight w:val="1820"/>
        </w:trPr>
        <w:tc>
          <w:tcPr>
            <w:tcW w:w="1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EEDED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lastRenderedPageBreak/>
              <w:t>5</w:t>
            </w:r>
          </w:p>
        </w:tc>
        <w:tc>
          <w:tcPr>
            <w:tcW w:w="8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81C6C"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zaradenie zisťovanie EV OB 1-12</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97432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8534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c>
          <w:tcPr>
            <w:tcW w:w="1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9F033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C0317"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1F719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podnikateľské subjekty v oblasti maloobchodu a obchodu s motorovými vozidlami</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552E01"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530 </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2C423"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28</w:t>
            </w:r>
          </w:p>
        </w:tc>
        <w:tc>
          <w:tcPr>
            <w:tcW w:w="2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B628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14 618</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EEF5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In (zvyšuje náklady)</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1B054"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14 618</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675C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0C04517A" w14:textId="77777777" w:rsidTr="004809C5">
        <w:trPr>
          <w:trHeight w:val="78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0C88B00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6</w:t>
            </w:r>
          </w:p>
        </w:tc>
        <w:tc>
          <w:tcPr>
            <w:tcW w:w="856" w:type="pct"/>
            <w:tcBorders>
              <w:top w:val="single" w:sz="4" w:space="0" w:color="auto"/>
              <w:left w:val="nil"/>
              <w:bottom w:val="single" w:sz="4" w:space="0" w:color="auto"/>
              <w:right w:val="single" w:sz="4" w:space="0" w:color="auto"/>
            </w:tcBorders>
            <w:shd w:val="clear" w:color="auto" w:fill="auto"/>
            <w:vAlign w:val="center"/>
            <w:hideMark/>
          </w:tcPr>
          <w:p w14:paraId="72D6CF5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zaradenie  zisťovania EV PRIEM 1-12</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35DE318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281EBC9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c>
          <w:tcPr>
            <w:tcW w:w="1144" w:type="pct"/>
            <w:tcBorders>
              <w:top w:val="single" w:sz="4" w:space="0" w:color="auto"/>
              <w:left w:val="nil"/>
              <w:bottom w:val="single" w:sz="4" w:space="0" w:color="auto"/>
              <w:right w:val="single" w:sz="4" w:space="0" w:color="auto"/>
            </w:tcBorders>
            <w:shd w:val="clear" w:color="auto" w:fill="auto"/>
            <w:vAlign w:val="center"/>
            <w:hideMark/>
          </w:tcPr>
          <w:p w14:paraId="3E34ED2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single" w:sz="4" w:space="0" w:color="auto"/>
              <w:left w:val="nil"/>
              <w:bottom w:val="single" w:sz="4" w:space="0" w:color="auto"/>
              <w:right w:val="single" w:sz="4" w:space="0" w:color="auto"/>
            </w:tcBorders>
            <w:shd w:val="clear" w:color="auto" w:fill="auto"/>
            <w:vAlign w:val="center"/>
            <w:hideMark/>
          </w:tcPr>
          <w:p w14:paraId="0F7BC3C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single" w:sz="4" w:space="0" w:color="auto"/>
              <w:left w:val="nil"/>
              <w:bottom w:val="single" w:sz="4" w:space="0" w:color="auto"/>
              <w:right w:val="single" w:sz="4" w:space="0" w:color="auto"/>
            </w:tcBorders>
            <w:shd w:val="clear" w:color="auto" w:fill="auto"/>
            <w:vAlign w:val="center"/>
            <w:hideMark/>
          </w:tcPr>
          <w:p w14:paraId="1A12300A"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subjekty priemyselnej výroby</w:t>
            </w:r>
          </w:p>
        </w:tc>
        <w:tc>
          <w:tcPr>
            <w:tcW w:w="206" w:type="pct"/>
            <w:tcBorders>
              <w:top w:val="single" w:sz="4" w:space="0" w:color="auto"/>
              <w:left w:val="nil"/>
              <w:bottom w:val="single" w:sz="4" w:space="0" w:color="auto"/>
              <w:right w:val="single" w:sz="4" w:space="0" w:color="auto"/>
            </w:tcBorders>
            <w:shd w:val="clear" w:color="auto" w:fill="auto"/>
            <w:vAlign w:val="center"/>
            <w:hideMark/>
          </w:tcPr>
          <w:p w14:paraId="46C9B072"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1 000 </w:t>
            </w:r>
          </w:p>
        </w:tc>
        <w:tc>
          <w:tcPr>
            <w:tcW w:w="220" w:type="pct"/>
            <w:tcBorders>
              <w:top w:val="single" w:sz="4" w:space="0" w:color="auto"/>
              <w:left w:val="nil"/>
              <w:bottom w:val="single" w:sz="4" w:space="0" w:color="auto"/>
              <w:right w:val="single" w:sz="4" w:space="0" w:color="auto"/>
            </w:tcBorders>
            <w:shd w:val="clear" w:color="auto" w:fill="auto"/>
            <w:vAlign w:val="center"/>
            <w:hideMark/>
          </w:tcPr>
          <w:p w14:paraId="4282E3D3"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28</w:t>
            </w:r>
          </w:p>
        </w:tc>
        <w:tc>
          <w:tcPr>
            <w:tcW w:w="249" w:type="pct"/>
            <w:tcBorders>
              <w:top w:val="single" w:sz="4" w:space="0" w:color="auto"/>
              <w:left w:val="nil"/>
              <w:bottom w:val="single" w:sz="4" w:space="0" w:color="auto"/>
              <w:right w:val="single" w:sz="4" w:space="0" w:color="auto"/>
            </w:tcBorders>
            <w:shd w:val="clear" w:color="auto" w:fill="auto"/>
            <w:vAlign w:val="center"/>
            <w:hideMark/>
          </w:tcPr>
          <w:p w14:paraId="326AEA6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27 581</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4AAF0F3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In (zvyšuje náklady)</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38E87C3D"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27 581</w:t>
            </w:r>
          </w:p>
        </w:tc>
        <w:tc>
          <w:tcPr>
            <w:tcW w:w="267" w:type="pct"/>
            <w:tcBorders>
              <w:top w:val="single" w:sz="4" w:space="0" w:color="auto"/>
              <w:left w:val="nil"/>
              <w:bottom w:val="single" w:sz="4" w:space="0" w:color="auto"/>
              <w:right w:val="single" w:sz="4" w:space="0" w:color="auto"/>
            </w:tcBorders>
            <w:shd w:val="clear" w:color="auto" w:fill="auto"/>
            <w:vAlign w:val="center"/>
            <w:hideMark/>
          </w:tcPr>
          <w:p w14:paraId="49F30B4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78B67A3B" w14:textId="77777777" w:rsidTr="004809C5">
        <w:trPr>
          <w:trHeight w:val="52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1CB66F05"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7</w:t>
            </w:r>
          </w:p>
        </w:tc>
        <w:tc>
          <w:tcPr>
            <w:tcW w:w="856" w:type="pct"/>
            <w:tcBorders>
              <w:top w:val="nil"/>
              <w:left w:val="nil"/>
              <w:bottom w:val="single" w:sz="4" w:space="0" w:color="auto"/>
              <w:right w:val="single" w:sz="4" w:space="0" w:color="auto"/>
            </w:tcBorders>
            <w:shd w:val="clear" w:color="auto" w:fill="auto"/>
            <w:vAlign w:val="center"/>
            <w:hideMark/>
          </w:tcPr>
          <w:p w14:paraId="1DCDC10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zaradenie zisťovania EV STAV 1-12</w:t>
            </w:r>
          </w:p>
        </w:tc>
        <w:tc>
          <w:tcPr>
            <w:tcW w:w="357" w:type="pct"/>
            <w:tcBorders>
              <w:top w:val="nil"/>
              <w:left w:val="nil"/>
              <w:bottom w:val="single" w:sz="4" w:space="0" w:color="auto"/>
              <w:right w:val="single" w:sz="4" w:space="0" w:color="auto"/>
            </w:tcBorders>
            <w:shd w:val="clear" w:color="auto" w:fill="auto"/>
            <w:vAlign w:val="center"/>
            <w:hideMark/>
          </w:tcPr>
          <w:p w14:paraId="7973C5F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697EA86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c>
          <w:tcPr>
            <w:tcW w:w="1144" w:type="pct"/>
            <w:tcBorders>
              <w:top w:val="nil"/>
              <w:left w:val="nil"/>
              <w:bottom w:val="single" w:sz="4" w:space="0" w:color="auto"/>
              <w:right w:val="single" w:sz="4" w:space="0" w:color="auto"/>
            </w:tcBorders>
            <w:shd w:val="clear" w:color="auto" w:fill="auto"/>
            <w:vAlign w:val="center"/>
            <w:hideMark/>
          </w:tcPr>
          <w:p w14:paraId="3B0FC4F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67035AF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06C5BAE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subjekty stavebníctva</w:t>
            </w:r>
          </w:p>
        </w:tc>
        <w:tc>
          <w:tcPr>
            <w:tcW w:w="206" w:type="pct"/>
            <w:tcBorders>
              <w:top w:val="nil"/>
              <w:left w:val="nil"/>
              <w:bottom w:val="single" w:sz="4" w:space="0" w:color="auto"/>
              <w:right w:val="single" w:sz="4" w:space="0" w:color="auto"/>
            </w:tcBorders>
            <w:shd w:val="clear" w:color="auto" w:fill="auto"/>
            <w:vAlign w:val="center"/>
            <w:hideMark/>
          </w:tcPr>
          <w:p w14:paraId="6A9F1AF5"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520 </w:t>
            </w:r>
          </w:p>
        </w:tc>
        <w:tc>
          <w:tcPr>
            <w:tcW w:w="220" w:type="pct"/>
            <w:tcBorders>
              <w:top w:val="nil"/>
              <w:left w:val="nil"/>
              <w:bottom w:val="single" w:sz="4" w:space="0" w:color="auto"/>
              <w:right w:val="single" w:sz="4" w:space="0" w:color="auto"/>
            </w:tcBorders>
            <w:shd w:val="clear" w:color="auto" w:fill="auto"/>
            <w:vAlign w:val="center"/>
            <w:hideMark/>
          </w:tcPr>
          <w:p w14:paraId="74DA254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27,5805</w:t>
            </w:r>
          </w:p>
        </w:tc>
        <w:tc>
          <w:tcPr>
            <w:tcW w:w="249" w:type="pct"/>
            <w:tcBorders>
              <w:top w:val="nil"/>
              <w:left w:val="nil"/>
              <w:bottom w:val="single" w:sz="4" w:space="0" w:color="auto"/>
              <w:right w:val="single" w:sz="4" w:space="0" w:color="auto"/>
            </w:tcBorders>
            <w:shd w:val="clear" w:color="auto" w:fill="auto"/>
            <w:vAlign w:val="center"/>
            <w:hideMark/>
          </w:tcPr>
          <w:p w14:paraId="6FD62EA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14341,86</w:t>
            </w:r>
          </w:p>
        </w:tc>
        <w:tc>
          <w:tcPr>
            <w:tcW w:w="357" w:type="pct"/>
            <w:tcBorders>
              <w:top w:val="nil"/>
              <w:left w:val="nil"/>
              <w:bottom w:val="single" w:sz="4" w:space="0" w:color="auto"/>
              <w:right w:val="single" w:sz="4" w:space="0" w:color="auto"/>
            </w:tcBorders>
            <w:shd w:val="clear" w:color="auto" w:fill="auto"/>
            <w:vAlign w:val="center"/>
            <w:hideMark/>
          </w:tcPr>
          <w:p w14:paraId="06C8865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55D5E6E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14341,86</w:t>
            </w:r>
          </w:p>
        </w:tc>
        <w:tc>
          <w:tcPr>
            <w:tcW w:w="267" w:type="pct"/>
            <w:tcBorders>
              <w:top w:val="nil"/>
              <w:left w:val="nil"/>
              <w:bottom w:val="single" w:sz="4" w:space="0" w:color="auto"/>
              <w:right w:val="single" w:sz="4" w:space="0" w:color="auto"/>
            </w:tcBorders>
            <w:shd w:val="clear" w:color="auto" w:fill="auto"/>
            <w:vAlign w:val="center"/>
            <w:hideMark/>
          </w:tcPr>
          <w:p w14:paraId="0A083A6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3313351A" w14:textId="77777777" w:rsidTr="004809C5">
        <w:trPr>
          <w:trHeight w:val="780"/>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0B7C1555"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8</w:t>
            </w:r>
          </w:p>
        </w:tc>
        <w:tc>
          <w:tcPr>
            <w:tcW w:w="856" w:type="pct"/>
            <w:tcBorders>
              <w:top w:val="nil"/>
              <w:left w:val="nil"/>
              <w:bottom w:val="single" w:sz="4" w:space="0" w:color="auto"/>
              <w:right w:val="single" w:sz="4" w:space="0" w:color="auto"/>
            </w:tcBorders>
            <w:shd w:val="clear" w:color="auto" w:fill="auto"/>
            <w:vAlign w:val="center"/>
            <w:hideMark/>
          </w:tcPr>
          <w:p w14:paraId="324B26E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zaradenie zisťovania EV VTS 1-12</w:t>
            </w:r>
          </w:p>
        </w:tc>
        <w:tc>
          <w:tcPr>
            <w:tcW w:w="357" w:type="pct"/>
            <w:tcBorders>
              <w:top w:val="nil"/>
              <w:left w:val="nil"/>
              <w:bottom w:val="single" w:sz="4" w:space="0" w:color="auto"/>
              <w:right w:val="single" w:sz="4" w:space="0" w:color="auto"/>
            </w:tcBorders>
            <w:shd w:val="clear" w:color="auto" w:fill="auto"/>
            <w:vAlign w:val="center"/>
            <w:hideMark/>
          </w:tcPr>
          <w:p w14:paraId="08217C7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07B17CD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c>
          <w:tcPr>
            <w:tcW w:w="1144" w:type="pct"/>
            <w:tcBorders>
              <w:top w:val="nil"/>
              <w:left w:val="nil"/>
              <w:bottom w:val="single" w:sz="4" w:space="0" w:color="auto"/>
              <w:right w:val="single" w:sz="4" w:space="0" w:color="auto"/>
            </w:tcBorders>
            <w:shd w:val="clear" w:color="auto" w:fill="auto"/>
            <w:vAlign w:val="center"/>
            <w:hideMark/>
          </w:tcPr>
          <w:p w14:paraId="3F0EE4C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396B6143"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677F1F4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podnikateľské subjekty v sektore služieb</w:t>
            </w:r>
          </w:p>
        </w:tc>
        <w:tc>
          <w:tcPr>
            <w:tcW w:w="206" w:type="pct"/>
            <w:tcBorders>
              <w:top w:val="nil"/>
              <w:left w:val="nil"/>
              <w:bottom w:val="single" w:sz="4" w:space="0" w:color="auto"/>
              <w:right w:val="single" w:sz="4" w:space="0" w:color="auto"/>
            </w:tcBorders>
            <w:shd w:val="clear" w:color="auto" w:fill="auto"/>
            <w:vAlign w:val="center"/>
            <w:hideMark/>
          </w:tcPr>
          <w:p w14:paraId="12E0D69E"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1 000 </w:t>
            </w:r>
          </w:p>
        </w:tc>
        <w:tc>
          <w:tcPr>
            <w:tcW w:w="220" w:type="pct"/>
            <w:tcBorders>
              <w:top w:val="nil"/>
              <w:left w:val="nil"/>
              <w:bottom w:val="single" w:sz="4" w:space="0" w:color="auto"/>
              <w:right w:val="single" w:sz="4" w:space="0" w:color="auto"/>
            </w:tcBorders>
            <w:shd w:val="clear" w:color="auto" w:fill="auto"/>
            <w:vAlign w:val="center"/>
            <w:hideMark/>
          </w:tcPr>
          <w:p w14:paraId="569638B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28</w:t>
            </w:r>
          </w:p>
        </w:tc>
        <w:tc>
          <w:tcPr>
            <w:tcW w:w="249" w:type="pct"/>
            <w:tcBorders>
              <w:top w:val="nil"/>
              <w:left w:val="nil"/>
              <w:bottom w:val="single" w:sz="4" w:space="0" w:color="auto"/>
              <w:right w:val="single" w:sz="4" w:space="0" w:color="auto"/>
            </w:tcBorders>
            <w:shd w:val="clear" w:color="auto" w:fill="auto"/>
            <w:vAlign w:val="center"/>
            <w:hideMark/>
          </w:tcPr>
          <w:p w14:paraId="5C0AFC6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27 581</w:t>
            </w:r>
          </w:p>
        </w:tc>
        <w:tc>
          <w:tcPr>
            <w:tcW w:w="357" w:type="pct"/>
            <w:tcBorders>
              <w:top w:val="nil"/>
              <w:left w:val="nil"/>
              <w:bottom w:val="single" w:sz="4" w:space="0" w:color="auto"/>
              <w:right w:val="single" w:sz="4" w:space="0" w:color="auto"/>
            </w:tcBorders>
            <w:shd w:val="clear" w:color="auto" w:fill="auto"/>
            <w:vAlign w:val="center"/>
            <w:hideMark/>
          </w:tcPr>
          <w:p w14:paraId="2C82DF07"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In (zvyšuje náklady)</w:t>
            </w:r>
          </w:p>
        </w:tc>
        <w:tc>
          <w:tcPr>
            <w:tcW w:w="357" w:type="pct"/>
            <w:tcBorders>
              <w:top w:val="nil"/>
              <w:left w:val="nil"/>
              <w:bottom w:val="single" w:sz="4" w:space="0" w:color="auto"/>
              <w:right w:val="single" w:sz="4" w:space="0" w:color="auto"/>
            </w:tcBorders>
            <w:shd w:val="clear" w:color="auto" w:fill="auto"/>
            <w:vAlign w:val="center"/>
            <w:hideMark/>
          </w:tcPr>
          <w:p w14:paraId="33B2EBEE"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27 581</w:t>
            </w:r>
          </w:p>
        </w:tc>
        <w:tc>
          <w:tcPr>
            <w:tcW w:w="267" w:type="pct"/>
            <w:tcBorders>
              <w:top w:val="nil"/>
              <w:left w:val="nil"/>
              <w:bottom w:val="single" w:sz="4" w:space="0" w:color="auto"/>
              <w:right w:val="single" w:sz="4" w:space="0" w:color="auto"/>
            </w:tcBorders>
            <w:shd w:val="clear" w:color="auto" w:fill="auto"/>
            <w:vAlign w:val="center"/>
            <w:hideMark/>
          </w:tcPr>
          <w:p w14:paraId="7211E1E0"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3CF80184" w14:textId="77777777" w:rsidTr="004809C5">
        <w:trPr>
          <w:trHeight w:val="528"/>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02E9017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9</w:t>
            </w:r>
          </w:p>
        </w:tc>
        <w:tc>
          <w:tcPr>
            <w:tcW w:w="856" w:type="pct"/>
            <w:tcBorders>
              <w:top w:val="nil"/>
              <w:left w:val="nil"/>
              <w:bottom w:val="single" w:sz="4" w:space="0" w:color="auto"/>
              <w:right w:val="single" w:sz="4" w:space="0" w:color="auto"/>
            </w:tcBorders>
            <w:shd w:val="clear" w:color="auto" w:fill="auto"/>
            <w:vAlign w:val="center"/>
            <w:hideMark/>
          </w:tcPr>
          <w:p w14:paraId="3FEAC01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zmenou periodicity FCMIZ (MPRV SR) 1-12 sa vypúšťa osem podaní</w:t>
            </w:r>
          </w:p>
        </w:tc>
        <w:tc>
          <w:tcPr>
            <w:tcW w:w="357" w:type="pct"/>
            <w:tcBorders>
              <w:top w:val="nil"/>
              <w:left w:val="nil"/>
              <w:bottom w:val="single" w:sz="4" w:space="0" w:color="auto"/>
              <w:right w:val="single" w:sz="4" w:space="0" w:color="auto"/>
            </w:tcBorders>
            <w:shd w:val="clear" w:color="auto" w:fill="auto"/>
            <w:vAlign w:val="center"/>
            <w:hideMark/>
          </w:tcPr>
          <w:p w14:paraId="2BD94972"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49E35F4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Príloha č. 2 bod 67</w:t>
            </w:r>
          </w:p>
        </w:tc>
        <w:tc>
          <w:tcPr>
            <w:tcW w:w="1144" w:type="pct"/>
            <w:tcBorders>
              <w:top w:val="nil"/>
              <w:left w:val="nil"/>
              <w:bottom w:val="single" w:sz="4" w:space="0" w:color="auto"/>
              <w:right w:val="single" w:sz="4" w:space="0" w:color="auto"/>
            </w:tcBorders>
            <w:shd w:val="clear" w:color="auto" w:fill="auto"/>
            <w:vAlign w:val="center"/>
            <w:hideMark/>
          </w:tcPr>
          <w:p w14:paraId="32CAD77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2AB9FF8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3C8C9018"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výrobcovia </w:t>
            </w:r>
            <w:proofErr w:type="spellStart"/>
            <w:r w:rsidRPr="004809C5">
              <w:rPr>
                <w:rFonts w:ascii="Times New Roman" w:eastAsia="Times New Roman" w:hAnsi="Times New Roman" w:cs="Times New Roman"/>
                <w:color w:val="000000"/>
                <w:sz w:val="20"/>
                <w:szCs w:val="20"/>
                <w:lang w:eastAsia="sk-SK"/>
              </w:rPr>
              <w:t>škobu</w:t>
            </w:r>
            <w:proofErr w:type="spellEnd"/>
            <w:r w:rsidRPr="004809C5">
              <w:rPr>
                <w:rFonts w:ascii="Times New Roman" w:eastAsia="Times New Roman" w:hAnsi="Times New Roman" w:cs="Times New Roman"/>
                <w:color w:val="000000"/>
                <w:sz w:val="20"/>
                <w:szCs w:val="20"/>
                <w:lang w:eastAsia="sk-SK"/>
              </w:rPr>
              <w:t>, škrobových výrobkov a cukru</w:t>
            </w:r>
          </w:p>
        </w:tc>
        <w:tc>
          <w:tcPr>
            <w:tcW w:w="206" w:type="pct"/>
            <w:tcBorders>
              <w:top w:val="nil"/>
              <w:left w:val="nil"/>
              <w:bottom w:val="single" w:sz="4" w:space="0" w:color="auto"/>
              <w:right w:val="single" w:sz="4" w:space="0" w:color="auto"/>
            </w:tcBorders>
            <w:shd w:val="clear" w:color="auto" w:fill="auto"/>
            <w:vAlign w:val="center"/>
            <w:hideMark/>
          </w:tcPr>
          <w:p w14:paraId="7780CF71"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3 </w:t>
            </w:r>
          </w:p>
        </w:tc>
        <w:tc>
          <w:tcPr>
            <w:tcW w:w="220" w:type="pct"/>
            <w:tcBorders>
              <w:top w:val="nil"/>
              <w:left w:val="nil"/>
              <w:bottom w:val="single" w:sz="4" w:space="0" w:color="auto"/>
              <w:right w:val="single" w:sz="4" w:space="0" w:color="auto"/>
            </w:tcBorders>
            <w:shd w:val="clear" w:color="auto" w:fill="auto"/>
            <w:vAlign w:val="center"/>
            <w:hideMark/>
          </w:tcPr>
          <w:p w14:paraId="23A32361"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83</w:t>
            </w:r>
          </w:p>
        </w:tc>
        <w:tc>
          <w:tcPr>
            <w:tcW w:w="249" w:type="pct"/>
            <w:tcBorders>
              <w:top w:val="nil"/>
              <w:left w:val="nil"/>
              <w:bottom w:val="single" w:sz="4" w:space="0" w:color="auto"/>
              <w:right w:val="single" w:sz="4" w:space="0" w:color="auto"/>
            </w:tcBorders>
            <w:shd w:val="clear" w:color="auto" w:fill="auto"/>
            <w:vAlign w:val="center"/>
            <w:hideMark/>
          </w:tcPr>
          <w:p w14:paraId="4491077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248</w:t>
            </w:r>
          </w:p>
        </w:tc>
        <w:tc>
          <w:tcPr>
            <w:tcW w:w="357" w:type="pct"/>
            <w:tcBorders>
              <w:top w:val="nil"/>
              <w:left w:val="nil"/>
              <w:bottom w:val="single" w:sz="4" w:space="0" w:color="auto"/>
              <w:right w:val="single" w:sz="4" w:space="0" w:color="auto"/>
            </w:tcBorders>
            <w:shd w:val="clear" w:color="auto" w:fill="auto"/>
            <w:vAlign w:val="center"/>
            <w:hideMark/>
          </w:tcPr>
          <w:p w14:paraId="0AD9630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proofErr w:type="spellStart"/>
            <w:r w:rsidRPr="004809C5">
              <w:rPr>
                <w:rFonts w:ascii="Times New Roman" w:eastAsia="Times New Roman" w:hAnsi="Times New Roman" w:cs="Times New Roman"/>
                <w:color w:val="000000"/>
                <w:sz w:val="20"/>
                <w:szCs w:val="20"/>
                <w:lang w:eastAsia="sk-SK"/>
              </w:rPr>
              <w:t>Out</w:t>
            </w:r>
            <w:proofErr w:type="spellEnd"/>
            <w:r w:rsidRPr="004809C5">
              <w:rPr>
                <w:rFonts w:ascii="Times New Roman" w:eastAsia="Times New Roman" w:hAnsi="Times New Roman" w:cs="Times New Roman"/>
                <w:color w:val="000000"/>
                <w:sz w:val="20"/>
                <w:szCs w:val="20"/>
                <w:lang w:eastAsia="sk-SK"/>
              </w:rPr>
              <w:t xml:space="preserve"> (znižuje náklady)</w:t>
            </w:r>
          </w:p>
        </w:tc>
        <w:tc>
          <w:tcPr>
            <w:tcW w:w="357" w:type="pct"/>
            <w:tcBorders>
              <w:top w:val="nil"/>
              <w:left w:val="nil"/>
              <w:bottom w:val="single" w:sz="4" w:space="0" w:color="auto"/>
              <w:right w:val="single" w:sz="4" w:space="0" w:color="auto"/>
            </w:tcBorders>
            <w:shd w:val="clear" w:color="auto" w:fill="auto"/>
            <w:vAlign w:val="center"/>
            <w:hideMark/>
          </w:tcPr>
          <w:p w14:paraId="50B835B1"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248</w:t>
            </w:r>
          </w:p>
        </w:tc>
        <w:tc>
          <w:tcPr>
            <w:tcW w:w="267" w:type="pct"/>
            <w:tcBorders>
              <w:top w:val="nil"/>
              <w:left w:val="nil"/>
              <w:bottom w:val="single" w:sz="4" w:space="0" w:color="auto"/>
              <w:right w:val="single" w:sz="4" w:space="0" w:color="auto"/>
            </w:tcBorders>
            <w:shd w:val="clear" w:color="auto" w:fill="auto"/>
            <w:vAlign w:val="center"/>
            <w:hideMark/>
          </w:tcPr>
          <w:p w14:paraId="45F0ABB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r w:rsidR="004809C5" w:rsidRPr="004809C5" w14:paraId="3A10F928" w14:textId="77777777" w:rsidTr="004809C5">
        <w:trPr>
          <w:trHeight w:val="455"/>
        </w:trPr>
        <w:tc>
          <w:tcPr>
            <w:tcW w:w="170" w:type="pct"/>
            <w:tcBorders>
              <w:top w:val="nil"/>
              <w:left w:val="single" w:sz="4" w:space="0" w:color="auto"/>
              <w:bottom w:val="single" w:sz="4" w:space="0" w:color="auto"/>
              <w:right w:val="single" w:sz="4" w:space="0" w:color="auto"/>
            </w:tcBorders>
            <w:shd w:val="clear" w:color="auto" w:fill="auto"/>
            <w:vAlign w:val="center"/>
            <w:hideMark/>
          </w:tcPr>
          <w:p w14:paraId="115EF8BA"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10</w:t>
            </w:r>
          </w:p>
        </w:tc>
        <w:tc>
          <w:tcPr>
            <w:tcW w:w="856" w:type="pct"/>
            <w:tcBorders>
              <w:top w:val="nil"/>
              <w:left w:val="nil"/>
              <w:bottom w:val="single" w:sz="4" w:space="0" w:color="auto"/>
              <w:right w:val="single" w:sz="4" w:space="0" w:color="auto"/>
            </w:tcBorders>
            <w:shd w:val="clear" w:color="auto" w:fill="auto"/>
            <w:vAlign w:val="center"/>
            <w:hideMark/>
          </w:tcPr>
          <w:p w14:paraId="0378ADE6"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zrušenie štatistického zisťovania A (MZ SR) 19-01</w:t>
            </w:r>
          </w:p>
        </w:tc>
        <w:tc>
          <w:tcPr>
            <w:tcW w:w="357" w:type="pct"/>
            <w:tcBorders>
              <w:top w:val="nil"/>
              <w:left w:val="nil"/>
              <w:bottom w:val="single" w:sz="4" w:space="0" w:color="auto"/>
              <w:right w:val="single" w:sz="4" w:space="0" w:color="auto"/>
            </w:tcBorders>
            <w:shd w:val="clear" w:color="auto" w:fill="auto"/>
            <w:vAlign w:val="center"/>
            <w:hideMark/>
          </w:tcPr>
          <w:p w14:paraId="47B3F81E"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425/2023</w:t>
            </w:r>
          </w:p>
        </w:tc>
        <w:tc>
          <w:tcPr>
            <w:tcW w:w="357" w:type="pct"/>
            <w:tcBorders>
              <w:top w:val="nil"/>
              <w:left w:val="nil"/>
              <w:bottom w:val="single" w:sz="4" w:space="0" w:color="auto"/>
              <w:right w:val="single" w:sz="4" w:space="0" w:color="auto"/>
            </w:tcBorders>
            <w:shd w:val="clear" w:color="auto" w:fill="auto"/>
            <w:vAlign w:val="center"/>
            <w:hideMark/>
          </w:tcPr>
          <w:p w14:paraId="5E426D24"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Príloha č. 2 bod 20</w:t>
            </w:r>
          </w:p>
        </w:tc>
        <w:tc>
          <w:tcPr>
            <w:tcW w:w="1144" w:type="pct"/>
            <w:tcBorders>
              <w:top w:val="nil"/>
              <w:left w:val="nil"/>
              <w:bottom w:val="single" w:sz="4" w:space="0" w:color="auto"/>
              <w:right w:val="single" w:sz="4" w:space="0" w:color="auto"/>
            </w:tcBorders>
            <w:shd w:val="clear" w:color="auto" w:fill="auto"/>
            <w:vAlign w:val="center"/>
            <w:hideMark/>
          </w:tcPr>
          <w:p w14:paraId="3561DA8A"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1.SK</w:t>
            </w:r>
          </w:p>
        </w:tc>
        <w:tc>
          <w:tcPr>
            <w:tcW w:w="191" w:type="pct"/>
            <w:tcBorders>
              <w:top w:val="nil"/>
              <w:left w:val="nil"/>
              <w:bottom w:val="single" w:sz="4" w:space="0" w:color="auto"/>
              <w:right w:val="single" w:sz="4" w:space="0" w:color="auto"/>
            </w:tcBorders>
            <w:shd w:val="clear" w:color="auto" w:fill="auto"/>
            <w:vAlign w:val="center"/>
            <w:hideMark/>
          </w:tcPr>
          <w:p w14:paraId="0609BF85"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01.01.26</w:t>
            </w:r>
          </w:p>
        </w:tc>
        <w:tc>
          <w:tcPr>
            <w:tcW w:w="267" w:type="pct"/>
            <w:tcBorders>
              <w:top w:val="nil"/>
              <w:left w:val="nil"/>
              <w:bottom w:val="single" w:sz="4" w:space="0" w:color="auto"/>
              <w:right w:val="single" w:sz="4" w:space="0" w:color="auto"/>
            </w:tcBorders>
            <w:shd w:val="clear" w:color="auto" w:fill="auto"/>
            <w:vAlign w:val="center"/>
            <w:hideMark/>
          </w:tcPr>
          <w:p w14:paraId="3F050D8F"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poskytovatelia zdravotnej starostlivosti a Operačné stredisko záchrannej zdravotnej služby</w:t>
            </w:r>
          </w:p>
        </w:tc>
        <w:tc>
          <w:tcPr>
            <w:tcW w:w="206" w:type="pct"/>
            <w:tcBorders>
              <w:top w:val="nil"/>
              <w:left w:val="nil"/>
              <w:bottom w:val="single" w:sz="4" w:space="0" w:color="auto"/>
              <w:right w:val="single" w:sz="4" w:space="0" w:color="auto"/>
            </w:tcBorders>
            <w:shd w:val="clear" w:color="auto" w:fill="auto"/>
            <w:vAlign w:val="center"/>
            <w:hideMark/>
          </w:tcPr>
          <w:p w14:paraId="3FE6024A" w14:textId="77777777" w:rsidR="004809C5" w:rsidRPr="004809C5" w:rsidRDefault="004809C5" w:rsidP="004809C5">
            <w:pPr>
              <w:spacing w:after="0" w:line="240" w:lineRule="auto"/>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 xml:space="preserve">              404 </w:t>
            </w:r>
          </w:p>
        </w:tc>
        <w:tc>
          <w:tcPr>
            <w:tcW w:w="220" w:type="pct"/>
            <w:tcBorders>
              <w:top w:val="nil"/>
              <w:left w:val="nil"/>
              <w:bottom w:val="single" w:sz="4" w:space="0" w:color="auto"/>
              <w:right w:val="single" w:sz="4" w:space="0" w:color="auto"/>
            </w:tcBorders>
            <w:shd w:val="clear" w:color="auto" w:fill="auto"/>
            <w:vAlign w:val="center"/>
            <w:hideMark/>
          </w:tcPr>
          <w:p w14:paraId="75F29477"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9</w:t>
            </w:r>
          </w:p>
        </w:tc>
        <w:tc>
          <w:tcPr>
            <w:tcW w:w="249" w:type="pct"/>
            <w:tcBorders>
              <w:top w:val="nil"/>
              <w:left w:val="nil"/>
              <w:bottom w:val="single" w:sz="4" w:space="0" w:color="auto"/>
              <w:right w:val="single" w:sz="4" w:space="0" w:color="auto"/>
            </w:tcBorders>
            <w:shd w:val="clear" w:color="auto" w:fill="auto"/>
            <w:vAlign w:val="center"/>
            <w:hideMark/>
          </w:tcPr>
          <w:p w14:paraId="76369349"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3 528</w:t>
            </w:r>
          </w:p>
        </w:tc>
        <w:tc>
          <w:tcPr>
            <w:tcW w:w="357" w:type="pct"/>
            <w:tcBorders>
              <w:top w:val="nil"/>
              <w:left w:val="nil"/>
              <w:bottom w:val="single" w:sz="4" w:space="0" w:color="auto"/>
              <w:right w:val="single" w:sz="4" w:space="0" w:color="auto"/>
            </w:tcBorders>
            <w:shd w:val="clear" w:color="auto" w:fill="auto"/>
            <w:vAlign w:val="center"/>
            <w:hideMark/>
          </w:tcPr>
          <w:p w14:paraId="26BD53AD"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proofErr w:type="spellStart"/>
            <w:r w:rsidRPr="004809C5">
              <w:rPr>
                <w:rFonts w:ascii="Times New Roman" w:eastAsia="Times New Roman" w:hAnsi="Times New Roman" w:cs="Times New Roman"/>
                <w:color w:val="000000"/>
                <w:sz w:val="20"/>
                <w:szCs w:val="20"/>
                <w:lang w:eastAsia="sk-SK"/>
              </w:rPr>
              <w:t>Out</w:t>
            </w:r>
            <w:proofErr w:type="spellEnd"/>
            <w:r w:rsidRPr="004809C5">
              <w:rPr>
                <w:rFonts w:ascii="Times New Roman" w:eastAsia="Times New Roman" w:hAnsi="Times New Roman" w:cs="Times New Roman"/>
                <w:color w:val="000000"/>
                <w:sz w:val="20"/>
                <w:szCs w:val="20"/>
                <w:lang w:eastAsia="sk-SK"/>
              </w:rPr>
              <w:t xml:space="preserve"> (znižuje náklady)</w:t>
            </w:r>
          </w:p>
        </w:tc>
        <w:tc>
          <w:tcPr>
            <w:tcW w:w="357" w:type="pct"/>
            <w:tcBorders>
              <w:top w:val="nil"/>
              <w:left w:val="nil"/>
              <w:bottom w:val="single" w:sz="4" w:space="0" w:color="auto"/>
              <w:right w:val="single" w:sz="4" w:space="0" w:color="auto"/>
            </w:tcBorders>
            <w:shd w:val="clear" w:color="auto" w:fill="auto"/>
            <w:vAlign w:val="center"/>
            <w:hideMark/>
          </w:tcPr>
          <w:p w14:paraId="483FECF0" w14:textId="77777777" w:rsidR="004809C5" w:rsidRPr="004809C5" w:rsidRDefault="004809C5" w:rsidP="004809C5">
            <w:pPr>
              <w:spacing w:after="0" w:line="240" w:lineRule="auto"/>
              <w:jc w:val="center"/>
              <w:rPr>
                <w:rFonts w:ascii="Times New Roman" w:eastAsia="Times New Roman" w:hAnsi="Times New Roman" w:cs="Times New Roman"/>
                <w:sz w:val="20"/>
                <w:szCs w:val="20"/>
                <w:lang w:eastAsia="sk-SK"/>
              </w:rPr>
            </w:pPr>
            <w:r w:rsidRPr="004809C5">
              <w:rPr>
                <w:rFonts w:ascii="Times New Roman" w:eastAsia="Times New Roman" w:hAnsi="Times New Roman" w:cs="Times New Roman"/>
                <w:sz w:val="20"/>
                <w:szCs w:val="20"/>
                <w:lang w:eastAsia="sk-SK"/>
              </w:rPr>
              <w:t>3 528</w:t>
            </w:r>
          </w:p>
        </w:tc>
        <w:tc>
          <w:tcPr>
            <w:tcW w:w="267" w:type="pct"/>
            <w:tcBorders>
              <w:top w:val="nil"/>
              <w:left w:val="nil"/>
              <w:bottom w:val="single" w:sz="4" w:space="0" w:color="auto"/>
              <w:right w:val="single" w:sz="4" w:space="0" w:color="auto"/>
            </w:tcBorders>
            <w:shd w:val="clear" w:color="auto" w:fill="auto"/>
            <w:vAlign w:val="center"/>
            <w:hideMark/>
          </w:tcPr>
          <w:p w14:paraId="57718BE7" w14:textId="77777777" w:rsidR="004809C5" w:rsidRPr="004809C5" w:rsidRDefault="004809C5" w:rsidP="004809C5">
            <w:pPr>
              <w:spacing w:after="0" w:line="240" w:lineRule="auto"/>
              <w:jc w:val="center"/>
              <w:rPr>
                <w:rFonts w:ascii="Times New Roman" w:eastAsia="Times New Roman" w:hAnsi="Times New Roman" w:cs="Times New Roman"/>
                <w:color w:val="000000"/>
                <w:sz w:val="20"/>
                <w:szCs w:val="20"/>
                <w:lang w:eastAsia="sk-SK"/>
              </w:rPr>
            </w:pPr>
            <w:r w:rsidRPr="004809C5">
              <w:rPr>
                <w:rFonts w:ascii="Times New Roman" w:eastAsia="Times New Roman" w:hAnsi="Times New Roman" w:cs="Times New Roman"/>
                <w:color w:val="000000"/>
                <w:sz w:val="20"/>
                <w:szCs w:val="20"/>
                <w:lang w:eastAsia="sk-SK"/>
              </w:rPr>
              <w:t>0</w:t>
            </w:r>
          </w:p>
        </w:tc>
      </w:tr>
    </w:tbl>
    <w:p w14:paraId="5B90202E" w14:textId="6A1C7D0D" w:rsidR="007308F0" w:rsidRDefault="007308F0" w:rsidP="00054C41">
      <w:pPr>
        <w:jc w:val="both"/>
        <w:rPr>
          <w:rFonts w:ascii="Times New Roman" w:eastAsia="Calibri" w:hAnsi="Times New Roman" w:cs="Times New Roman"/>
          <w:sz w:val="24"/>
          <w:szCs w:val="24"/>
        </w:rPr>
        <w:sectPr w:rsidR="007308F0" w:rsidSect="004221E5">
          <w:pgSz w:w="16838" w:h="11906" w:orient="landscape"/>
          <w:pgMar w:top="1417" w:right="1417" w:bottom="1417" w:left="1417" w:header="708" w:footer="708" w:gutter="0"/>
          <w:cols w:space="708"/>
          <w:docGrid w:linePitch="360"/>
        </w:sectPr>
      </w:pPr>
      <w:bookmarkStart w:id="0" w:name="_GoBack"/>
      <w:bookmarkEnd w:id="0"/>
    </w:p>
    <w:p w14:paraId="432F6572"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0C538D00" w14:textId="77777777" w:rsidR="00054C41" w:rsidRDefault="00054C41" w:rsidP="00C612E7">
      <w:pPr>
        <w:spacing w:after="0"/>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7C54F085" w14:textId="77777777" w:rsidR="00C612E7" w:rsidRDefault="00C612E7" w:rsidP="00C612E7">
      <w:pPr>
        <w:spacing w:after="0"/>
        <w:jc w:val="both"/>
        <w:rPr>
          <w:rFonts w:ascii="Times New Roman" w:eastAsia="Calibri" w:hAnsi="Times New Roman" w:cs="Times New Roman"/>
          <w:bCs/>
          <w:iCs/>
          <w:color w:val="000000"/>
          <w:sz w:val="24"/>
          <w:szCs w:val="24"/>
          <w:u w:val="single"/>
        </w:rPr>
      </w:pPr>
    </w:p>
    <w:p w14:paraId="619C0F02" w14:textId="77777777" w:rsidR="00C612E7" w:rsidRPr="00C612E7" w:rsidRDefault="00C612E7" w:rsidP="007308F0">
      <w:pPr>
        <w:spacing w:after="0" w:line="276" w:lineRule="auto"/>
        <w:jc w:val="both"/>
        <w:rPr>
          <w:rFonts w:ascii="Times New Roman" w:eastAsia="Calibri" w:hAnsi="Times New Roman" w:cs="Times New Roman"/>
          <w:b/>
          <w:bCs/>
          <w:iCs/>
          <w:color w:val="000000"/>
          <w:sz w:val="24"/>
          <w:szCs w:val="24"/>
        </w:rPr>
      </w:pPr>
      <w:r w:rsidRPr="00C612E7">
        <w:rPr>
          <w:rFonts w:ascii="Times New Roman" w:eastAsia="Calibri" w:hAnsi="Times New Roman" w:cs="Times New Roman"/>
          <w:b/>
          <w:bCs/>
          <w:iCs/>
          <w:color w:val="000000"/>
          <w:sz w:val="24"/>
          <w:szCs w:val="24"/>
        </w:rPr>
        <w:t>Náklady OUT</w:t>
      </w:r>
    </w:p>
    <w:p w14:paraId="3AF8A0C2" w14:textId="77777777" w:rsidR="00C612E7" w:rsidRDefault="00C612E7" w:rsidP="007308F0">
      <w:pPr>
        <w:spacing w:after="0" w:line="276" w:lineRule="auto"/>
        <w:jc w:val="both"/>
        <w:rPr>
          <w:rFonts w:ascii="Times New Roman" w:eastAsia="Calibri" w:hAnsi="Times New Roman" w:cs="Times New Roman"/>
          <w:bCs/>
          <w:iCs/>
          <w:color w:val="000000"/>
          <w:sz w:val="24"/>
          <w:szCs w:val="24"/>
          <w:u w:val="single"/>
        </w:rPr>
      </w:pPr>
    </w:p>
    <w:p w14:paraId="6F3C14EE" w14:textId="3F5C1482" w:rsidR="000328DC" w:rsidRPr="00C149EC" w:rsidRDefault="00C149EC" w:rsidP="007308F0">
      <w:pPr>
        <w:spacing w:after="0" w:line="276" w:lineRule="auto"/>
        <w:jc w:val="both"/>
        <w:rPr>
          <w:rFonts w:ascii="Times New Roman" w:eastAsia="Calibri" w:hAnsi="Times New Roman" w:cs="Times New Roman"/>
          <w:bCs/>
          <w:iCs/>
          <w:color w:val="000000"/>
          <w:sz w:val="24"/>
          <w:szCs w:val="24"/>
          <w:u w:val="single"/>
        </w:rPr>
      </w:pPr>
      <w:r w:rsidRPr="00C149EC">
        <w:rPr>
          <w:rFonts w:ascii="Times New Roman" w:eastAsia="Calibri" w:hAnsi="Times New Roman" w:cs="Times New Roman"/>
          <w:bCs/>
          <w:iCs/>
          <w:color w:val="000000"/>
          <w:sz w:val="24"/>
          <w:szCs w:val="24"/>
          <w:u w:val="single"/>
        </w:rPr>
        <w:t xml:space="preserve">1. </w:t>
      </w:r>
      <w:proofErr w:type="spellStart"/>
      <w:r w:rsidR="0009048A" w:rsidRPr="00C149EC">
        <w:rPr>
          <w:rFonts w:ascii="Times New Roman" w:eastAsia="Calibri" w:hAnsi="Times New Roman" w:cs="Times New Roman"/>
          <w:bCs/>
          <w:iCs/>
          <w:color w:val="000000"/>
          <w:sz w:val="24"/>
          <w:szCs w:val="24"/>
          <w:u w:val="single"/>
        </w:rPr>
        <w:t>Poi</w:t>
      </w:r>
      <w:proofErr w:type="spellEnd"/>
      <w:r w:rsidR="0009048A" w:rsidRPr="00C149EC">
        <w:rPr>
          <w:rFonts w:ascii="Times New Roman" w:eastAsia="Calibri" w:hAnsi="Times New Roman" w:cs="Times New Roman"/>
          <w:bCs/>
          <w:iCs/>
          <w:color w:val="000000"/>
          <w:sz w:val="24"/>
          <w:szCs w:val="24"/>
          <w:u w:val="single"/>
        </w:rPr>
        <w:t xml:space="preserve"> 3-04 Štvrťročný výkaz v poisťovníctve</w:t>
      </w:r>
    </w:p>
    <w:p w14:paraId="6EFBE239" w14:textId="77777777" w:rsidR="00AF2B77" w:rsidRPr="00C149EC" w:rsidRDefault="0009048A" w:rsidP="007308F0">
      <w:pPr>
        <w:spacing w:after="0" w:line="276" w:lineRule="auto"/>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t xml:space="preserve">Ruší sa </w:t>
      </w:r>
      <w:r w:rsidR="00AF2B77" w:rsidRPr="00C149EC">
        <w:rPr>
          <w:rFonts w:ascii="Times New Roman" w:eastAsia="Calibri" w:hAnsi="Times New Roman" w:cs="Times New Roman"/>
          <w:bCs/>
          <w:iCs/>
          <w:color w:val="000000"/>
          <w:sz w:val="24"/>
          <w:szCs w:val="24"/>
        </w:rPr>
        <w:t xml:space="preserve">štvrťročné </w:t>
      </w:r>
      <w:r w:rsidRPr="00C149EC">
        <w:rPr>
          <w:rFonts w:ascii="Times New Roman" w:eastAsia="Calibri" w:hAnsi="Times New Roman" w:cs="Times New Roman"/>
          <w:bCs/>
          <w:iCs/>
          <w:color w:val="000000"/>
          <w:sz w:val="24"/>
          <w:szCs w:val="24"/>
        </w:rPr>
        <w:t xml:space="preserve">štátne štatistické zisťovanie v poisťovníctve. </w:t>
      </w:r>
      <w:r w:rsidR="00AF2B77" w:rsidRPr="00C149EC">
        <w:rPr>
          <w:rFonts w:ascii="Times New Roman" w:eastAsia="Calibri" w:hAnsi="Times New Roman" w:cs="Times New Roman"/>
          <w:bCs/>
          <w:iCs/>
          <w:color w:val="000000"/>
          <w:sz w:val="24"/>
          <w:szCs w:val="24"/>
        </w:rPr>
        <w:t>Priemerný čas vypĺňania formulára bol vypočítaný na základe údajov vykázaných spravodajskými jednotkami v príslušnom module štatistického formulára.</w:t>
      </w:r>
    </w:p>
    <w:p w14:paraId="502296F9" w14:textId="5B5407ED" w:rsidR="0016307C" w:rsidRPr="00C149EC" w:rsidRDefault="0016307C" w:rsidP="0016307C">
      <w:pPr>
        <w:spacing w:after="0" w:line="276" w:lineRule="auto"/>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t>Zdroj početností: Register organizácií vedený úradom, veľkosť vyčerpávajúceho  súboru pre populáciu subjektov s hlavnou ekonomickou činnosťou poistenie, zaistenie a dôchodkové zabezpečenie okrem</w:t>
      </w:r>
      <w:r w:rsidR="00EC720E" w:rsidRPr="00C149EC">
        <w:rPr>
          <w:rFonts w:ascii="Times New Roman" w:eastAsia="Calibri" w:hAnsi="Times New Roman" w:cs="Times New Roman"/>
          <w:bCs/>
          <w:iCs/>
          <w:color w:val="000000"/>
          <w:sz w:val="24"/>
          <w:szCs w:val="24"/>
        </w:rPr>
        <w:t xml:space="preserve"> povinného sociálneho poistenia;</w:t>
      </w:r>
      <w:r w:rsidRPr="00C149EC">
        <w:rPr>
          <w:rFonts w:ascii="Times New Roman" w:eastAsia="Calibri" w:hAnsi="Times New Roman" w:cs="Times New Roman"/>
          <w:bCs/>
          <w:iCs/>
          <w:color w:val="000000"/>
          <w:sz w:val="24"/>
          <w:szCs w:val="24"/>
        </w:rPr>
        <w:t xml:space="preserve"> pomocné činnosti v poisťovníctve a v dôchodkovom zabezpečení (441  spravodajských jednotiek).   </w:t>
      </w:r>
    </w:p>
    <w:p w14:paraId="5A06A872" w14:textId="77777777" w:rsidR="0016307C" w:rsidRPr="00C149EC" w:rsidRDefault="0016307C" w:rsidP="007308F0">
      <w:pPr>
        <w:spacing w:after="0" w:line="276" w:lineRule="auto"/>
        <w:jc w:val="both"/>
        <w:rPr>
          <w:rFonts w:ascii="Times New Roman" w:eastAsia="Calibri" w:hAnsi="Times New Roman" w:cs="Times New Roman"/>
          <w:bCs/>
          <w:iCs/>
          <w:color w:val="000000"/>
          <w:sz w:val="24"/>
          <w:szCs w:val="24"/>
        </w:rPr>
      </w:pPr>
    </w:p>
    <w:p w14:paraId="4C78FD06" w14:textId="3D1B71C9" w:rsidR="003B4AD8" w:rsidRPr="00C149EC" w:rsidRDefault="00C149EC" w:rsidP="007308F0">
      <w:pPr>
        <w:spacing w:after="0" w:line="276" w:lineRule="auto"/>
        <w:jc w:val="both"/>
        <w:rPr>
          <w:rFonts w:ascii="Times New Roman" w:eastAsia="Calibri" w:hAnsi="Times New Roman" w:cs="Times New Roman"/>
          <w:bCs/>
          <w:iCs/>
          <w:color w:val="000000"/>
          <w:sz w:val="24"/>
          <w:szCs w:val="24"/>
          <w:u w:val="single"/>
        </w:rPr>
      </w:pPr>
      <w:r w:rsidRPr="00C149EC">
        <w:rPr>
          <w:rFonts w:ascii="Times New Roman" w:eastAsia="Calibri" w:hAnsi="Times New Roman" w:cs="Times New Roman"/>
          <w:bCs/>
          <w:iCs/>
          <w:color w:val="000000"/>
          <w:sz w:val="24"/>
          <w:szCs w:val="24"/>
          <w:u w:val="single"/>
        </w:rPr>
        <w:t xml:space="preserve">2. </w:t>
      </w:r>
      <w:proofErr w:type="spellStart"/>
      <w:r w:rsidR="0009048A" w:rsidRPr="00C149EC">
        <w:rPr>
          <w:rFonts w:ascii="Times New Roman" w:eastAsia="Calibri" w:hAnsi="Times New Roman" w:cs="Times New Roman"/>
          <w:bCs/>
          <w:iCs/>
          <w:color w:val="000000"/>
          <w:sz w:val="24"/>
          <w:szCs w:val="24"/>
          <w:u w:val="single"/>
        </w:rPr>
        <w:t>Pen</w:t>
      </w:r>
      <w:proofErr w:type="spellEnd"/>
      <w:r w:rsidR="0009048A" w:rsidRPr="00C149EC">
        <w:rPr>
          <w:rFonts w:ascii="Times New Roman" w:eastAsia="Calibri" w:hAnsi="Times New Roman" w:cs="Times New Roman"/>
          <w:bCs/>
          <w:iCs/>
          <w:color w:val="000000"/>
          <w:sz w:val="24"/>
          <w:szCs w:val="24"/>
          <w:u w:val="single"/>
        </w:rPr>
        <w:t xml:space="preserve"> 3-04 Štvrťročný výkaz v peňažníctve</w:t>
      </w:r>
    </w:p>
    <w:p w14:paraId="588FA053" w14:textId="77777777" w:rsidR="00163857" w:rsidRPr="00C149EC" w:rsidRDefault="00163857" w:rsidP="007308F0">
      <w:pPr>
        <w:spacing w:after="0" w:line="276" w:lineRule="auto"/>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t xml:space="preserve">Ruší sa </w:t>
      </w:r>
      <w:r w:rsidR="00AF2B77" w:rsidRPr="00C149EC">
        <w:rPr>
          <w:rFonts w:ascii="Times New Roman" w:eastAsia="Calibri" w:hAnsi="Times New Roman" w:cs="Times New Roman"/>
          <w:bCs/>
          <w:iCs/>
          <w:color w:val="000000"/>
          <w:sz w:val="24"/>
          <w:szCs w:val="24"/>
        </w:rPr>
        <w:t xml:space="preserve">štvrťročné </w:t>
      </w:r>
      <w:r w:rsidRPr="00C149EC">
        <w:rPr>
          <w:rFonts w:ascii="Times New Roman" w:eastAsia="Calibri" w:hAnsi="Times New Roman" w:cs="Times New Roman"/>
          <w:bCs/>
          <w:iCs/>
          <w:color w:val="000000"/>
          <w:sz w:val="24"/>
          <w:szCs w:val="24"/>
        </w:rPr>
        <w:t>štátne štatistické zisťovanie v </w:t>
      </w:r>
      <w:r w:rsidR="00AF2B77" w:rsidRPr="00C149EC">
        <w:rPr>
          <w:rFonts w:ascii="Times New Roman" w:eastAsia="Calibri" w:hAnsi="Times New Roman" w:cs="Times New Roman"/>
          <w:bCs/>
          <w:iCs/>
          <w:color w:val="000000"/>
          <w:sz w:val="24"/>
          <w:szCs w:val="24"/>
        </w:rPr>
        <w:t>peňažníct</w:t>
      </w:r>
      <w:r w:rsidRPr="00C149EC">
        <w:rPr>
          <w:rFonts w:ascii="Times New Roman" w:eastAsia="Calibri" w:hAnsi="Times New Roman" w:cs="Times New Roman"/>
          <w:bCs/>
          <w:iCs/>
          <w:color w:val="000000"/>
          <w:sz w:val="24"/>
          <w:szCs w:val="24"/>
        </w:rPr>
        <w:t xml:space="preserve">ve. </w:t>
      </w:r>
      <w:r w:rsidR="00AF2B77" w:rsidRPr="00C149EC">
        <w:rPr>
          <w:rFonts w:ascii="Times New Roman" w:eastAsia="Calibri" w:hAnsi="Times New Roman" w:cs="Times New Roman"/>
          <w:bCs/>
          <w:iCs/>
          <w:color w:val="000000"/>
          <w:sz w:val="24"/>
          <w:szCs w:val="24"/>
        </w:rPr>
        <w:t>Priemerný čas vypĺňania formulára bol vypočítaný na základe údajov vykázaných spravodajskými jednotkami v príslušnom module štatistického formulára.</w:t>
      </w:r>
    </w:p>
    <w:p w14:paraId="1906857E" w14:textId="77777777" w:rsidR="0016307C" w:rsidRPr="00C149EC" w:rsidRDefault="0016307C" w:rsidP="0016307C">
      <w:pPr>
        <w:spacing w:after="0" w:line="276" w:lineRule="auto"/>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t xml:space="preserve">Zdroj početností: Register organizácií vedený úradom, veľkosť vyčerpávajúceho  súboru pre populáciu subjektov s hlavnou ekonomickou činnosťou peňažné sprostredkovanie (22 spravodajských jednotiek).   </w:t>
      </w:r>
    </w:p>
    <w:p w14:paraId="2A3BF77C" w14:textId="77777777" w:rsidR="0016307C" w:rsidRPr="00C149EC" w:rsidRDefault="0016307C" w:rsidP="0016307C">
      <w:pPr>
        <w:spacing w:after="0" w:line="276" w:lineRule="auto"/>
        <w:jc w:val="both"/>
        <w:rPr>
          <w:rFonts w:ascii="Times New Roman" w:eastAsia="Calibri" w:hAnsi="Times New Roman" w:cs="Times New Roman"/>
          <w:bCs/>
          <w:iCs/>
          <w:color w:val="000000"/>
          <w:sz w:val="24"/>
          <w:szCs w:val="24"/>
        </w:rPr>
      </w:pPr>
    </w:p>
    <w:p w14:paraId="54DCB7FA" w14:textId="541D8DE9" w:rsidR="008F18A7" w:rsidRPr="00C149EC" w:rsidRDefault="00C149EC" w:rsidP="007308F0">
      <w:pPr>
        <w:spacing w:after="0" w:line="276" w:lineRule="auto"/>
        <w:jc w:val="both"/>
        <w:rPr>
          <w:rFonts w:ascii="Times New Roman" w:eastAsia="Calibri" w:hAnsi="Times New Roman" w:cs="Times New Roman"/>
          <w:bCs/>
          <w:iCs/>
          <w:color w:val="000000"/>
          <w:sz w:val="24"/>
          <w:szCs w:val="24"/>
          <w:u w:val="single"/>
        </w:rPr>
      </w:pPr>
      <w:r w:rsidRPr="00C149EC">
        <w:rPr>
          <w:rFonts w:ascii="Times New Roman" w:eastAsia="Calibri" w:hAnsi="Times New Roman" w:cs="Times New Roman"/>
          <w:bCs/>
          <w:iCs/>
          <w:color w:val="000000"/>
          <w:sz w:val="24"/>
          <w:szCs w:val="24"/>
          <w:u w:val="single"/>
        </w:rPr>
        <w:t xml:space="preserve">3. </w:t>
      </w:r>
      <w:proofErr w:type="spellStart"/>
      <w:r w:rsidR="00163857" w:rsidRPr="00C149EC">
        <w:rPr>
          <w:rFonts w:ascii="Times New Roman" w:eastAsia="Calibri" w:hAnsi="Times New Roman" w:cs="Times New Roman"/>
          <w:bCs/>
          <w:iCs/>
          <w:color w:val="000000"/>
          <w:sz w:val="24"/>
          <w:szCs w:val="24"/>
          <w:u w:val="single"/>
        </w:rPr>
        <w:t>Pin</w:t>
      </w:r>
      <w:proofErr w:type="spellEnd"/>
      <w:r w:rsidR="00163857" w:rsidRPr="00C149EC">
        <w:rPr>
          <w:rFonts w:ascii="Times New Roman" w:eastAsia="Calibri" w:hAnsi="Times New Roman" w:cs="Times New Roman"/>
          <w:bCs/>
          <w:iCs/>
          <w:color w:val="000000"/>
          <w:sz w:val="24"/>
          <w:szCs w:val="24"/>
          <w:u w:val="single"/>
        </w:rPr>
        <w:t xml:space="preserve"> 3-04 Štvrťročný výkaz v nebankových finančných inštitúciách</w:t>
      </w:r>
    </w:p>
    <w:p w14:paraId="328AC97D" w14:textId="77777777" w:rsidR="00AF2B77" w:rsidRPr="00C149EC" w:rsidRDefault="00163857" w:rsidP="007308F0">
      <w:pPr>
        <w:spacing w:after="0" w:line="276" w:lineRule="auto"/>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t xml:space="preserve">Ruší sa </w:t>
      </w:r>
      <w:r w:rsidR="00AF2B77" w:rsidRPr="00C149EC">
        <w:rPr>
          <w:rFonts w:ascii="Times New Roman" w:eastAsia="Calibri" w:hAnsi="Times New Roman" w:cs="Times New Roman"/>
          <w:bCs/>
          <w:iCs/>
          <w:color w:val="000000"/>
          <w:sz w:val="24"/>
          <w:szCs w:val="24"/>
        </w:rPr>
        <w:t xml:space="preserve">štvrťročné </w:t>
      </w:r>
      <w:r w:rsidRPr="00C149EC">
        <w:rPr>
          <w:rFonts w:ascii="Times New Roman" w:eastAsia="Calibri" w:hAnsi="Times New Roman" w:cs="Times New Roman"/>
          <w:bCs/>
          <w:iCs/>
          <w:color w:val="000000"/>
          <w:sz w:val="24"/>
          <w:szCs w:val="24"/>
        </w:rPr>
        <w:t>štátne štatistické zisťovanie v</w:t>
      </w:r>
      <w:r w:rsidR="00AF2B77" w:rsidRPr="00C149EC">
        <w:rPr>
          <w:rFonts w:ascii="Times New Roman" w:eastAsia="Calibri" w:hAnsi="Times New Roman" w:cs="Times New Roman"/>
          <w:bCs/>
          <w:iCs/>
          <w:color w:val="000000"/>
          <w:sz w:val="24"/>
          <w:szCs w:val="24"/>
        </w:rPr>
        <w:t> nebankových finančných inštitúciách</w:t>
      </w:r>
      <w:r w:rsidRPr="00C149EC">
        <w:rPr>
          <w:rFonts w:ascii="Times New Roman" w:eastAsia="Calibri" w:hAnsi="Times New Roman" w:cs="Times New Roman"/>
          <w:bCs/>
          <w:iCs/>
          <w:color w:val="000000"/>
          <w:sz w:val="24"/>
          <w:szCs w:val="24"/>
        </w:rPr>
        <w:t xml:space="preserve">. </w:t>
      </w:r>
      <w:r w:rsidR="00AF2B77" w:rsidRPr="00C149EC">
        <w:rPr>
          <w:rFonts w:ascii="Times New Roman" w:eastAsia="Calibri" w:hAnsi="Times New Roman" w:cs="Times New Roman"/>
          <w:bCs/>
          <w:iCs/>
          <w:color w:val="000000"/>
          <w:sz w:val="24"/>
          <w:szCs w:val="24"/>
        </w:rPr>
        <w:t>Priemerný čas vypĺňania formulára bol vypočítaný na základe údajov vykázaných spravodajskými jednotkami v príslušnom module štatistického formulára.</w:t>
      </w:r>
    </w:p>
    <w:p w14:paraId="116087D2" w14:textId="1F06785A" w:rsidR="0016307C" w:rsidRDefault="0016307C" w:rsidP="0016307C">
      <w:pPr>
        <w:spacing w:after="0" w:line="276" w:lineRule="auto"/>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t>Zdroj početností: Register organizácií vedený úradom, veľkosť výberového súboru pre populáciu subjektov s hlavnou ekonomickou činnosťou</w:t>
      </w:r>
      <w:r w:rsidR="00EC720E" w:rsidRPr="00C149EC">
        <w:rPr>
          <w:rFonts w:ascii="Times New Roman" w:eastAsia="Calibri" w:hAnsi="Times New Roman" w:cs="Times New Roman"/>
          <w:bCs/>
          <w:iCs/>
          <w:color w:val="000000"/>
          <w:sz w:val="24"/>
          <w:szCs w:val="24"/>
        </w:rPr>
        <w:t xml:space="preserve"> - </w:t>
      </w:r>
      <w:r w:rsidRPr="00C149EC">
        <w:rPr>
          <w:rFonts w:ascii="Times New Roman" w:eastAsia="Calibri" w:hAnsi="Times New Roman" w:cs="Times New Roman"/>
          <w:bCs/>
          <w:iCs/>
          <w:color w:val="000000"/>
          <w:sz w:val="24"/>
          <w:szCs w:val="24"/>
        </w:rPr>
        <w:t xml:space="preserve"> činnosti holdingových spoločností; trasty, fondy a podobné finančné subjekty; ostatné finančné služby okrem poistenia a dôchodkového zabezpečenia; pomocné činnosti finančných služieb okrem </w:t>
      </w:r>
      <w:r w:rsidR="00EC720E" w:rsidRPr="00C149EC">
        <w:rPr>
          <w:rFonts w:ascii="Times New Roman" w:eastAsia="Calibri" w:hAnsi="Times New Roman" w:cs="Times New Roman"/>
          <w:bCs/>
          <w:iCs/>
          <w:color w:val="000000"/>
          <w:sz w:val="24"/>
          <w:szCs w:val="24"/>
        </w:rPr>
        <w:t>p</w:t>
      </w:r>
      <w:r w:rsidRPr="00C149EC">
        <w:rPr>
          <w:rFonts w:ascii="Times New Roman" w:eastAsia="Calibri" w:hAnsi="Times New Roman" w:cs="Times New Roman"/>
          <w:bCs/>
          <w:iCs/>
          <w:color w:val="000000"/>
          <w:sz w:val="24"/>
          <w:szCs w:val="24"/>
        </w:rPr>
        <w:t>oistenia a dôchodkového zabezpečenia; činnosti investičných maklérov (104  spravodajských jednotiek).</w:t>
      </w:r>
      <w:r w:rsidRPr="00AB042E">
        <w:rPr>
          <w:rFonts w:ascii="Times New Roman" w:eastAsia="Calibri" w:hAnsi="Times New Roman" w:cs="Times New Roman"/>
          <w:bCs/>
          <w:iCs/>
          <w:color w:val="000000"/>
          <w:sz w:val="24"/>
          <w:szCs w:val="24"/>
        </w:rPr>
        <w:t xml:space="preserve">   </w:t>
      </w:r>
    </w:p>
    <w:p w14:paraId="3F473ABD" w14:textId="77777777" w:rsidR="00743BDB" w:rsidRDefault="00743BDB" w:rsidP="007308F0">
      <w:pPr>
        <w:spacing w:after="0" w:line="276" w:lineRule="auto"/>
        <w:jc w:val="both"/>
        <w:rPr>
          <w:rFonts w:ascii="Times New Roman" w:eastAsia="Calibri" w:hAnsi="Times New Roman" w:cs="Times New Roman"/>
          <w:bCs/>
          <w:iCs/>
          <w:color w:val="000000"/>
          <w:sz w:val="24"/>
          <w:szCs w:val="24"/>
        </w:rPr>
      </w:pPr>
    </w:p>
    <w:p w14:paraId="27D63A8E" w14:textId="0DB3E119" w:rsidR="00C612E7" w:rsidRPr="00DC514F" w:rsidRDefault="00107678" w:rsidP="007308F0">
      <w:pPr>
        <w:spacing w:after="0" w:line="276" w:lineRule="auto"/>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 xml:space="preserve">9. </w:t>
      </w:r>
      <w:r w:rsidR="00C612E7" w:rsidRPr="00DC514F">
        <w:rPr>
          <w:rFonts w:ascii="Times New Roman" w:eastAsia="Calibri" w:hAnsi="Times New Roman" w:cs="Times New Roman"/>
          <w:bCs/>
          <w:iCs/>
          <w:color w:val="000000"/>
          <w:sz w:val="24"/>
          <w:szCs w:val="24"/>
          <w:u w:val="single"/>
        </w:rPr>
        <w:t xml:space="preserve">FCMIZ (MPRV SR) 1-12 Mesačný výkaz o fondoch cukru, melasy a </w:t>
      </w:r>
      <w:proofErr w:type="spellStart"/>
      <w:r w:rsidR="00C612E7" w:rsidRPr="00DC514F">
        <w:rPr>
          <w:rFonts w:ascii="Times New Roman" w:eastAsia="Calibri" w:hAnsi="Times New Roman" w:cs="Times New Roman"/>
          <w:bCs/>
          <w:iCs/>
          <w:color w:val="000000"/>
          <w:sz w:val="24"/>
          <w:szCs w:val="24"/>
          <w:u w:val="single"/>
        </w:rPr>
        <w:t>izoglukózy</w:t>
      </w:r>
      <w:proofErr w:type="spellEnd"/>
    </w:p>
    <w:p w14:paraId="60911F7E" w14:textId="77777777" w:rsidR="00C612E7" w:rsidRDefault="00C612E7" w:rsidP="007308F0">
      <w:pPr>
        <w:spacing w:after="0" w:line="276"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Upravuje sa periodicita mesačného výkazu o fondoch cukru, melasy a </w:t>
      </w:r>
      <w:proofErr w:type="spellStart"/>
      <w:r>
        <w:rPr>
          <w:rFonts w:ascii="Times New Roman" w:eastAsia="Calibri" w:hAnsi="Times New Roman" w:cs="Times New Roman"/>
          <w:bCs/>
          <w:iCs/>
          <w:color w:val="000000"/>
          <w:sz w:val="24"/>
          <w:szCs w:val="24"/>
        </w:rPr>
        <w:t>izoglukózy</w:t>
      </w:r>
      <w:proofErr w:type="spellEnd"/>
      <w:r>
        <w:rPr>
          <w:rFonts w:ascii="Times New Roman" w:eastAsia="Calibri" w:hAnsi="Times New Roman" w:cs="Times New Roman"/>
          <w:bCs/>
          <w:iCs/>
          <w:color w:val="000000"/>
          <w:sz w:val="24"/>
          <w:szCs w:val="24"/>
        </w:rPr>
        <w:t xml:space="preserve"> na štvrťročnú, namiesto dvanástich podaní spravodajská jednotka predloží štyri podania, t. j. o osem menej. </w:t>
      </w:r>
      <w:r w:rsidRPr="008A2831">
        <w:rPr>
          <w:rFonts w:ascii="Times New Roman" w:eastAsia="Calibri" w:hAnsi="Times New Roman" w:cs="Times New Roman"/>
          <w:bCs/>
          <w:iCs/>
          <w:color w:val="000000"/>
          <w:sz w:val="24"/>
          <w:szCs w:val="24"/>
        </w:rPr>
        <w:t xml:space="preserve">Priemerný čas vypĺňania štatistického </w:t>
      </w:r>
      <w:r>
        <w:rPr>
          <w:rFonts w:ascii="Times New Roman" w:eastAsia="Calibri" w:hAnsi="Times New Roman" w:cs="Times New Roman"/>
          <w:bCs/>
          <w:iCs/>
          <w:color w:val="000000"/>
          <w:sz w:val="24"/>
          <w:szCs w:val="24"/>
        </w:rPr>
        <w:t>formulára</w:t>
      </w:r>
      <w:r w:rsidRPr="008A2831">
        <w:rPr>
          <w:rFonts w:ascii="Times New Roman" w:eastAsia="Calibri" w:hAnsi="Times New Roman" w:cs="Times New Roman"/>
          <w:bCs/>
          <w:iCs/>
          <w:color w:val="000000"/>
          <w:sz w:val="24"/>
          <w:szCs w:val="24"/>
        </w:rPr>
        <w:t xml:space="preserve"> bol vyčíslený na 45 minút na </w:t>
      </w:r>
      <w:r w:rsidRPr="008A2831">
        <w:rPr>
          <w:rFonts w:ascii="Times New Roman" w:eastAsia="Calibri" w:hAnsi="Times New Roman" w:cs="Times New Roman"/>
          <w:bCs/>
          <w:iCs/>
          <w:color w:val="000000"/>
          <w:sz w:val="24"/>
          <w:szCs w:val="24"/>
        </w:rPr>
        <w:lastRenderedPageBreak/>
        <w:t xml:space="preserve">základe údajov </w:t>
      </w:r>
      <w:r>
        <w:rPr>
          <w:rFonts w:ascii="Times New Roman" w:eastAsia="Calibri" w:hAnsi="Times New Roman" w:cs="Times New Roman"/>
          <w:bCs/>
          <w:iCs/>
          <w:color w:val="000000"/>
          <w:sz w:val="24"/>
          <w:szCs w:val="24"/>
        </w:rPr>
        <w:t xml:space="preserve">vykázaných spravodajskými jednotkami v príslušnom module štatistického formulára. </w:t>
      </w:r>
    </w:p>
    <w:p w14:paraId="76D39D2C" w14:textId="249199D6" w:rsidR="00854E20" w:rsidRDefault="00854E20" w:rsidP="00854E20">
      <w:pPr>
        <w:spacing w:after="0" w:line="276" w:lineRule="auto"/>
        <w:jc w:val="both"/>
        <w:rPr>
          <w:rFonts w:ascii="Times New Roman" w:eastAsia="Calibri" w:hAnsi="Times New Roman" w:cs="Times New Roman"/>
          <w:bCs/>
          <w:iCs/>
          <w:color w:val="000000"/>
          <w:sz w:val="24"/>
          <w:szCs w:val="24"/>
        </w:rPr>
      </w:pPr>
      <w:r w:rsidRPr="00854E20">
        <w:rPr>
          <w:rFonts w:ascii="Times New Roman" w:eastAsia="Calibri" w:hAnsi="Times New Roman" w:cs="Times New Roman"/>
          <w:bCs/>
          <w:iCs/>
          <w:color w:val="000000"/>
          <w:sz w:val="24"/>
          <w:szCs w:val="24"/>
        </w:rPr>
        <w:t xml:space="preserve">Zdroj početností: podniky zapísané v obchodnom registri, ktoré vykonávajú ekonomickú činnosť podľa SK.NACE – </w:t>
      </w:r>
      <w:r>
        <w:rPr>
          <w:rFonts w:ascii="Times New Roman" w:eastAsia="Calibri" w:hAnsi="Times New Roman" w:cs="Times New Roman"/>
          <w:bCs/>
          <w:iCs/>
          <w:color w:val="000000"/>
          <w:sz w:val="24"/>
          <w:szCs w:val="24"/>
        </w:rPr>
        <w:t>10.62 V</w:t>
      </w:r>
      <w:r w:rsidRPr="00854E20">
        <w:rPr>
          <w:rFonts w:ascii="Times New Roman" w:eastAsia="Calibri" w:hAnsi="Times New Roman" w:cs="Times New Roman"/>
          <w:bCs/>
          <w:iCs/>
          <w:color w:val="000000"/>
          <w:sz w:val="24"/>
          <w:szCs w:val="24"/>
        </w:rPr>
        <w:t>ýroba škrobu a škrobových výrobkov</w:t>
      </w:r>
      <w:r>
        <w:rPr>
          <w:rFonts w:ascii="Times New Roman" w:eastAsia="Calibri" w:hAnsi="Times New Roman" w:cs="Times New Roman"/>
          <w:bCs/>
          <w:iCs/>
          <w:color w:val="000000"/>
          <w:sz w:val="24"/>
          <w:szCs w:val="24"/>
        </w:rPr>
        <w:t xml:space="preserve"> a 10.81 V</w:t>
      </w:r>
      <w:r w:rsidRPr="00854E20">
        <w:rPr>
          <w:rFonts w:ascii="Times New Roman" w:eastAsia="Calibri" w:hAnsi="Times New Roman" w:cs="Times New Roman"/>
          <w:bCs/>
          <w:iCs/>
          <w:color w:val="000000"/>
          <w:sz w:val="24"/>
          <w:szCs w:val="24"/>
        </w:rPr>
        <w:t>ýroba cukru.</w:t>
      </w:r>
    </w:p>
    <w:p w14:paraId="44F65F8A" w14:textId="77777777" w:rsidR="00C612E7" w:rsidRDefault="00C612E7" w:rsidP="007308F0">
      <w:pPr>
        <w:spacing w:after="0" w:line="276" w:lineRule="auto"/>
        <w:jc w:val="both"/>
        <w:rPr>
          <w:rFonts w:ascii="Times New Roman" w:eastAsia="Calibri" w:hAnsi="Times New Roman" w:cs="Times New Roman"/>
          <w:bCs/>
          <w:iCs/>
          <w:color w:val="000000"/>
          <w:sz w:val="24"/>
          <w:szCs w:val="24"/>
          <w:u w:val="single"/>
        </w:rPr>
      </w:pPr>
    </w:p>
    <w:p w14:paraId="3ABC0ECB" w14:textId="3A652F93" w:rsidR="00C612E7" w:rsidRDefault="00107678" w:rsidP="007308F0">
      <w:pPr>
        <w:spacing w:after="0" w:line="276" w:lineRule="auto"/>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 xml:space="preserve">10. </w:t>
      </w:r>
      <w:r w:rsidR="00C612E7" w:rsidRPr="00DC514F">
        <w:rPr>
          <w:rFonts w:ascii="Times New Roman" w:eastAsia="Calibri" w:hAnsi="Times New Roman" w:cs="Times New Roman"/>
          <w:bCs/>
          <w:iCs/>
          <w:color w:val="000000"/>
          <w:sz w:val="24"/>
          <w:szCs w:val="24"/>
          <w:u w:val="single"/>
        </w:rPr>
        <w:t>A (MZ SR) 19-01 Ročný výkaz o činnosti záchrannej zdravotnej služby</w:t>
      </w:r>
    </w:p>
    <w:p w14:paraId="5B905D88" w14:textId="77777777" w:rsidR="00C612E7" w:rsidRDefault="00C612E7" w:rsidP="007308F0">
      <w:pPr>
        <w:spacing w:after="0" w:line="276"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Ruší sa ročný výkaz o činnosti záchrannej zdravotnej služby. Priemerná časová náročnosť vypĺňania štatistického výkazu a počet spravodajských jednotiek bola poskytnutá rezortom Ministerstva vnútra Slovenskej republiky na základe údajov poskytnutých spravodajskými jednotkami v predchádzajúcich obdobiach. </w:t>
      </w:r>
    </w:p>
    <w:p w14:paraId="4C6117CD" w14:textId="77777777" w:rsidR="00C612E7" w:rsidRDefault="00C612E7" w:rsidP="007308F0">
      <w:pPr>
        <w:spacing w:after="0" w:line="276" w:lineRule="auto"/>
        <w:jc w:val="both"/>
        <w:rPr>
          <w:rFonts w:ascii="Times New Roman" w:eastAsia="Calibri" w:hAnsi="Times New Roman" w:cs="Times New Roman"/>
          <w:b/>
          <w:bCs/>
          <w:iCs/>
          <w:sz w:val="24"/>
          <w:szCs w:val="24"/>
        </w:rPr>
      </w:pPr>
    </w:p>
    <w:p w14:paraId="43DAF4CE" w14:textId="77777777" w:rsidR="00C612E7" w:rsidRDefault="00C612E7" w:rsidP="007308F0">
      <w:pPr>
        <w:spacing w:after="0" w:line="276" w:lineRule="auto"/>
        <w:jc w:val="both"/>
        <w:rPr>
          <w:rFonts w:ascii="Times New Roman" w:eastAsia="Calibri" w:hAnsi="Times New Roman" w:cs="Times New Roman"/>
          <w:b/>
          <w:bCs/>
          <w:iCs/>
          <w:sz w:val="24"/>
          <w:szCs w:val="24"/>
        </w:rPr>
      </w:pPr>
    </w:p>
    <w:p w14:paraId="41EE5ACD" w14:textId="77777777" w:rsidR="00C612E7" w:rsidRDefault="00C612E7" w:rsidP="007308F0">
      <w:pPr>
        <w:spacing w:after="0" w:line="276" w:lineRule="auto"/>
        <w:jc w:val="both"/>
        <w:rPr>
          <w:rFonts w:ascii="Times New Roman" w:eastAsia="Calibri" w:hAnsi="Times New Roman" w:cs="Times New Roman"/>
          <w:b/>
          <w:bCs/>
          <w:iCs/>
          <w:sz w:val="24"/>
          <w:szCs w:val="24"/>
        </w:rPr>
      </w:pPr>
      <w:r w:rsidRPr="00C612E7">
        <w:rPr>
          <w:rFonts w:ascii="Times New Roman" w:eastAsia="Calibri" w:hAnsi="Times New Roman" w:cs="Times New Roman"/>
          <w:b/>
          <w:bCs/>
          <w:iCs/>
          <w:sz w:val="24"/>
          <w:szCs w:val="24"/>
        </w:rPr>
        <w:t>Náklady IN</w:t>
      </w:r>
    </w:p>
    <w:p w14:paraId="701E4DC0" w14:textId="77777777" w:rsidR="0016307C" w:rsidRDefault="0016307C" w:rsidP="007308F0">
      <w:pPr>
        <w:spacing w:after="0" w:line="276" w:lineRule="auto"/>
        <w:jc w:val="both"/>
        <w:rPr>
          <w:rFonts w:ascii="Times New Roman" w:eastAsia="Calibri" w:hAnsi="Times New Roman" w:cs="Times New Roman"/>
          <w:b/>
          <w:bCs/>
          <w:iCs/>
          <w:sz w:val="24"/>
          <w:szCs w:val="24"/>
        </w:rPr>
      </w:pPr>
    </w:p>
    <w:p w14:paraId="5599B270" w14:textId="7E3F8B43" w:rsidR="0016307C" w:rsidRPr="00107678" w:rsidRDefault="00107678" w:rsidP="0016307C">
      <w:pPr>
        <w:spacing w:after="0" w:line="276"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u w:val="single"/>
        </w:rPr>
        <w:t xml:space="preserve">4. </w:t>
      </w:r>
      <w:r w:rsidR="0016307C" w:rsidRPr="00107678">
        <w:rPr>
          <w:rFonts w:ascii="Times New Roman" w:eastAsia="Calibri" w:hAnsi="Times New Roman" w:cs="Times New Roman"/>
          <w:bCs/>
          <w:iCs/>
          <w:color w:val="000000"/>
          <w:sz w:val="24"/>
          <w:szCs w:val="24"/>
          <w:u w:val="single"/>
        </w:rPr>
        <w:t xml:space="preserve">FISE </w:t>
      </w:r>
      <w:r>
        <w:rPr>
          <w:rFonts w:ascii="Times New Roman" w:eastAsia="Calibri" w:hAnsi="Times New Roman" w:cs="Times New Roman"/>
          <w:bCs/>
          <w:iCs/>
          <w:color w:val="000000"/>
          <w:sz w:val="24"/>
          <w:szCs w:val="24"/>
          <w:u w:val="single"/>
        </w:rPr>
        <w:t>1</w:t>
      </w:r>
      <w:r w:rsidR="0016307C" w:rsidRPr="00107678">
        <w:rPr>
          <w:rFonts w:ascii="Times New Roman" w:eastAsia="Calibri" w:hAnsi="Times New Roman" w:cs="Times New Roman"/>
          <w:bCs/>
          <w:iCs/>
          <w:color w:val="000000"/>
          <w:sz w:val="24"/>
          <w:szCs w:val="24"/>
          <w:u w:val="single"/>
        </w:rPr>
        <w:t>-04 Štvrťročný výkaz finančného sektora.</w:t>
      </w:r>
      <w:r w:rsidR="0016307C" w:rsidRPr="00107678">
        <w:rPr>
          <w:rFonts w:ascii="Times New Roman" w:eastAsia="Calibri" w:hAnsi="Times New Roman" w:cs="Times New Roman"/>
          <w:bCs/>
          <w:iCs/>
          <w:color w:val="000000"/>
          <w:sz w:val="24"/>
          <w:szCs w:val="24"/>
        </w:rPr>
        <w:t xml:space="preserve"> </w:t>
      </w:r>
    </w:p>
    <w:p w14:paraId="045F5DEA" w14:textId="77777777" w:rsidR="0016307C" w:rsidRPr="00107678" w:rsidRDefault="0016307C" w:rsidP="0016307C">
      <w:pPr>
        <w:spacing w:after="0" w:line="276" w:lineRule="auto"/>
        <w:jc w:val="both"/>
        <w:rPr>
          <w:rFonts w:ascii="Times New Roman" w:eastAsia="Calibri" w:hAnsi="Times New Roman" w:cs="Times New Roman"/>
          <w:bCs/>
          <w:iCs/>
          <w:color w:val="000000"/>
          <w:sz w:val="24"/>
          <w:szCs w:val="24"/>
        </w:rPr>
      </w:pPr>
      <w:r w:rsidRPr="00107678">
        <w:rPr>
          <w:rFonts w:ascii="Times New Roman" w:eastAsia="Calibri" w:hAnsi="Times New Roman" w:cs="Times New Roman"/>
          <w:bCs/>
          <w:iCs/>
          <w:color w:val="000000"/>
          <w:sz w:val="24"/>
          <w:szCs w:val="24"/>
        </w:rPr>
        <w:t xml:space="preserve">Zaraďuje sa štátne štatistické zisťovanie finančného sektora. Priemerný čas vypĺňania formulára bol vypočítaný odhadom na základe priemerných časov vypĺňania modulov zrušených štvrťročných zisťovaní </w:t>
      </w:r>
      <w:proofErr w:type="spellStart"/>
      <w:r w:rsidRPr="00107678">
        <w:rPr>
          <w:rFonts w:ascii="Times New Roman" w:eastAsia="Calibri" w:hAnsi="Times New Roman" w:cs="Times New Roman"/>
          <w:bCs/>
          <w:iCs/>
          <w:color w:val="000000"/>
          <w:sz w:val="24"/>
          <w:szCs w:val="24"/>
        </w:rPr>
        <w:t>Poi</w:t>
      </w:r>
      <w:proofErr w:type="spellEnd"/>
      <w:r w:rsidRPr="00107678">
        <w:rPr>
          <w:rFonts w:ascii="Times New Roman" w:eastAsia="Calibri" w:hAnsi="Times New Roman" w:cs="Times New Roman"/>
          <w:bCs/>
          <w:iCs/>
          <w:color w:val="000000"/>
          <w:sz w:val="24"/>
          <w:szCs w:val="24"/>
        </w:rPr>
        <w:t xml:space="preserve"> 3-04, </w:t>
      </w:r>
      <w:proofErr w:type="spellStart"/>
      <w:r w:rsidRPr="00107678">
        <w:rPr>
          <w:rFonts w:ascii="Times New Roman" w:eastAsia="Calibri" w:hAnsi="Times New Roman" w:cs="Times New Roman"/>
          <w:bCs/>
          <w:iCs/>
          <w:color w:val="000000"/>
          <w:sz w:val="24"/>
          <w:szCs w:val="24"/>
        </w:rPr>
        <w:t>Pen</w:t>
      </w:r>
      <w:proofErr w:type="spellEnd"/>
      <w:r w:rsidRPr="00107678">
        <w:rPr>
          <w:rFonts w:ascii="Times New Roman" w:eastAsia="Calibri" w:hAnsi="Times New Roman" w:cs="Times New Roman"/>
          <w:bCs/>
          <w:iCs/>
          <w:color w:val="000000"/>
          <w:sz w:val="24"/>
          <w:szCs w:val="24"/>
        </w:rPr>
        <w:t xml:space="preserve"> 3-04 a </w:t>
      </w:r>
      <w:proofErr w:type="spellStart"/>
      <w:r w:rsidRPr="00107678">
        <w:rPr>
          <w:rFonts w:ascii="Times New Roman" w:eastAsia="Calibri" w:hAnsi="Times New Roman" w:cs="Times New Roman"/>
          <w:bCs/>
          <w:iCs/>
          <w:color w:val="000000"/>
          <w:sz w:val="24"/>
          <w:szCs w:val="24"/>
        </w:rPr>
        <w:t>Pin</w:t>
      </w:r>
      <w:proofErr w:type="spellEnd"/>
      <w:r w:rsidRPr="00107678">
        <w:rPr>
          <w:rFonts w:ascii="Times New Roman" w:eastAsia="Calibri" w:hAnsi="Times New Roman" w:cs="Times New Roman"/>
          <w:bCs/>
          <w:iCs/>
          <w:color w:val="000000"/>
          <w:sz w:val="24"/>
          <w:szCs w:val="24"/>
        </w:rPr>
        <w:t xml:space="preserve"> 3-04, pretože sa nachádzajú aj v novom štvrťročnom výkaze finančného sektora. </w:t>
      </w:r>
    </w:p>
    <w:p w14:paraId="59A28AB6" w14:textId="05658D0B" w:rsidR="0016307C" w:rsidRPr="008711A7" w:rsidRDefault="0016307C" w:rsidP="0016307C">
      <w:pPr>
        <w:spacing w:after="0" w:line="276" w:lineRule="auto"/>
        <w:jc w:val="both"/>
        <w:rPr>
          <w:rFonts w:ascii="Times New Roman" w:eastAsia="Calibri" w:hAnsi="Times New Roman" w:cs="Times New Roman"/>
          <w:bCs/>
          <w:iCs/>
          <w:sz w:val="24"/>
          <w:szCs w:val="24"/>
        </w:rPr>
      </w:pPr>
      <w:r w:rsidRPr="00107678">
        <w:rPr>
          <w:rFonts w:ascii="Times New Roman" w:eastAsia="Calibri" w:hAnsi="Times New Roman" w:cs="Times New Roman"/>
          <w:bCs/>
          <w:iCs/>
          <w:color w:val="000000"/>
          <w:sz w:val="24"/>
          <w:szCs w:val="24"/>
        </w:rPr>
        <w:t xml:space="preserve">Zdroj početností: Register organizácií vedený úradom, veľkosť výberového súboru </w:t>
      </w:r>
      <w:r w:rsidRPr="00107678">
        <w:rPr>
          <w:rFonts w:ascii="Times New Roman" w:eastAsia="Calibri" w:hAnsi="Times New Roman" w:cs="Times New Roman"/>
          <w:bCs/>
          <w:iCs/>
          <w:sz w:val="24"/>
          <w:szCs w:val="24"/>
        </w:rPr>
        <w:t>subjekt</w:t>
      </w:r>
      <w:r w:rsidR="005C4050" w:rsidRPr="00107678">
        <w:rPr>
          <w:rFonts w:ascii="Times New Roman" w:eastAsia="Calibri" w:hAnsi="Times New Roman" w:cs="Times New Roman"/>
          <w:bCs/>
          <w:iCs/>
          <w:sz w:val="24"/>
          <w:szCs w:val="24"/>
        </w:rPr>
        <w:t>ov</w:t>
      </w:r>
      <w:r w:rsidRPr="00107678">
        <w:rPr>
          <w:rFonts w:ascii="Times New Roman" w:eastAsia="Calibri" w:hAnsi="Times New Roman" w:cs="Times New Roman"/>
          <w:bCs/>
          <w:iCs/>
          <w:sz w:val="24"/>
          <w:szCs w:val="24"/>
        </w:rPr>
        <w:t xml:space="preserve"> finančného sektora  (204 spravodajských jednotiek).</w:t>
      </w:r>
      <w:r w:rsidRPr="008711A7">
        <w:rPr>
          <w:rFonts w:ascii="Times New Roman" w:eastAsia="Calibri" w:hAnsi="Times New Roman" w:cs="Times New Roman"/>
          <w:bCs/>
          <w:iCs/>
          <w:sz w:val="24"/>
          <w:szCs w:val="24"/>
        </w:rPr>
        <w:t xml:space="preserve">  </w:t>
      </w:r>
    </w:p>
    <w:p w14:paraId="4BB04481" w14:textId="77777777" w:rsidR="0016307C" w:rsidRDefault="0016307C" w:rsidP="007308F0">
      <w:pPr>
        <w:spacing w:after="0" w:line="276" w:lineRule="auto"/>
        <w:jc w:val="both"/>
        <w:rPr>
          <w:rFonts w:ascii="Times New Roman" w:eastAsia="Calibri" w:hAnsi="Times New Roman" w:cs="Times New Roman"/>
          <w:b/>
          <w:bCs/>
          <w:iCs/>
          <w:sz w:val="24"/>
          <w:szCs w:val="24"/>
        </w:rPr>
      </w:pPr>
    </w:p>
    <w:p w14:paraId="4440E147" w14:textId="49F3AD42" w:rsidR="006F04FF" w:rsidRPr="00C612E7" w:rsidRDefault="00107678" w:rsidP="007308F0">
      <w:pPr>
        <w:spacing w:after="0" w:line="276" w:lineRule="auto"/>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 xml:space="preserve">5. </w:t>
      </w:r>
      <w:r w:rsidR="003B56F5">
        <w:rPr>
          <w:rFonts w:ascii="Times New Roman" w:eastAsia="Calibri" w:hAnsi="Times New Roman" w:cs="Times New Roman"/>
          <w:bCs/>
          <w:iCs/>
          <w:color w:val="000000"/>
          <w:sz w:val="24"/>
          <w:szCs w:val="24"/>
          <w:u w:val="single"/>
        </w:rPr>
        <w:t xml:space="preserve">až 8. </w:t>
      </w:r>
      <w:r w:rsidR="006F04FF" w:rsidRPr="00C612E7">
        <w:rPr>
          <w:rFonts w:ascii="Times New Roman" w:eastAsia="Calibri" w:hAnsi="Times New Roman" w:cs="Times New Roman"/>
          <w:bCs/>
          <w:iCs/>
          <w:color w:val="000000"/>
          <w:sz w:val="24"/>
          <w:szCs w:val="24"/>
          <w:u w:val="single"/>
        </w:rPr>
        <w:t xml:space="preserve">EV OB 1-12 Konjunkturálny prieskum v obchode, EV PRIEM 1-12 Konjunkturálny prieskum v priemysle, EV STAV 1-12, Konjunkturálny prieskum v stavebníctva, EV VTS 1-12 Konjunkturálny prieskum vo vybraných odvetviach služieb </w:t>
      </w:r>
    </w:p>
    <w:p w14:paraId="080F4786" w14:textId="77777777" w:rsidR="008A2831" w:rsidRDefault="00023155" w:rsidP="007308F0">
      <w:pPr>
        <w:spacing w:after="0" w:line="276" w:lineRule="auto"/>
        <w:jc w:val="both"/>
        <w:rPr>
          <w:rFonts w:ascii="Times New Roman" w:eastAsia="Calibri" w:hAnsi="Times New Roman" w:cs="Times New Roman"/>
          <w:bCs/>
          <w:iCs/>
          <w:color w:val="000000"/>
          <w:sz w:val="24"/>
          <w:szCs w:val="24"/>
        </w:rPr>
      </w:pPr>
      <w:r w:rsidRPr="00023155">
        <w:rPr>
          <w:rFonts w:ascii="Times New Roman" w:eastAsia="Calibri" w:hAnsi="Times New Roman" w:cs="Times New Roman"/>
          <w:bCs/>
          <w:iCs/>
          <w:color w:val="000000"/>
          <w:sz w:val="24"/>
          <w:szCs w:val="24"/>
        </w:rPr>
        <w:t>Zara</w:t>
      </w:r>
      <w:r w:rsidR="00C612E7">
        <w:rPr>
          <w:rFonts w:ascii="Times New Roman" w:eastAsia="Calibri" w:hAnsi="Times New Roman" w:cs="Times New Roman"/>
          <w:bCs/>
          <w:iCs/>
          <w:color w:val="000000"/>
          <w:sz w:val="24"/>
          <w:szCs w:val="24"/>
        </w:rPr>
        <w:t>ď</w:t>
      </w:r>
      <w:r w:rsidRPr="00023155">
        <w:rPr>
          <w:rFonts w:ascii="Times New Roman" w:eastAsia="Calibri" w:hAnsi="Times New Roman" w:cs="Times New Roman"/>
          <w:bCs/>
          <w:iCs/>
          <w:color w:val="000000"/>
          <w:sz w:val="24"/>
          <w:szCs w:val="24"/>
        </w:rPr>
        <w:t>ujú sa nové zisťovania EV OB 1-12, EV PRIEM 1-12, EV STAV 1-12 a EV VTS 1-12, pričom spravodajská povinnosť vyplýva pre 3 050 spravodajských jednotiek (subjektov v</w:t>
      </w:r>
      <w:r w:rsidR="007308F0">
        <w:rPr>
          <w:rFonts w:ascii="Times New Roman" w:eastAsia="Calibri" w:hAnsi="Times New Roman" w:cs="Times New Roman"/>
          <w:bCs/>
          <w:iCs/>
          <w:color w:val="000000"/>
          <w:sz w:val="24"/>
          <w:szCs w:val="24"/>
        </w:rPr>
        <w:t> </w:t>
      </w:r>
      <w:r w:rsidRPr="00023155">
        <w:rPr>
          <w:rFonts w:ascii="Times New Roman" w:eastAsia="Calibri" w:hAnsi="Times New Roman" w:cs="Times New Roman"/>
          <w:bCs/>
          <w:iCs/>
          <w:color w:val="000000"/>
          <w:sz w:val="24"/>
          <w:szCs w:val="24"/>
        </w:rPr>
        <w:t>oblasti maloobchodu, priemyselnej výr</w:t>
      </w:r>
      <w:r>
        <w:rPr>
          <w:rFonts w:ascii="Times New Roman" w:eastAsia="Calibri" w:hAnsi="Times New Roman" w:cs="Times New Roman"/>
          <w:bCs/>
          <w:iCs/>
          <w:color w:val="000000"/>
          <w:sz w:val="24"/>
          <w:szCs w:val="24"/>
        </w:rPr>
        <w:t xml:space="preserve">oby, stavebníctva a služieb). </w:t>
      </w:r>
      <w:r w:rsidRPr="00023155">
        <w:rPr>
          <w:rFonts w:ascii="Times New Roman" w:eastAsia="Calibri" w:hAnsi="Times New Roman" w:cs="Times New Roman"/>
          <w:bCs/>
          <w:iCs/>
          <w:color w:val="000000"/>
          <w:sz w:val="24"/>
          <w:szCs w:val="24"/>
        </w:rPr>
        <w:t xml:space="preserve">O poskytovanie údajov boli spravodajské jednotky požiadané už v predchádzajúcich obdobiach, potrebné údaje však poskytovali na báze dobrovoľnosti. Priemerný čas potrebný na vyplnenie štatistických formulárov bol na základe predchádzajúcej praxe a stručného rozsahu dokumentu odhadnutý na 10 minút mesačne (t. j. 2 hodiny ročne).Tieto zisťovania predstavujú pre podnikateľské prostredie ročnú administratívnu záťaž v celkovej výške 84 121,86 </w:t>
      </w:r>
      <w:r w:rsidR="006231CD">
        <w:rPr>
          <w:rFonts w:ascii="Times New Roman" w:eastAsia="Calibri" w:hAnsi="Times New Roman" w:cs="Times New Roman"/>
          <w:bCs/>
          <w:iCs/>
          <w:color w:val="000000"/>
          <w:sz w:val="24"/>
          <w:szCs w:val="24"/>
        </w:rPr>
        <w:t>eur</w:t>
      </w:r>
      <w:r w:rsidRPr="00023155">
        <w:rPr>
          <w:rFonts w:ascii="Times New Roman" w:eastAsia="Calibri" w:hAnsi="Times New Roman" w:cs="Times New Roman"/>
          <w:bCs/>
          <w:iCs/>
          <w:color w:val="000000"/>
          <w:sz w:val="24"/>
          <w:szCs w:val="24"/>
        </w:rPr>
        <w:t xml:space="preserve">, pričom priemerný ročný náklad na jeden podnikateľský subjekt predstavuje jednotne cca 28 </w:t>
      </w:r>
      <w:r w:rsidR="006231CD">
        <w:rPr>
          <w:rFonts w:ascii="Times New Roman" w:eastAsia="Calibri" w:hAnsi="Times New Roman" w:cs="Times New Roman"/>
          <w:bCs/>
          <w:iCs/>
          <w:color w:val="000000"/>
          <w:sz w:val="24"/>
          <w:szCs w:val="24"/>
        </w:rPr>
        <w:t>eur</w:t>
      </w:r>
      <w:r>
        <w:rPr>
          <w:rFonts w:ascii="Times New Roman" w:eastAsia="Calibri" w:hAnsi="Times New Roman" w:cs="Times New Roman"/>
          <w:bCs/>
          <w:iCs/>
          <w:color w:val="000000"/>
          <w:sz w:val="24"/>
          <w:szCs w:val="24"/>
        </w:rPr>
        <w:t xml:space="preserve"> </w:t>
      </w:r>
      <w:r w:rsidRPr="00023155">
        <w:rPr>
          <w:rFonts w:ascii="Times New Roman" w:eastAsia="Calibri" w:hAnsi="Times New Roman" w:cs="Times New Roman"/>
          <w:bCs/>
          <w:iCs/>
          <w:color w:val="000000"/>
          <w:sz w:val="24"/>
          <w:szCs w:val="24"/>
        </w:rPr>
        <w:t xml:space="preserve">(t. j. približne 2,30 </w:t>
      </w:r>
      <w:r w:rsidR="006231CD">
        <w:rPr>
          <w:rFonts w:ascii="Times New Roman" w:eastAsia="Calibri" w:hAnsi="Times New Roman" w:cs="Times New Roman"/>
          <w:bCs/>
          <w:iCs/>
          <w:color w:val="000000"/>
          <w:sz w:val="24"/>
          <w:szCs w:val="24"/>
        </w:rPr>
        <w:t>eur</w:t>
      </w:r>
      <w:r w:rsidRPr="00023155">
        <w:rPr>
          <w:rFonts w:ascii="Times New Roman" w:eastAsia="Calibri" w:hAnsi="Times New Roman" w:cs="Times New Roman"/>
          <w:bCs/>
          <w:iCs/>
          <w:color w:val="000000"/>
          <w:sz w:val="24"/>
          <w:szCs w:val="24"/>
        </w:rPr>
        <w:t xml:space="preserve"> na jedno mesačné hlásenie)</w:t>
      </w:r>
      <w:r>
        <w:rPr>
          <w:rFonts w:ascii="Times New Roman" w:eastAsia="Calibri" w:hAnsi="Times New Roman" w:cs="Times New Roman"/>
          <w:bCs/>
          <w:iCs/>
          <w:color w:val="000000"/>
          <w:sz w:val="24"/>
          <w:szCs w:val="24"/>
        </w:rPr>
        <w:t xml:space="preserve">. </w:t>
      </w:r>
      <w:r w:rsidR="006E4374">
        <w:rPr>
          <w:rFonts w:ascii="Times New Roman" w:eastAsia="Calibri" w:hAnsi="Times New Roman" w:cs="Times New Roman"/>
          <w:bCs/>
          <w:iCs/>
          <w:color w:val="000000"/>
          <w:sz w:val="24"/>
          <w:szCs w:val="24"/>
        </w:rPr>
        <w:t>Náklady vyplývajúce z uvedenej zvýšenej administratívnej záťaže teda dosahujú marginálnu úroveň, pretože spravodajská povinnosť vzniká podnikateľovi len pri realizácii konjunkturálneho prieskumu v oblasti, v ktorej podnikateľsky pôsobí.</w:t>
      </w:r>
      <w:r w:rsidR="006E4374" w:rsidRPr="006E4374">
        <w:rPr>
          <w:rFonts w:ascii="Times New Roman" w:eastAsia="Calibri" w:hAnsi="Times New Roman" w:cs="Times New Roman"/>
          <w:bCs/>
          <w:iCs/>
          <w:color w:val="000000"/>
          <w:sz w:val="24"/>
          <w:szCs w:val="24"/>
        </w:rPr>
        <w:t xml:space="preserve"> </w:t>
      </w:r>
      <w:r w:rsidR="006E4374">
        <w:rPr>
          <w:rFonts w:ascii="Times New Roman" w:eastAsia="Calibri" w:hAnsi="Times New Roman" w:cs="Times New Roman"/>
          <w:bCs/>
          <w:iCs/>
          <w:color w:val="000000"/>
          <w:sz w:val="24"/>
          <w:szCs w:val="24"/>
        </w:rPr>
        <w:t>P</w:t>
      </w:r>
      <w:r w:rsidR="006E4374" w:rsidRPr="00023155">
        <w:rPr>
          <w:rFonts w:ascii="Times New Roman" w:eastAsia="Calibri" w:hAnsi="Times New Roman" w:cs="Times New Roman"/>
          <w:bCs/>
          <w:iCs/>
          <w:color w:val="000000"/>
          <w:sz w:val="24"/>
          <w:szCs w:val="24"/>
        </w:rPr>
        <w:t>odrobná špecifikácia je uvedená v pripojenej tabuľke nákladov reguláci</w:t>
      </w:r>
      <w:r w:rsidR="006E4374">
        <w:rPr>
          <w:rFonts w:ascii="Times New Roman" w:eastAsia="Calibri" w:hAnsi="Times New Roman" w:cs="Times New Roman"/>
          <w:bCs/>
          <w:iCs/>
          <w:color w:val="000000"/>
          <w:sz w:val="24"/>
          <w:szCs w:val="24"/>
        </w:rPr>
        <w:t>e.</w:t>
      </w:r>
    </w:p>
    <w:p w14:paraId="4D379447" w14:textId="77777777" w:rsidR="00C612E7" w:rsidRDefault="00C612E7" w:rsidP="007308F0">
      <w:pPr>
        <w:spacing w:after="0" w:line="276" w:lineRule="auto"/>
        <w:jc w:val="both"/>
        <w:rPr>
          <w:rFonts w:ascii="Times New Roman" w:eastAsia="Calibri" w:hAnsi="Times New Roman" w:cs="Times New Roman"/>
          <w:bCs/>
          <w:iCs/>
          <w:color w:val="000000"/>
          <w:sz w:val="24"/>
          <w:szCs w:val="24"/>
          <w:u w:val="single"/>
        </w:rPr>
      </w:pPr>
    </w:p>
    <w:p w14:paraId="68405543" w14:textId="46F34E59" w:rsidR="00AB042E" w:rsidRDefault="003B56F5" w:rsidP="007308F0">
      <w:pPr>
        <w:spacing w:after="0" w:line="276" w:lineRule="auto"/>
        <w:ind w:left="708"/>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u w:val="single"/>
        </w:rPr>
        <w:t xml:space="preserve">5. </w:t>
      </w:r>
      <w:r w:rsidR="00C612E7">
        <w:rPr>
          <w:rFonts w:ascii="Times New Roman" w:eastAsia="Calibri" w:hAnsi="Times New Roman" w:cs="Times New Roman"/>
          <w:bCs/>
          <w:iCs/>
          <w:color w:val="000000"/>
          <w:sz w:val="24"/>
          <w:szCs w:val="24"/>
          <w:u w:val="single"/>
        </w:rPr>
        <w:t xml:space="preserve">Doplňujúce informácie k zisťovaniu </w:t>
      </w:r>
      <w:r w:rsidR="00AB042E" w:rsidRPr="00AB042E">
        <w:rPr>
          <w:rFonts w:ascii="Times New Roman" w:eastAsia="Calibri" w:hAnsi="Times New Roman" w:cs="Times New Roman"/>
          <w:bCs/>
          <w:iCs/>
          <w:color w:val="000000"/>
          <w:sz w:val="24"/>
          <w:szCs w:val="24"/>
          <w:u w:val="single"/>
        </w:rPr>
        <w:t>EV OB 1-12 Konjunkturálny prieskum v obchode</w:t>
      </w:r>
      <w:r w:rsidR="00AB042E">
        <w:rPr>
          <w:rFonts w:ascii="Times New Roman" w:eastAsia="Calibri" w:hAnsi="Times New Roman" w:cs="Times New Roman"/>
          <w:bCs/>
          <w:iCs/>
          <w:color w:val="000000"/>
          <w:sz w:val="24"/>
          <w:szCs w:val="24"/>
        </w:rPr>
        <w:t xml:space="preserve"> </w:t>
      </w:r>
    </w:p>
    <w:p w14:paraId="0713D3A5" w14:textId="77777777" w:rsidR="00AB042E" w:rsidRDefault="00AB042E" w:rsidP="007308F0">
      <w:pPr>
        <w:spacing w:after="0" w:line="276" w:lineRule="auto"/>
        <w:ind w:left="708"/>
        <w:jc w:val="both"/>
        <w:rPr>
          <w:rFonts w:ascii="Times New Roman" w:eastAsia="Calibri" w:hAnsi="Times New Roman" w:cs="Times New Roman"/>
          <w:bCs/>
          <w:iCs/>
          <w:color w:val="000000"/>
          <w:sz w:val="24"/>
          <w:szCs w:val="24"/>
        </w:rPr>
      </w:pPr>
      <w:r w:rsidRPr="00AB042E">
        <w:rPr>
          <w:rFonts w:ascii="Times New Roman" w:eastAsia="Calibri" w:hAnsi="Times New Roman" w:cs="Times New Roman"/>
          <w:bCs/>
          <w:iCs/>
          <w:color w:val="000000"/>
          <w:sz w:val="24"/>
          <w:szCs w:val="24"/>
        </w:rPr>
        <w:t>Typ nákladu: E. Administratívne náklady (informačná povinnosť – plnenie spravodajskej povinnosti).</w:t>
      </w:r>
    </w:p>
    <w:p w14:paraId="1EAB0E6D" w14:textId="77777777" w:rsidR="00AB042E" w:rsidRDefault="00AB042E" w:rsidP="007308F0">
      <w:pPr>
        <w:spacing w:after="0" w:line="276" w:lineRule="auto"/>
        <w:ind w:left="708"/>
        <w:jc w:val="both"/>
        <w:rPr>
          <w:rFonts w:ascii="Times New Roman" w:eastAsia="Calibri" w:hAnsi="Times New Roman" w:cs="Times New Roman"/>
          <w:bCs/>
          <w:iCs/>
          <w:color w:val="000000"/>
          <w:sz w:val="24"/>
          <w:szCs w:val="24"/>
        </w:rPr>
      </w:pPr>
      <w:r w:rsidRPr="00C149EC">
        <w:rPr>
          <w:rFonts w:ascii="Times New Roman" w:eastAsia="Calibri" w:hAnsi="Times New Roman" w:cs="Times New Roman"/>
          <w:bCs/>
          <w:iCs/>
          <w:color w:val="000000"/>
          <w:sz w:val="24"/>
          <w:szCs w:val="24"/>
        </w:rPr>
        <w:lastRenderedPageBreak/>
        <w:t xml:space="preserve">Zdroj početností: Register organizácií </w:t>
      </w:r>
      <w:r w:rsidR="00F15A3A" w:rsidRPr="00C149EC">
        <w:rPr>
          <w:rFonts w:ascii="Times New Roman" w:eastAsia="Calibri" w:hAnsi="Times New Roman" w:cs="Times New Roman"/>
          <w:bCs/>
          <w:iCs/>
          <w:color w:val="000000"/>
          <w:sz w:val="24"/>
          <w:szCs w:val="24"/>
        </w:rPr>
        <w:t>vedený úradom</w:t>
      </w:r>
      <w:r w:rsidRPr="00C149EC">
        <w:rPr>
          <w:rFonts w:ascii="Times New Roman" w:eastAsia="Calibri" w:hAnsi="Times New Roman" w:cs="Times New Roman"/>
          <w:bCs/>
          <w:iCs/>
          <w:color w:val="000000"/>
          <w:sz w:val="24"/>
          <w:szCs w:val="24"/>
        </w:rPr>
        <w:t>, veľkosť výberového súboru pre oblasť maloobchodu a obchodu s motorovými vozidlami (530 spravodajských jednotiek).</w:t>
      </w:r>
      <w:r w:rsidRPr="00AB042E">
        <w:rPr>
          <w:rFonts w:ascii="Times New Roman" w:eastAsia="Calibri" w:hAnsi="Times New Roman" w:cs="Times New Roman"/>
          <w:bCs/>
          <w:iCs/>
          <w:color w:val="000000"/>
          <w:sz w:val="24"/>
          <w:szCs w:val="24"/>
        </w:rPr>
        <w:t xml:space="preserve">   </w:t>
      </w:r>
    </w:p>
    <w:p w14:paraId="235528E4" w14:textId="77777777" w:rsidR="00AB042E" w:rsidRDefault="00AB042E" w:rsidP="007308F0">
      <w:pPr>
        <w:spacing w:after="0" w:line="276" w:lineRule="auto"/>
        <w:ind w:left="708"/>
        <w:jc w:val="both"/>
        <w:rPr>
          <w:rFonts w:ascii="Times New Roman" w:eastAsia="Calibri" w:hAnsi="Times New Roman" w:cs="Times New Roman"/>
          <w:bCs/>
          <w:iCs/>
          <w:color w:val="000000"/>
          <w:sz w:val="24"/>
          <w:szCs w:val="24"/>
        </w:rPr>
      </w:pPr>
      <w:r w:rsidRPr="00AB042E">
        <w:rPr>
          <w:rFonts w:ascii="Times New Roman" w:eastAsia="Calibri" w:hAnsi="Times New Roman" w:cs="Times New Roman"/>
          <w:bCs/>
          <w:iCs/>
          <w:color w:val="000000"/>
          <w:sz w:val="24"/>
          <w:szCs w:val="24"/>
        </w:rPr>
        <w:t xml:space="preserve">Spôsob výpočtu vplyvov: O poskytovanie údajov boli spravodajské jednotky požiadané už v predchádzajúcich obdobiach, potrebné údaje však poskytovali na báze dobrovoľnosti. Priemerný čas potrebný na vyplnenie štatistického formulára bol na základe predchádzajúcej praxe a stručného kvalitatívneho rozsahu dokumentu odhadnutý na 10 minút mesačne (12 mesiacov × 10 minút = 2 hodiny ročne na subjekt). Pri uplatnení štandardnej hodinovej mzdovej sadzby zamestnanca v Kalkulačke nákladov MH SR predstavuje ročný administratívny náklad na 1 podnikateľský subjekt 27,58 </w:t>
      </w:r>
      <w:r w:rsidR="00AE2DB2">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 xml:space="preserve"> (zaokrúhlene 28 </w:t>
      </w:r>
      <w:r w:rsidR="00AE2DB2">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 xml:space="preserve">). Celkový ročný vplyv na kategóriu predstavuje 14 618 </w:t>
      </w:r>
      <w:r w:rsidR="00AE2DB2">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 xml:space="preserve"> (530 subjektov × 27,58 </w:t>
      </w:r>
      <w:r w:rsidR="00AE2DB2">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w:t>
      </w:r>
    </w:p>
    <w:p w14:paraId="150E7CA3" w14:textId="77777777" w:rsidR="00C612E7" w:rsidRPr="00C612E7" w:rsidRDefault="00C612E7" w:rsidP="007308F0">
      <w:pPr>
        <w:spacing w:after="0" w:line="276" w:lineRule="auto"/>
        <w:ind w:left="708"/>
        <w:jc w:val="both"/>
        <w:rPr>
          <w:rFonts w:ascii="Times New Roman" w:eastAsia="Calibri" w:hAnsi="Times New Roman" w:cs="Times New Roman"/>
          <w:bCs/>
          <w:iCs/>
          <w:color w:val="000000"/>
          <w:sz w:val="24"/>
          <w:szCs w:val="24"/>
          <w:u w:val="single"/>
        </w:rPr>
      </w:pPr>
    </w:p>
    <w:p w14:paraId="67D02977" w14:textId="41DE2382" w:rsidR="00AB042E" w:rsidRPr="00C612E7" w:rsidRDefault="003B56F5" w:rsidP="007308F0">
      <w:pPr>
        <w:spacing w:after="0" w:line="276" w:lineRule="auto"/>
        <w:ind w:left="708"/>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 xml:space="preserve">6. </w:t>
      </w:r>
      <w:r w:rsidR="00C612E7" w:rsidRPr="00C612E7">
        <w:rPr>
          <w:rFonts w:ascii="Times New Roman" w:eastAsia="Calibri" w:hAnsi="Times New Roman" w:cs="Times New Roman"/>
          <w:bCs/>
          <w:iCs/>
          <w:color w:val="000000"/>
          <w:sz w:val="24"/>
          <w:szCs w:val="24"/>
          <w:u w:val="single"/>
        </w:rPr>
        <w:t xml:space="preserve">Doplňujúce informácie k zisťovaniu </w:t>
      </w:r>
      <w:r w:rsidR="00AB042E" w:rsidRPr="00C612E7">
        <w:rPr>
          <w:rFonts w:ascii="Times New Roman" w:eastAsia="Calibri" w:hAnsi="Times New Roman" w:cs="Times New Roman"/>
          <w:bCs/>
          <w:iCs/>
          <w:color w:val="000000"/>
          <w:sz w:val="24"/>
          <w:szCs w:val="24"/>
          <w:u w:val="single"/>
        </w:rPr>
        <w:t>EV PRIEM 1-12 Konjunkturálny prieskum v priemysle</w:t>
      </w:r>
    </w:p>
    <w:p w14:paraId="37D3B989" w14:textId="77777777" w:rsidR="00AB042E" w:rsidRPr="00C612E7" w:rsidRDefault="00AB042E" w:rsidP="007308F0">
      <w:pPr>
        <w:spacing w:after="0" w:line="276" w:lineRule="auto"/>
        <w:ind w:left="708"/>
        <w:jc w:val="both"/>
        <w:rPr>
          <w:rFonts w:ascii="Times New Roman" w:eastAsia="Calibri" w:hAnsi="Times New Roman" w:cs="Times New Roman"/>
          <w:bCs/>
          <w:iCs/>
          <w:color w:val="000000"/>
          <w:sz w:val="24"/>
          <w:szCs w:val="24"/>
        </w:rPr>
      </w:pPr>
      <w:r w:rsidRPr="00C612E7">
        <w:rPr>
          <w:rFonts w:ascii="Times New Roman" w:eastAsia="Calibri" w:hAnsi="Times New Roman" w:cs="Times New Roman"/>
          <w:bCs/>
          <w:iCs/>
          <w:color w:val="000000"/>
          <w:sz w:val="24"/>
          <w:szCs w:val="24"/>
        </w:rPr>
        <w:t>Typ nákladu: E. Administratívne náklady (informačná povinnosť – plnenie spravodajskej povinnosti).</w:t>
      </w:r>
    </w:p>
    <w:p w14:paraId="5081878C" w14:textId="77777777" w:rsidR="00AB042E" w:rsidRPr="00C612E7" w:rsidRDefault="00AB042E" w:rsidP="007308F0">
      <w:pPr>
        <w:spacing w:after="0" w:line="276" w:lineRule="auto"/>
        <w:ind w:left="708"/>
        <w:jc w:val="both"/>
        <w:rPr>
          <w:rFonts w:ascii="Times New Roman" w:eastAsia="Calibri" w:hAnsi="Times New Roman" w:cs="Times New Roman"/>
          <w:bCs/>
          <w:iCs/>
          <w:color w:val="000000"/>
          <w:sz w:val="24"/>
          <w:szCs w:val="24"/>
        </w:rPr>
      </w:pPr>
      <w:r w:rsidRPr="00C612E7">
        <w:rPr>
          <w:rFonts w:ascii="Times New Roman" w:eastAsia="Calibri" w:hAnsi="Times New Roman" w:cs="Times New Roman"/>
          <w:bCs/>
          <w:iCs/>
          <w:color w:val="000000"/>
          <w:sz w:val="24"/>
          <w:szCs w:val="24"/>
        </w:rPr>
        <w:t xml:space="preserve">Zdroj početností: Register organizácií </w:t>
      </w:r>
      <w:r w:rsidR="00F15A3A">
        <w:rPr>
          <w:rFonts w:ascii="Times New Roman" w:eastAsia="Calibri" w:hAnsi="Times New Roman" w:cs="Times New Roman"/>
          <w:bCs/>
          <w:iCs/>
          <w:color w:val="000000"/>
          <w:sz w:val="24"/>
          <w:szCs w:val="24"/>
        </w:rPr>
        <w:t>vedený úradom</w:t>
      </w:r>
      <w:r w:rsidRPr="00C612E7">
        <w:rPr>
          <w:rFonts w:ascii="Times New Roman" w:eastAsia="Calibri" w:hAnsi="Times New Roman" w:cs="Times New Roman"/>
          <w:bCs/>
          <w:iCs/>
          <w:color w:val="000000"/>
          <w:sz w:val="24"/>
          <w:szCs w:val="24"/>
        </w:rPr>
        <w:t xml:space="preserve">, veľkosť výberového súboru pre subjekty priemyselnej výroby (1 000 spravodajských jednotiek).   </w:t>
      </w:r>
    </w:p>
    <w:p w14:paraId="1439EA57" w14:textId="77777777" w:rsidR="00AB042E" w:rsidRPr="00C612E7" w:rsidRDefault="00AB042E" w:rsidP="007308F0">
      <w:pPr>
        <w:spacing w:after="0" w:line="276" w:lineRule="auto"/>
        <w:ind w:left="708"/>
        <w:jc w:val="both"/>
        <w:rPr>
          <w:rFonts w:ascii="Times New Roman" w:eastAsia="Calibri" w:hAnsi="Times New Roman" w:cs="Times New Roman"/>
          <w:bCs/>
          <w:iCs/>
          <w:color w:val="000000"/>
          <w:sz w:val="24"/>
          <w:szCs w:val="24"/>
        </w:rPr>
      </w:pPr>
      <w:r w:rsidRPr="00C612E7">
        <w:rPr>
          <w:rFonts w:ascii="Times New Roman" w:eastAsia="Calibri" w:hAnsi="Times New Roman" w:cs="Times New Roman"/>
          <w:bCs/>
          <w:iCs/>
          <w:color w:val="000000"/>
          <w:sz w:val="24"/>
          <w:szCs w:val="24"/>
        </w:rPr>
        <w:t xml:space="preserve">Spôsob výpočtu vplyvov: Uplatnený rovnaký metodický postup ako EV OB 1-12 Konjunkturálny prieskum v obchode. Ide o formalizáciu doterajšieho zberu na báze dobrovoľnosti s odhadovaným časom vyplnenia 10 minút mesačne (2 hodiny ročne na subjekt). Ročný náklad na 1 subjekt predstavuje 27,58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 xml:space="preserve"> (zaokrúhlene 28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 xml:space="preserve">). Celkový ročný vplyv na kategóriu predstavuje 27 581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 xml:space="preserve"> (1 000 subjektov × 27,581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w:t>
      </w:r>
    </w:p>
    <w:p w14:paraId="0CDFD557" w14:textId="77777777" w:rsidR="00C612E7" w:rsidRPr="00C612E7" w:rsidRDefault="00C612E7" w:rsidP="007308F0">
      <w:pPr>
        <w:spacing w:after="0" w:line="276" w:lineRule="auto"/>
        <w:ind w:left="708"/>
        <w:jc w:val="both"/>
        <w:rPr>
          <w:rFonts w:ascii="Times New Roman" w:eastAsia="Calibri" w:hAnsi="Times New Roman" w:cs="Times New Roman"/>
          <w:bCs/>
          <w:iCs/>
          <w:color w:val="000000"/>
          <w:sz w:val="24"/>
          <w:szCs w:val="24"/>
          <w:u w:val="single"/>
        </w:rPr>
      </w:pPr>
    </w:p>
    <w:p w14:paraId="020813E5" w14:textId="7F9EA693" w:rsidR="00AB042E" w:rsidRPr="00C612E7" w:rsidRDefault="003B56F5" w:rsidP="007308F0">
      <w:pPr>
        <w:spacing w:after="0" w:line="276" w:lineRule="auto"/>
        <w:ind w:left="708"/>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 xml:space="preserve">7. </w:t>
      </w:r>
      <w:r w:rsidR="00C612E7" w:rsidRPr="00C612E7">
        <w:rPr>
          <w:rFonts w:ascii="Times New Roman" w:eastAsia="Calibri" w:hAnsi="Times New Roman" w:cs="Times New Roman"/>
          <w:bCs/>
          <w:iCs/>
          <w:color w:val="000000"/>
          <w:sz w:val="24"/>
          <w:szCs w:val="24"/>
          <w:u w:val="single"/>
        </w:rPr>
        <w:t xml:space="preserve">Doplňujúce informácie k zisťovaniu </w:t>
      </w:r>
      <w:r w:rsidR="00AB042E" w:rsidRPr="00C612E7">
        <w:rPr>
          <w:rFonts w:ascii="Times New Roman" w:eastAsia="Calibri" w:hAnsi="Times New Roman" w:cs="Times New Roman"/>
          <w:bCs/>
          <w:iCs/>
          <w:color w:val="000000"/>
          <w:sz w:val="24"/>
          <w:szCs w:val="24"/>
          <w:u w:val="single"/>
        </w:rPr>
        <w:t>EV STAV 1-12, Konjunkturálny prieskum v stavebníctva</w:t>
      </w:r>
    </w:p>
    <w:p w14:paraId="0AEFEEE5" w14:textId="77777777" w:rsidR="00AB042E" w:rsidRPr="00C612E7" w:rsidRDefault="00AB042E" w:rsidP="007308F0">
      <w:pPr>
        <w:spacing w:after="0" w:line="276" w:lineRule="auto"/>
        <w:ind w:left="708"/>
        <w:jc w:val="both"/>
        <w:rPr>
          <w:rFonts w:ascii="Times New Roman" w:eastAsia="Calibri" w:hAnsi="Times New Roman" w:cs="Times New Roman"/>
          <w:bCs/>
          <w:iCs/>
          <w:color w:val="000000"/>
          <w:sz w:val="24"/>
          <w:szCs w:val="24"/>
        </w:rPr>
      </w:pPr>
      <w:r w:rsidRPr="00C612E7">
        <w:rPr>
          <w:rFonts w:ascii="Times New Roman" w:eastAsia="Calibri" w:hAnsi="Times New Roman" w:cs="Times New Roman"/>
          <w:bCs/>
          <w:iCs/>
          <w:color w:val="000000"/>
          <w:sz w:val="24"/>
          <w:szCs w:val="24"/>
        </w:rPr>
        <w:t>Typ nákladu: E. Administratívne náklady (informačná povinnosť – plnenie spravodajskej povinnosti).</w:t>
      </w:r>
    </w:p>
    <w:p w14:paraId="31AC6B3C" w14:textId="77777777" w:rsidR="00AB042E" w:rsidRPr="00C612E7" w:rsidRDefault="00AB042E" w:rsidP="007308F0">
      <w:pPr>
        <w:spacing w:after="0" w:line="276" w:lineRule="auto"/>
        <w:ind w:left="708"/>
        <w:jc w:val="both"/>
        <w:rPr>
          <w:rFonts w:ascii="Times New Roman" w:eastAsia="Calibri" w:hAnsi="Times New Roman" w:cs="Times New Roman"/>
          <w:bCs/>
          <w:iCs/>
          <w:color w:val="000000"/>
          <w:sz w:val="24"/>
          <w:szCs w:val="24"/>
        </w:rPr>
      </w:pPr>
      <w:r w:rsidRPr="00C612E7">
        <w:rPr>
          <w:rFonts w:ascii="Times New Roman" w:eastAsia="Calibri" w:hAnsi="Times New Roman" w:cs="Times New Roman"/>
          <w:bCs/>
          <w:iCs/>
          <w:color w:val="000000"/>
          <w:sz w:val="24"/>
          <w:szCs w:val="24"/>
        </w:rPr>
        <w:t xml:space="preserve">Zdroj početností: Register organizácií </w:t>
      </w:r>
      <w:r w:rsidR="00F15A3A">
        <w:rPr>
          <w:rFonts w:ascii="Times New Roman" w:eastAsia="Calibri" w:hAnsi="Times New Roman" w:cs="Times New Roman"/>
          <w:bCs/>
          <w:iCs/>
          <w:color w:val="000000"/>
          <w:sz w:val="24"/>
          <w:szCs w:val="24"/>
        </w:rPr>
        <w:t>vedený úradom</w:t>
      </w:r>
      <w:r w:rsidRPr="00C612E7">
        <w:rPr>
          <w:rFonts w:ascii="Times New Roman" w:eastAsia="Calibri" w:hAnsi="Times New Roman" w:cs="Times New Roman"/>
          <w:bCs/>
          <w:iCs/>
          <w:color w:val="000000"/>
          <w:sz w:val="24"/>
          <w:szCs w:val="24"/>
        </w:rPr>
        <w:t xml:space="preserve">, veľkosť výberového súboru pre stavebníctvo (520 spravodajských jednotiek).  </w:t>
      </w:r>
    </w:p>
    <w:p w14:paraId="3E9AB56E" w14:textId="77777777" w:rsidR="00AB042E" w:rsidRPr="00C612E7" w:rsidRDefault="00AB042E" w:rsidP="007308F0">
      <w:pPr>
        <w:spacing w:after="0" w:line="276" w:lineRule="auto"/>
        <w:ind w:left="708"/>
        <w:jc w:val="both"/>
        <w:rPr>
          <w:rFonts w:ascii="Times New Roman" w:eastAsia="Calibri" w:hAnsi="Times New Roman" w:cs="Times New Roman"/>
          <w:bCs/>
          <w:iCs/>
          <w:color w:val="000000"/>
          <w:sz w:val="24"/>
          <w:szCs w:val="24"/>
        </w:rPr>
      </w:pPr>
      <w:r w:rsidRPr="00C612E7">
        <w:rPr>
          <w:rFonts w:ascii="Times New Roman" w:eastAsia="Calibri" w:hAnsi="Times New Roman" w:cs="Times New Roman"/>
          <w:bCs/>
          <w:iCs/>
          <w:color w:val="000000"/>
          <w:sz w:val="24"/>
          <w:szCs w:val="24"/>
        </w:rPr>
        <w:t>Spôsob výpočtu vplyvov: Uplatnený rovnaký metodický postup ako pri EV OB 1-12 Konjunkturálny prieskum v ob</w:t>
      </w:r>
      <w:r w:rsidR="006231CD">
        <w:rPr>
          <w:rFonts w:ascii="Times New Roman" w:eastAsia="Calibri" w:hAnsi="Times New Roman" w:cs="Times New Roman"/>
          <w:bCs/>
          <w:iCs/>
          <w:color w:val="000000"/>
          <w:sz w:val="24"/>
          <w:szCs w:val="24"/>
        </w:rPr>
        <w:t>chode</w:t>
      </w:r>
      <w:r w:rsidRPr="00C612E7">
        <w:rPr>
          <w:rFonts w:ascii="Times New Roman" w:eastAsia="Calibri" w:hAnsi="Times New Roman" w:cs="Times New Roman"/>
          <w:bCs/>
          <w:iCs/>
          <w:color w:val="000000"/>
          <w:sz w:val="24"/>
          <w:szCs w:val="24"/>
        </w:rPr>
        <w:t xml:space="preserve">. Údaje boli v minulosti poskytované dobrovoľne, časová náročnosť je odhadnutá na 10 minút mesačne (2 hodiny ročne na subjekt). Ročný náklad na 1 subjekt predstavuje 27,5805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 xml:space="preserve">. Celkový ročný vplyv na kategóriu predstavuje 14 341,86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 xml:space="preserve"> (520 subjektov × 27,5805 </w:t>
      </w:r>
      <w:r w:rsidR="006231CD">
        <w:rPr>
          <w:rFonts w:ascii="Times New Roman" w:eastAsia="Calibri" w:hAnsi="Times New Roman" w:cs="Times New Roman"/>
          <w:bCs/>
          <w:iCs/>
          <w:color w:val="000000"/>
          <w:sz w:val="24"/>
          <w:szCs w:val="24"/>
        </w:rPr>
        <w:t>eur</w:t>
      </w:r>
      <w:r w:rsidRPr="00C612E7">
        <w:rPr>
          <w:rFonts w:ascii="Times New Roman" w:eastAsia="Calibri" w:hAnsi="Times New Roman" w:cs="Times New Roman"/>
          <w:bCs/>
          <w:iCs/>
          <w:color w:val="000000"/>
          <w:sz w:val="24"/>
          <w:szCs w:val="24"/>
        </w:rPr>
        <w:t>)</w:t>
      </w:r>
    </w:p>
    <w:p w14:paraId="502F02FB" w14:textId="77777777" w:rsidR="00C612E7" w:rsidRDefault="00C612E7" w:rsidP="007308F0">
      <w:pPr>
        <w:spacing w:after="0" w:line="276" w:lineRule="auto"/>
        <w:ind w:left="708"/>
        <w:jc w:val="both"/>
        <w:rPr>
          <w:rFonts w:ascii="Times New Roman" w:eastAsia="Calibri" w:hAnsi="Times New Roman" w:cs="Times New Roman"/>
          <w:bCs/>
          <w:iCs/>
          <w:color w:val="000000"/>
          <w:sz w:val="24"/>
          <w:szCs w:val="24"/>
          <w:u w:val="single"/>
        </w:rPr>
      </w:pPr>
    </w:p>
    <w:p w14:paraId="36923A64" w14:textId="576F59E3" w:rsidR="00AB042E" w:rsidRDefault="003B56F5" w:rsidP="007308F0">
      <w:pPr>
        <w:spacing w:after="0" w:line="276" w:lineRule="auto"/>
        <w:ind w:left="708"/>
        <w:jc w:val="both"/>
        <w:rPr>
          <w:rFonts w:ascii="Times New Roman" w:eastAsia="Calibri" w:hAnsi="Times New Roman" w:cs="Times New Roman"/>
          <w:bCs/>
          <w:iCs/>
          <w:color w:val="000000"/>
          <w:sz w:val="24"/>
          <w:szCs w:val="24"/>
          <w:u w:val="single"/>
        </w:rPr>
      </w:pPr>
      <w:r>
        <w:rPr>
          <w:rFonts w:ascii="Times New Roman" w:eastAsia="Calibri" w:hAnsi="Times New Roman" w:cs="Times New Roman"/>
          <w:bCs/>
          <w:iCs/>
          <w:color w:val="000000"/>
          <w:sz w:val="24"/>
          <w:szCs w:val="24"/>
          <w:u w:val="single"/>
        </w:rPr>
        <w:t xml:space="preserve">8. </w:t>
      </w:r>
      <w:r w:rsidR="00C612E7" w:rsidRPr="00C612E7">
        <w:rPr>
          <w:rFonts w:ascii="Times New Roman" w:eastAsia="Calibri" w:hAnsi="Times New Roman" w:cs="Times New Roman"/>
          <w:bCs/>
          <w:iCs/>
          <w:color w:val="000000"/>
          <w:sz w:val="24"/>
          <w:szCs w:val="24"/>
          <w:u w:val="single"/>
        </w:rPr>
        <w:t xml:space="preserve">Doplňujúce informácie k zisťovaniu </w:t>
      </w:r>
      <w:r w:rsidR="00AB042E" w:rsidRPr="00C612E7">
        <w:rPr>
          <w:rFonts w:ascii="Times New Roman" w:eastAsia="Calibri" w:hAnsi="Times New Roman" w:cs="Times New Roman"/>
          <w:bCs/>
          <w:iCs/>
          <w:color w:val="000000"/>
          <w:sz w:val="24"/>
          <w:szCs w:val="24"/>
          <w:u w:val="single"/>
        </w:rPr>
        <w:t xml:space="preserve">EV VTS 1-12 Konjunkturálny prieskum vo vybraných odvetviach služieb </w:t>
      </w:r>
    </w:p>
    <w:p w14:paraId="22D6D4B0" w14:textId="77777777" w:rsidR="00AB042E" w:rsidRDefault="00AB042E" w:rsidP="007308F0">
      <w:pPr>
        <w:spacing w:after="0" w:line="276" w:lineRule="auto"/>
        <w:ind w:left="708"/>
        <w:jc w:val="both"/>
        <w:rPr>
          <w:rFonts w:ascii="Times New Roman" w:eastAsia="Calibri" w:hAnsi="Times New Roman" w:cs="Times New Roman"/>
          <w:bCs/>
          <w:iCs/>
          <w:color w:val="000000"/>
          <w:sz w:val="24"/>
          <w:szCs w:val="24"/>
        </w:rPr>
      </w:pPr>
      <w:r w:rsidRPr="00AB042E">
        <w:rPr>
          <w:rFonts w:ascii="Times New Roman" w:eastAsia="Calibri" w:hAnsi="Times New Roman" w:cs="Times New Roman"/>
          <w:bCs/>
          <w:iCs/>
          <w:color w:val="000000"/>
          <w:sz w:val="24"/>
          <w:szCs w:val="24"/>
        </w:rPr>
        <w:t>Typ nákladu: E. Administratívne náklady (informačná povinnosť – plnenie spravodajskej povinnosti).</w:t>
      </w:r>
    </w:p>
    <w:p w14:paraId="26AA2CEB" w14:textId="77777777" w:rsidR="00AB042E" w:rsidRDefault="00AB042E" w:rsidP="007308F0">
      <w:pPr>
        <w:spacing w:after="0" w:line="276" w:lineRule="auto"/>
        <w:ind w:left="708"/>
        <w:jc w:val="both"/>
        <w:rPr>
          <w:rFonts w:ascii="Times New Roman" w:eastAsia="Calibri" w:hAnsi="Times New Roman" w:cs="Times New Roman"/>
          <w:bCs/>
          <w:iCs/>
          <w:color w:val="000000"/>
          <w:sz w:val="24"/>
          <w:szCs w:val="24"/>
        </w:rPr>
      </w:pPr>
      <w:r w:rsidRPr="00AB042E">
        <w:rPr>
          <w:rFonts w:ascii="Times New Roman" w:eastAsia="Calibri" w:hAnsi="Times New Roman" w:cs="Times New Roman"/>
          <w:bCs/>
          <w:iCs/>
          <w:color w:val="000000"/>
          <w:sz w:val="24"/>
          <w:szCs w:val="24"/>
        </w:rPr>
        <w:t xml:space="preserve">Zdroj početností: Register organizácií </w:t>
      </w:r>
      <w:r w:rsidR="00F15A3A">
        <w:rPr>
          <w:rFonts w:ascii="Times New Roman" w:eastAsia="Calibri" w:hAnsi="Times New Roman" w:cs="Times New Roman"/>
          <w:bCs/>
          <w:iCs/>
          <w:color w:val="000000"/>
          <w:sz w:val="24"/>
          <w:szCs w:val="24"/>
        </w:rPr>
        <w:t>vedený úradom</w:t>
      </w:r>
      <w:r w:rsidRPr="00AB042E">
        <w:rPr>
          <w:rFonts w:ascii="Times New Roman" w:eastAsia="Calibri" w:hAnsi="Times New Roman" w:cs="Times New Roman"/>
          <w:bCs/>
          <w:iCs/>
          <w:color w:val="000000"/>
          <w:sz w:val="24"/>
          <w:szCs w:val="24"/>
        </w:rPr>
        <w:t>, veľkosť výberového súboru pre sektor vybraných trhových služieb (1 0</w:t>
      </w:r>
      <w:r w:rsidR="006231CD">
        <w:rPr>
          <w:rFonts w:ascii="Times New Roman" w:eastAsia="Calibri" w:hAnsi="Times New Roman" w:cs="Times New Roman"/>
          <w:bCs/>
          <w:iCs/>
          <w:color w:val="000000"/>
          <w:sz w:val="24"/>
          <w:szCs w:val="24"/>
        </w:rPr>
        <w:t>00 spravodajských jednotiek).</w:t>
      </w:r>
    </w:p>
    <w:p w14:paraId="698A0A10" w14:textId="77777777" w:rsidR="00AB042E" w:rsidRPr="00AB042E" w:rsidRDefault="00AB042E" w:rsidP="007308F0">
      <w:pPr>
        <w:spacing w:after="0" w:line="276" w:lineRule="auto"/>
        <w:ind w:left="708"/>
        <w:jc w:val="both"/>
        <w:rPr>
          <w:rFonts w:ascii="Times New Roman" w:eastAsia="Calibri" w:hAnsi="Times New Roman" w:cs="Times New Roman"/>
          <w:bCs/>
          <w:iCs/>
          <w:color w:val="000000"/>
          <w:sz w:val="24"/>
          <w:szCs w:val="24"/>
        </w:rPr>
      </w:pPr>
      <w:r w:rsidRPr="00AB042E">
        <w:rPr>
          <w:rFonts w:ascii="Times New Roman" w:eastAsia="Calibri" w:hAnsi="Times New Roman" w:cs="Times New Roman"/>
          <w:bCs/>
          <w:iCs/>
          <w:color w:val="000000"/>
          <w:sz w:val="24"/>
          <w:szCs w:val="24"/>
        </w:rPr>
        <w:lastRenderedPageBreak/>
        <w:t xml:space="preserve">Spôsob výpočtu vplyvov: Uplatnený rovnaký metodický postup ako pri EV OB 1-12 Konjunkturálny prieskum v obchode. Ide o formalizáciu doterajšieho zberu na báze dobrovoľnosti s odhadovaným časom vyplnenia 10 minút mesačne (2 hodiny ročne na subjekt). Ročný náklad na 1 subjekt predstavuje 27,58 </w:t>
      </w:r>
      <w:r w:rsidR="006231CD">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 xml:space="preserve"> (zaokrúhlene 28 </w:t>
      </w:r>
      <w:r w:rsidR="006231CD">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 xml:space="preserve">). Celkový ročný vplyv na kategóriu predstavuje 27 581 </w:t>
      </w:r>
      <w:r w:rsidR="006231CD">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 xml:space="preserve"> (1 000 subjektov × 27,581 </w:t>
      </w:r>
      <w:r w:rsidR="006231CD">
        <w:rPr>
          <w:rFonts w:ascii="Times New Roman" w:eastAsia="Calibri" w:hAnsi="Times New Roman" w:cs="Times New Roman"/>
          <w:bCs/>
          <w:iCs/>
          <w:color w:val="000000"/>
          <w:sz w:val="24"/>
          <w:szCs w:val="24"/>
        </w:rPr>
        <w:t>eur</w:t>
      </w:r>
      <w:r w:rsidRPr="00AB042E">
        <w:rPr>
          <w:rFonts w:ascii="Times New Roman" w:eastAsia="Calibri" w:hAnsi="Times New Roman" w:cs="Times New Roman"/>
          <w:bCs/>
          <w:iCs/>
          <w:color w:val="000000"/>
          <w:sz w:val="24"/>
          <w:szCs w:val="24"/>
        </w:rPr>
        <w:t>).</w:t>
      </w:r>
    </w:p>
    <w:p w14:paraId="1922833C" w14:textId="77777777" w:rsidR="003B56F5" w:rsidRDefault="003B56F5" w:rsidP="007308F0">
      <w:pPr>
        <w:spacing w:line="276" w:lineRule="auto"/>
        <w:rPr>
          <w:rFonts w:ascii="Times New Roman" w:eastAsia="Calibri" w:hAnsi="Times New Roman" w:cs="Times New Roman"/>
          <w:bCs/>
          <w:iCs/>
          <w:color w:val="000000"/>
          <w:sz w:val="24"/>
          <w:szCs w:val="24"/>
          <w:u w:val="single"/>
        </w:rPr>
      </w:pPr>
    </w:p>
    <w:p w14:paraId="70B66ADD"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212E8537"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10B95C3C"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321427B0" w14:textId="77777777"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4A436620" w14:textId="77777777" w:rsidR="002D6F52" w:rsidRDefault="00D114ED" w:rsidP="00C612E7">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16B1B5A4" w14:textId="77777777" w:rsidR="007308F0" w:rsidRDefault="007308F0" w:rsidP="007308F0">
      <w:pPr>
        <w:spacing w:after="0"/>
        <w:jc w:val="both"/>
        <w:rPr>
          <w:rFonts w:ascii="Times New Roman" w:eastAsia="Calibri" w:hAnsi="Times New Roman" w:cs="Times New Roman"/>
          <w:bCs/>
          <w:i/>
          <w:iCs/>
          <w:sz w:val="24"/>
          <w:szCs w:val="24"/>
        </w:rPr>
      </w:pPr>
    </w:p>
    <w:p w14:paraId="3A920A27" w14:textId="77777777" w:rsidR="007308F0" w:rsidRPr="00C514FF" w:rsidRDefault="007308F0" w:rsidP="007308F0">
      <w:pPr>
        <w:spacing w:after="0" w:line="276" w:lineRule="auto"/>
        <w:jc w:val="both"/>
        <w:rPr>
          <w:rFonts w:ascii="Times New Roman" w:eastAsia="Times New Roman" w:hAnsi="Times New Roman" w:cs="Times New Roman"/>
          <w:bCs/>
          <w:color w:val="000000"/>
          <w:sz w:val="24"/>
          <w:szCs w:val="20"/>
          <w:lang w:eastAsia="sk-SK"/>
        </w:rPr>
      </w:pPr>
      <w:r w:rsidRPr="00C514FF">
        <w:rPr>
          <w:rFonts w:ascii="Times New Roman" w:eastAsia="Times New Roman" w:hAnsi="Times New Roman" w:cs="Times New Roman"/>
          <w:bCs/>
          <w:color w:val="000000"/>
          <w:sz w:val="24"/>
          <w:szCs w:val="20"/>
          <w:lang w:eastAsia="sk-SK"/>
        </w:rPr>
        <w:t>K</w:t>
      </w:r>
      <w:r>
        <w:rPr>
          <w:rFonts w:ascii="Times New Roman" w:eastAsia="Times New Roman" w:hAnsi="Times New Roman" w:cs="Times New Roman"/>
          <w:bCs/>
          <w:color w:val="000000"/>
          <w:sz w:val="24"/>
          <w:szCs w:val="20"/>
          <w:lang w:eastAsia="sk-SK"/>
        </w:rPr>
        <w:t xml:space="preserve"> čiastočnej </w:t>
      </w:r>
      <w:r w:rsidRPr="00C514FF">
        <w:rPr>
          <w:rFonts w:ascii="Times New Roman" w:eastAsia="Times New Roman" w:hAnsi="Times New Roman" w:cs="Times New Roman"/>
          <w:bCs/>
          <w:color w:val="000000"/>
          <w:sz w:val="24"/>
          <w:szCs w:val="20"/>
          <w:lang w:eastAsia="sk-SK"/>
        </w:rPr>
        <w:t xml:space="preserve">transpozícii </w:t>
      </w:r>
      <w:r>
        <w:rPr>
          <w:rFonts w:ascii="Times New Roman" w:eastAsia="Times New Roman" w:hAnsi="Times New Roman" w:cs="Times New Roman"/>
          <w:bCs/>
          <w:color w:val="000000"/>
          <w:sz w:val="24"/>
          <w:szCs w:val="20"/>
          <w:lang w:eastAsia="sk-SK"/>
        </w:rPr>
        <w:t xml:space="preserve">čl. 31 a 34 </w:t>
      </w:r>
      <w:r w:rsidRPr="00C514FF">
        <w:rPr>
          <w:rFonts w:ascii="Times New Roman" w:eastAsia="Times New Roman" w:hAnsi="Times New Roman" w:cs="Times New Roman"/>
          <w:bCs/>
          <w:color w:val="000000"/>
          <w:sz w:val="24"/>
          <w:szCs w:val="20"/>
          <w:lang w:eastAsia="sk-SK"/>
        </w:rPr>
        <w:t>smernice (EÚ) 202</w:t>
      </w:r>
      <w:r>
        <w:rPr>
          <w:rFonts w:ascii="Times New Roman" w:eastAsia="Times New Roman" w:hAnsi="Times New Roman" w:cs="Times New Roman"/>
          <w:bCs/>
          <w:color w:val="000000"/>
          <w:sz w:val="24"/>
          <w:szCs w:val="20"/>
          <w:lang w:eastAsia="sk-SK"/>
        </w:rPr>
        <w:t>3</w:t>
      </w:r>
      <w:r w:rsidRPr="00C514FF">
        <w:rPr>
          <w:rFonts w:ascii="Times New Roman" w:eastAsia="Times New Roman" w:hAnsi="Times New Roman" w:cs="Times New Roman"/>
          <w:bCs/>
          <w:color w:val="000000"/>
          <w:sz w:val="24"/>
          <w:szCs w:val="20"/>
          <w:lang w:eastAsia="sk-SK"/>
        </w:rPr>
        <w:t>/970</w:t>
      </w:r>
      <w:r>
        <w:rPr>
          <w:rFonts w:ascii="Times New Roman" w:eastAsia="Times New Roman" w:hAnsi="Times New Roman" w:cs="Times New Roman"/>
          <w:bCs/>
          <w:color w:val="000000"/>
          <w:sz w:val="24"/>
          <w:szCs w:val="20"/>
          <w:lang w:eastAsia="sk-SK"/>
        </w:rPr>
        <w:t xml:space="preserve"> v návrhu vyhlášky – [goldplating kategórie f): </w:t>
      </w:r>
      <w:r w:rsidRPr="00E500B8">
        <w:rPr>
          <w:rFonts w:ascii="Times New Roman" w:eastAsia="Times New Roman" w:hAnsi="Times New Roman" w:cs="Times New Roman"/>
          <w:bCs/>
          <w:color w:val="000000"/>
          <w:sz w:val="24"/>
          <w:szCs w:val="20"/>
          <w:lang w:eastAsia="sk-SK"/>
        </w:rPr>
        <w:t>zachovanie existujúcej právnej úpravy</w:t>
      </w:r>
      <w:r>
        <w:rPr>
          <w:rFonts w:ascii="Times New Roman" w:eastAsia="Times New Roman" w:hAnsi="Times New Roman" w:cs="Times New Roman"/>
          <w:bCs/>
          <w:color w:val="000000"/>
          <w:sz w:val="24"/>
          <w:szCs w:val="20"/>
          <w:lang w:eastAsia="sk-SK"/>
        </w:rPr>
        <w:t>]</w:t>
      </w:r>
    </w:p>
    <w:p w14:paraId="0F9C4F24" w14:textId="77777777" w:rsidR="007308F0" w:rsidRPr="00C514FF" w:rsidRDefault="007308F0" w:rsidP="007308F0">
      <w:pPr>
        <w:spacing w:after="0" w:line="276" w:lineRule="auto"/>
        <w:jc w:val="both"/>
        <w:rPr>
          <w:rFonts w:ascii="Times New Roman" w:eastAsia="Times New Roman" w:hAnsi="Times New Roman" w:cs="Times New Roman"/>
          <w:bCs/>
          <w:color w:val="000000"/>
          <w:sz w:val="24"/>
          <w:szCs w:val="20"/>
          <w:lang w:eastAsia="sk-SK"/>
        </w:rPr>
      </w:pPr>
    </w:p>
    <w:p w14:paraId="7A94CACD" w14:textId="77777777" w:rsidR="007308F0" w:rsidRPr="00C514FF" w:rsidRDefault="007308F0" w:rsidP="007308F0">
      <w:p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bCs/>
          <w:color w:val="000000"/>
          <w:sz w:val="24"/>
          <w:szCs w:val="20"/>
          <w:lang w:eastAsia="sk-SK"/>
        </w:rPr>
        <w:t>Štatistick</w:t>
      </w:r>
      <w:r>
        <w:rPr>
          <w:rFonts w:ascii="Times New Roman" w:eastAsia="Times New Roman" w:hAnsi="Times New Roman" w:cs="Times New Roman"/>
          <w:bCs/>
          <w:color w:val="000000"/>
          <w:sz w:val="24"/>
          <w:szCs w:val="20"/>
          <w:lang w:eastAsia="sk-SK"/>
        </w:rPr>
        <w:t>ý výkaz ISCP (MPSVR SR) 1-04 – Š</w:t>
      </w:r>
      <w:r w:rsidRPr="00C514FF">
        <w:rPr>
          <w:rFonts w:ascii="Times New Roman" w:eastAsia="Times New Roman" w:hAnsi="Times New Roman" w:cs="Times New Roman"/>
          <w:bCs/>
          <w:color w:val="000000"/>
          <w:sz w:val="24"/>
          <w:szCs w:val="20"/>
          <w:lang w:eastAsia="sk-SK"/>
        </w:rPr>
        <w:t xml:space="preserve">tvrťročný výkaz o cene práce je súčasťou komplexného informačného systému o cene práce (ISCP), ktorý </w:t>
      </w:r>
      <w:r w:rsidRPr="00C514FF">
        <w:rPr>
          <w:rFonts w:ascii="Times New Roman" w:eastAsia="Times New Roman" w:hAnsi="Times New Roman" w:cs="Times New Roman"/>
          <w:color w:val="000000"/>
          <w:sz w:val="24"/>
          <w:szCs w:val="20"/>
          <w:lang w:eastAsia="sk-SK"/>
        </w:rPr>
        <w:t xml:space="preserve">vznikol na základe iniciatívy vlády Slovenskej republiky v roku 1992 pod koordináciou Ministerstva práce, sociálnych vecí a rodiny Slovenskej republiky, a jeho úlohou je monitorovať a analyzovať úroveň miezd zamestnancov a jej štruktúru v podrobných členeniach, a to podľa zamestnaní, pohlavia, veku, </w:t>
      </w:r>
      <w:r w:rsidRPr="00C514FF">
        <w:rPr>
          <w:rFonts w:ascii="Times New Roman" w:eastAsia="Times New Roman" w:hAnsi="Times New Roman" w:cs="Times New Roman"/>
          <w:color w:val="000000"/>
          <w:sz w:val="24"/>
          <w:szCs w:val="20"/>
          <w:lang w:eastAsia="sk-SK"/>
        </w:rPr>
        <w:lastRenderedPageBreak/>
        <w:t>vzdelania, kvalifikácie a ďalších charakteristík zamestnancov a zamestnávateľských organizácií (ako napr. odvetvie ekonomickej činnosti, právna forma, druh vlastníctva a pod., prípadne ďalších charakteristík podľa požiadaviek a vývoja ekonomickej situácie). Systém je vytvorený podľa špecifických požiadaviek ustanovených právnymi predpismi Slovenskej republiky.</w:t>
      </w:r>
    </w:p>
    <w:p w14:paraId="3935198D" w14:textId="77777777" w:rsidR="007308F0" w:rsidRPr="00C514FF" w:rsidRDefault="007308F0" w:rsidP="007308F0">
      <w:p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color w:val="000000"/>
          <w:sz w:val="24"/>
          <w:szCs w:val="20"/>
          <w:lang w:eastAsia="sk-SK"/>
        </w:rPr>
        <w:t> </w:t>
      </w:r>
    </w:p>
    <w:p w14:paraId="45221276" w14:textId="77777777" w:rsidR="007308F0" w:rsidRPr="00C514FF" w:rsidRDefault="007308F0" w:rsidP="007308F0">
      <w:p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bCs/>
          <w:color w:val="000000"/>
          <w:sz w:val="24"/>
          <w:szCs w:val="20"/>
          <w:lang w:eastAsia="sk-SK"/>
        </w:rPr>
        <w:t>Komplexný informačný systém o cene práce (ISCP) slúži na vytvorenie Databáz</w:t>
      </w:r>
      <w:r w:rsidRPr="00C514FF">
        <w:rPr>
          <w:rFonts w:ascii="Times New Roman" w:eastAsia="Times New Roman" w:hAnsi="Times New Roman" w:cs="Times New Roman"/>
          <w:color w:val="000000"/>
          <w:sz w:val="24"/>
          <w:szCs w:val="20"/>
          <w:lang w:eastAsia="sk-SK"/>
        </w:rPr>
        <w:t xml:space="preserve">, ako aj na vytvorenie </w:t>
      </w:r>
      <w:r w:rsidRPr="00C514FF">
        <w:rPr>
          <w:rFonts w:ascii="Times New Roman" w:eastAsia="Times New Roman" w:hAnsi="Times New Roman" w:cs="Times New Roman"/>
          <w:bCs/>
          <w:color w:val="000000"/>
          <w:sz w:val="24"/>
          <w:szCs w:val="20"/>
          <w:lang w:eastAsia="sk-SK"/>
        </w:rPr>
        <w:t>Výstupov</w:t>
      </w:r>
      <w:r w:rsidRPr="00C514FF">
        <w:rPr>
          <w:rFonts w:ascii="Times New Roman" w:eastAsia="Times New Roman" w:hAnsi="Times New Roman" w:cs="Times New Roman"/>
          <w:color w:val="000000"/>
          <w:sz w:val="24"/>
          <w:szCs w:val="20"/>
          <w:lang w:eastAsia="sk-SK"/>
        </w:rPr>
        <w:t xml:space="preserve"> z nasledovných štatistických zisťovaní: </w:t>
      </w:r>
    </w:p>
    <w:p w14:paraId="472B0359" w14:textId="77777777" w:rsidR="007308F0" w:rsidRPr="00C514FF" w:rsidRDefault="007308F0" w:rsidP="007308F0">
      <w:pPr>
        <w:numPr>
          <w:ilvl w:val="0"/>
          <w:numId w:val="15"/>
        </w:num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color w:val="000000"/>
          <w:sz w:val="24"/>
          <w:szCs w:val="20"/>
          <w:lang w:eastAsia="sk-SK"/>
        </w:rPr>
        <w:t xml:space="preserve">Štvrťročný výkaz o cene práce so značkou ISCP (MPSVR SR) 1-04,  </w:t>
      </w:r>
    </w:p>
    <w:p w14:paraId="582C35F0" w14:textId="77777777" w:rsidR="007308F0" w:rsidRPr="00C514FF" w:rsidRDefault="007308F0" w:rsidP="007308F0">
      <w:pPr>
        <w:numPr>
          <w:ilvl w:val="0"/>
          <w:numId w:val="15"/>
        </w:num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color w:val="000000"/>
          <w:sz w:val="24"/>
          <w:szCs w:val="20"/>
          <w:lang w:eastAsia="sk-SK"/>
        </w:rPr>
        <w:t xml:space="preserve">Štvrťročný výkaz o pracovných miestach u samostatne zárobkovo činných osôb so značkou PM (MPSVR SR) 1-04, </w:t>
      </w:r>
    </w:p>
    <w:p w14:paraId="331E1267" w14:textId="77777777" w:rsidR="007308F0" w:rsidRPr="00C514FF" w:rsidRDefault="007308F0" w:rsidP="007308F0">
      <w:pPr>
        <w:numPr>
          <w:ilvl w:val="0"/>
          <w:numId w:val="15"/>
        </w:num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color w:val="000000"/>
          <w:sz w:val="24"/>
          <w:szCs w:val="20"/>
          <w:lang w:eastAsia="sk-SK"/>
        </w:rPr>
        <w:t xml:space="preserve">Ročný výkaz o pracovných podmienkach a nákladoch na podnikovú sociálnu politiku so značkou V (MPSVR SR) 6-01, aktuálne realizovaná v dvoch verziách: </w:t>
      </w:r>
    </w:p>
    <w:p w14:paraId="23B4C792" w14:textId="77777777" w:rsidR="007308F0" w:rsidRPr="007308F0" w:rsidRDefault="007308F0" w:rsidP="007308F0">
      <w:pPr>
        <w:pStyle w:val="Odsekzoznamu"/>
        <w:numPr>
          <w:ilvl w:val="0"/>
          <w:numId w:val="17"/>
        </w:numPr>
        <w:spacing w:after="0" w:line="276" w:lineRule="auto"/>
        <w:contextualSpacing w:val="0"/>
        <w:jc w:val="both"/>
        <w:rPr>
          <w:rFonts w:ascii="Times New Roman" w:eastAsia="Times New Roman" w:hAnsi="Times New Roman" w:cs="Times New Roman"/>
          <w:color w:val="000000"/>
          <w:sz w:val="24"/>
          <w:szCs w:val="20"/>
          <w:lang w:eastAsia="sk-SK"/>
        </w:rPr>
      </w:pPr>
      <w:r w:rsidRPr="007308F0">
        <w:rPr>
          <w:rFonts w:ascii="Times New Roman" w:eastAsia="Times New Roman" w:hAnsi="Times New Roman" w:cs="Times New Roman"/>
          <w:color w:val="000000"/>
          <w:sz w:val="24"/>
          <w:szCs w:val="20"/>
          <w:lang w:eastAsia="sk-SK"/>
        </w:rPr>
        <w:t xml:space="preserve">výkaz V/A (MPSVR SR) 6-01 v podnikateľskej sfére a </w:t>
      </w:r>
    </w:p>
    <w:p w14:paraId="6958F0D2" w14:textId="77777777" w:rsidR="007308F0" w:rsidRPr="007308F0" w:rsidRDefault="007308F0" w:rsidP="007308F0">
      <w:pPr>
        <w:pStyle w:val="Odsekzoznamu"/>
        <w:numPr>
          <w:ilvl w:val="0"/>
          <w:numId w:val="17"/>
        </w:numPr>
        <w:spacing w:after="0" w:line="276" w:lineRule="auto"/>
        <w:contextualSpacing w:val="0"/>
        <w:jc w:val="both"/>
        <w:rPr>
          <w:rFonts w:ascii="Calibri" w:eastAsia="Times New Roman" w:hAnsi="Calibri" w:cs="Calibri"/>
          <w:color w:val="000000"/>
          <w:sz w:val="24"/>
          <w:szCs w:val="20"/>
          <w:lang w:eastAsia="sk-SK"/>
        </w:rPr>
      </w:pPr>
      <w:r w:rsidRPr="007308F0">
        <w:rPr>
          <w:rFonts w:ascii="Times New Roman" w:eastAsia="Times New Roman" w:hAnsi="Times New Roman" w:cs="Times New Roman"/>
          <w:color w:val="000000"/>
          <w:sz w:val="24"/>
          <w:szCs w:val="20"/>
          <w:lang w:eastAsia="sk-SK"/>
        </w:rPr>
        <w:t xml:space="preserve">výkaz V/B (MPSVR SR) 6-01 v nepodnikateľskej sfére. </w:t>
      </w:r>
    </w:p>
    <w:p w14:paraId="141B9EC1" w14:textId="77777777" w:rsidR="007308F0" w:rsidRPr="00C514FF" w:rsidRDefault="007308F0" w:rsidP="007308F0">
      <w:p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color w:val="000000"/>
          <w:sz w:val="24"/>
          <w:szCs w:val="20"/>
          <w:lang w:eastAsia="sk-SK"/>
        </w:rPr>
        <w:t> </w:t>
      </w:r>
    </w:p>
    <w:p w14:paraId="02A60C43" w14:textId="77777777" w:rsidR="007308F0" w:rsidRPr="00C514FF" w:rsidRDefault="007308F0" w:rsidP="007308F0">
      <w:pPr>
        <w:spacing w:after="0" w:line="276" w:lineRule="auto"/>
        <w:jc w:val="both"/>
        <w:rPr>
          <w:rFonts w:ascii="Calibri" w:eastAsia="Times New Roman" w:hAnsi="Calibri" w:cs="Calibri"/>
          <w:color w:val="000000"/>
          <w:sz w:val="24"/>
          <w:szCs w:val="20"/>
          <w:lang w:eastAsia="sk-SK"/>
        </w:rPr>
      </w:pPr>
      <w:r w:rsidRPr="00C514FF">
        <w:rPr>
          <w:rFonts w:ascii="Times New Roman" w:eastAsia="Times New Roman" w:hAnsi="Times New Roman" w:cs="Times New Roman"/>
          <w:bCs/>
          <w:color w:val="000000"/>
          <w:sz w:val="24"/>
          <w:szCs w:val="20"/>
          <w:lang w:eastAsia="sk-SK"/>
        </w:rPr>
        <w:t xml:space="preserve">Gestorom vyššie uvedených štatistických výkazov podľa </w:t>
      </w:r>
      <w:r>
        <w:rPr>
          <w:rFonts w:ascii="Times New Roman" w:eastAsia="Times New Roman" w:hAnsi="Times New Roman" w:cs="Times New Roman"/>
          <w:bCs/>
          <w:color w:val="000000"/>
          <w:sz w:val="24"/>
          <w:szCs w:val="20"/>
          <w:lang w:eastAsia="sk-SK"/>
        </w:rPr>
        <w:t xml:space="preserve">návrhu </w:t>
      </w:r>
      <w:r w:rsidRPr="00C514FF">
        <w:rPr>
          <w:rFonts w:ascii="Times New Roman" w:eastAsia="Times New Roman" w:hAnsi="Times New Roman" w:cs="Times New Roman"/>
          <w:bCs/>
          <w:color w:val="000000"/>
          <w:sz w:val="24"/>
          <w:szCs w:val="20"/>
          <w:lang w:eastAsia="sk-SK"/>
        </w:rPr>
        <w:t>vyhlášky je Ministerstvo práce, sociálnych vecí a rodiny Slovenskej republiky.</w:t>
      </w:r>
      <w:r w:rsidRPr="00C514FF">
        <w:rPr>
          <w:rFonts w:ascii="Calibri" w:eastAsia="Times New Roman" w:hAnsi="Calibri" w:cs="Calibri"/>
          <w:color w:val="000000"/>
          <w:sz w:val="24"/>
          <w:szCs w:val="20"/>
          <w:lang w:eastAsia="sk-SK"/>
        </w:rPr>
        <w:t xml:space="preserve"> </w:t>
      </w:r>
      <w:r w:rsidRPr="00C514FF">
        <w:rPr>
          <w:rFonts w:ascii="Times New Roman" w:eastAsia="Times New Roman" w:hAnsi="Times New Roman" w:cs="Times New Roman"/>
          <w:color w:val="000000"/>
          <w:sz w:val="24"/>
          <w:szCs w:val="20"/>
          <w:lang w:eastAsia="sk-SK"/>
        </w:rPr>
        <w:t xml:space="preserve">Údaje zbierané v rámci týchto štatistických výkazov sú nevyhnutným podkladom pre </w:t>
      </w:r>
      <w:r w:rsidRPr="00C514FF">
        <w:rPr>
          <w:rFonts w:ascii="Times New Roman" w:eastAsia="Times New Roman" w:hAnsi="Times New Roman" w:cs="Times New Roman"/>
          <w:bCs/>
          <w:color w:val="000000"/>
          <w:sz w:val="24"/>
          <w:szCs w:val="20"/>
          <w:lang w:eastAsia="sk-SK"/>
        </w:rPr>
        <w:t>Ministerstvo práce, sociálnych vecí a rodiny Slovenskej republiky</w:t>
      </w:r>
      <w:r w:rsidRPr="00C514FF">
        <w:rPr>
          <w:rFonts w:ascii="Times New Roman" w:eastAsia="Times New Roman" w:hAnsi="Times New Roman" w:cs="Times New Roman"/>
          <w:color w:val="000000"/>
          <w:sz w:val="24"/>
          <w:szCs w:val="20"/>
          <w:lang w:eastAsia="sk-SK"/>
        </w:rPr>
        <w:t xml:space="preserve"> pri príprave návrhov právnych predpisov v jeho vecnej pôsobnosti a kvantifikácii ich vplyvov najmä na rozpočet verejnej správy, na podnikateľské prostredie a sociálnych vplyvov, pri príprave podkladov na tripartitné rokovania Hospodárskej a  sociálnej rady </w:t>
      </w:r>
      <w:r w:rsidRPr="00C514FF">
        <w:rPr>
          <w:rFonts w:ascii="Times New Roman" w:eastAsia="Times New Roman" w:hAnsi="Times New Roman" w:cs="Times New Roman"/>
          <w:bCs/>
          <w:color w:val="000000"/>
          <w:sz w:val="24"/>
          <w:szCs w:val="20"/>
          <w:lang w:eastAsia="sk-SK"/>
        </w:rPr>
        <w:t>Slovenskej republiky</w:t>
      </w:r>
      <w:r w:rsidRPr="00C514FF">
        <w:rPr>
          <w:rFonts w:ascii="Times New Roman" w:eastAsia="Times New Roman" w:hAnsi="Times New Roman" w:cs="Times New Roman"/>
          <w:color w:val="000000"/>
          <w:sz w:val="24"/>
          <w:szCs w:val="20"/>
          <w:lang w:eastAsia="sk-SK"/>
        </w:rPr>
        <w:t xml:space="preserve">, na účely kolektívneho vyjednávania, vypracovanie komparácii sociálno-ekonomických javov na národnej a nadnárodnej úrovni. Údaje sú nevyhnutné najmä pre prípravu zmien v oblasti výšky minimálnej mzdy, mzdových zvýhodnení za prácu, v oblasti poskytovaných plnení zo strany zamestnávateľov pre zamestnancov v súvislosti s výkonom závislej práce u zamestnávateľa a pod., pri vyhodnocovaní vývoja rodového mzdového rozdielu, odmeňovania špecifických skupín zamestnancov, slúžia tiež ako údajová základňa pre analytické materiály a prognózy vývoja profesijných a kvalifikačných štruktúr trhu práce, a ďalších koncepčných a strategických materiálov a úloh. Pri vypracovávaní týchto podkladových analýz je dôležité vychádzať z dostatočného množstva najaktuálnejších dát, a to aj na štvrťročnej báze. Napríklad okrem iného sú zdrojom údajov pre tvorbu štatistík k vývoju počtu zamestnancov zarábajúcich minimálnu mzdu, prípadne mzdy na úrovni minimálnych mzdových nárokov, ktoré sú požadované ako podklady pre rokovania Hospodárskej a sociálnej rady </w:t>
      </w:r>
      <w:r w:rsidRPr="00C514FF">
        <w:rPr>
          <w:rFonts w:ascii="Times New Roman" w:eastAsia="Times New Roman" w:hAnsi="Times New Roman" w:cs="Times New Roman"/>
          <w:bCs/>
          <w:color w:val="000000"/>
          <w:sz w:val="24"/>
          <w:szCs w:val="20"/>
          <w:lang w:eastAsia="sk-SK"/>
        </w:rPr>
        <w:t>Slovenskej republiky</w:t>
      </w:r>
      <w:r w:rsidRPr="00C514FF">
        <w:rPr>
          <w:rFonts w:ascii="Times New Roman" w:eastAsia="Times New Roman" w:hAnsi="Times New Roman" w:cs="Times New Roman"/>
          <w:color w:val="000000"/>
          <w:sz w:val="24"/>
          <w:szCs w:val="20"/>
          <w:lang w:eastAsia="sk-SK"/>
        </w:rPr>
        <w:t>, pričom rokovania sa konajú v čase, keď celoročné dáta ešte nie sú k dispozícii. Z toho dôvodu sú potrebné aj čiastkové údaje na štvrťročnej báze.</w:t>
      </w:r>
    </w:p>
    <w:p w14:paraId="37311805" w14:textId="77777777" w:rsidR="007308F0" w:rsidRPr="00C514FF" w:rsidRDefault="007308F0" w:rsidP="007308F0">
      <w:pPr>
        <w:spacing w:after="0" w:line="276" w:lineRule="auto"/>
        <w:jc w:val="both"/>
        <w:rPr>
          <w:rFonts w:ascii="Times New Roman" w:eastAsia="Times New Roman" w:hAnsi="Times New Roman" w:cs="Times New Roman"/>
          <w:color w:val="000000"/>
          <w:sz w:val="24"/>
          <w:szCs w:val="20"/>
          <w:lang w:eastAsia="sk-SK"/>
        </w:rPr>
      </w:pPr>
    </w:p>
    <w:p w14:paraId="71733BB3" w14:textId="77777777" w:rsidR="007308F0" w:rsidRDefault="007308F0" w:rsidP="007308F0">
      <w:pPr>
        <w:spacing w:after="0" w:line="276" w:lineRule="auto"/>
        <w:jc w:val="both"/>
        <w:rPr>
          <w:rFonts w:ascii="Times New Roman" w:hAnsi="Times New Roman" w:cs="Times New Roman"/>
          <w:color w:val="000000"/>
          <w:sz w:val="24"/>
          <w:szCs w:val="20"/>
        </w:rPr>
      </w:pPr>
      <w:r w:rsidRPr="00C514FF">
        <w:rPr>
          <w:rFonts w:ascii="Times New Roman" w:hAnsi="Times New Roman" w:cs="Times New Roman"/>
          <w:bCs/>
          <w:color w:val="000000"/>
          <w:sz w:val="24"/>
          <w:szCs w:val="20"/>
        </w:rPr>
        <w:t xml:space="preserve">Štatistický výkaz ISCP (MPSVR SR) </w:t>
      </w:r>
      <w:r w:rsidRPr="00C514FF">
        <w:rPr>
          <w:rFonts w:ascii="Times New Roman" w:hAnsi="Times New Roman" w:cs="Times New Roman"/>
          <w:color w:val="000000"/>
          <w:sz w:val="24"/>
          <w:szCs w:val="20"/>
        </w:rPr>
        <w:t>a výsledky jednotlivých zisťovaní sú nevyhnutné aj pre napĺňanie medzinárodných záväzkov vyplývajúcich z Dohovorov Medzinárodnej organizácie práce o zabezpečení úloh v oblasti mzdovej štatistiky, z nariadenia Rady (ES) č. 530/1999 z 9. marca 1999 o štrukturálnej štatistike príjmov a nákladov práce (Mimoriadne vydanie Ú. v. EÚ, kap. 05/zv. 003</w:t>
      </w:r>
      <w:r>
        <w:rPr>
          <w:rFonts w:ascii="Times New Roman" w:hAnsi="Times New Roman" w:cs="Times New Roman"/>
          <w:color w:val="000000"/>
          <w:sz w:val="24"/>
          <w:szCs w:val="20"/>
        </w:rPr>
        <w:t>; Ú. v. ES L 63, 12.3.1999</w:t>
      </w:r>
      <w:r w:rsidRPr="00C514FF">
        <w:rPr>
          <w:rFonts w:ascii="Times New Roman" w:hAnsi="Times New Roman" w:cs="Times New Roman"/>
          <w:color w:val="000000"/>
          <w:sz w:val="24"/>
          <w:szCs w:val="20"/>
        </w:rPr>
        <w:t xml:space="preserve">) v platnom znení a z Odporúčania Rady Európskej </w:t>
      </w:r>
      <w:r w:rsidRPr="00C514FF">
        <w:rPr>
          <w:rFonts w:ascii="Times New Roman" w:hAnsi="Times New Roman" w:cs="Times New Roman"/>
          <w:color w:val="000000"/>
          <w:sz w:val="24"/>
          <w:szCs w:val="20"/>
        </w:rPr>
        <w:lastRenderedPageBreak/>
        <w:t>únie týkajúceho sa sledovania uplatnenia absolventov. Tiež sú zdrojom pre plnenie ďalších úlohy podľa požiadaviek OECD, Európskej sociálnej charty a pod.</w:t>
      </w:r>
    </w:p>
    <w:p w14:paraId="6CC64899" w14:textId="77777777" w:rsidR="007308F0" w:rsidRPr="00C612E7" w:rsidRDefault="007308F0" w:rsidP="00C612E7">
      <w:pPr>
        <w:jc w:val="both"/>
        <w:rPr>
          <w:rFonts w:ascii="Times New Roman" w:eastAsia="Times New Roman" w:hAnsi="Times New Roman" w:cs="Times New Roman"/>
          <w:sz w:val="24"/>
          <w:szCs w:val="20"/>
          <w:lang w:eastAsia="sk-SK"/>
        </w:rPr>
      </w:pPr>
    </w:p>
    <w:p w14:paraId="4ACA44FB"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CC51FDC"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41640A1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5E520E0"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322B148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39BE7E9E" w14:textId="77777777" w:rsidR="00054C41" w:rsidRDefault="00054C41" w:rsidP="00054C41">
      <w:pPr>
        <w:spacing w:after="0"/>
        <w:jc w:val="both"/>
        <w:rPr>
          <w:rFonts w:ascii="Times New Roman" w:eastAsia="Calibri" w:hAnsi="Times New Roman" w:cs="Times New Roman"/>
          <w:i/>
          <w:sz w:val="24"/>
          <w:szCs w:val="24"/>
        </w:rPr>
      </w:pPr>
    </w:p>
    <w:p w14:paraId="5C0C4080" w14:textId="77777777" w:rsidR="00F52143" w:rsidRPr="00F52143" w:rsidRDefault="00A55A61" w:rsidP="00F52143">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Dňa </w:t>
      </w:r>
      <w:r w:rsidRPr="00A55A61">
        <w:rPr>
          <w:rFonts w:ascii="Times New Roman" w:eastAsia="Calibri" w:hAnsi="Times New Roman" w:cs="Times New Roman"/>
          <w:sz w:val="24"/>
          <w:szCs w:val="24"/>
        </w:rPr>
        <w:t xml:space="preserve">11. </w:t>
      </w:r>
      <w:r w:rsidR="00F52143" w:rsidRPr="00A55A61">
        <w:rPr>
          <w:rFonts w:ascii="Times New Roman" w:eastAsia="Calibri" w:hAnsi="Times New Roman" w:cs="Times New Roman"/>
          <w:sz w:val="24"/>
          <w:szCs w:val="24"/>
        </w:rPr>
        <w:t>6. 202</w:t>
      </w:r>
      <w:r w:rsidRPr="00A55A61">
        <w:rPr>
          <w:rFonts w:ascii="Times New Roman" w:eastAsia="Calibri" w:hAnsi="Times New Roman" w:cs="Times New Roman"/>
          <w:sz w:val="24"/>
          <w:szCs w:val="24"/>
        </w:rPr>
        <w:t>6</w:t>
      </w:r>
      <w:r w:rsidR="00F52143" w:rsidRPr="00F52143">
        <w:rPr>
          <w:rFonts w:ascii="Times New Roman" w:eastAsia="Calibri" w:hAnsi="Times New Roman" w:cs="Times New Roman"/>
          <w:sz w:val="24"/>
          <w:szCs w:val="24"/>
        </w:rPr>
        <w:t xml:space="preserve"> bola zverejnená predbežná informácia (PI/202</w:t>
      </w:r>
      <w:r>
        <w:rPr>
          <w:rFonts w:ascii="Times New Roman" w:eastAsia="Calibri" w:hAnsi="Times New Roman" w:cs="Times New Roman"/>
          <w:sz w:val="24"/>
          <w:szCs w:val="24"/>
        </w:rPr>
        <w:t>6</w:t>
      </w:r>
      <w:r w:rsidR="00F52143" w:rsidRPr="00F52143">
        <w:rPr>
          <w:rFonts w:ascii="Times New Roman" w:eastAsia="Calibri" w:hAnsi="Times New Roman" w:cs="Times New Roman"/>
          <w:sz w:val="24"/>
          <w:szCs w:val="24"/>
        </w:rPr>
        <w:t>/147) podľa § 9 zákona č.</w:t>
      </w:r>
      <w:r w:rsidR="007308F0">
        <w:rPr>
          <w:rFonts w:ascii="Times New Roman" w:eastAsia="Calibri" w:hAnsi="Times New Roman" w:cs="Times New Roman"/>
          <w:sz w:val="24"/>
          <w:szCs w:val="24"/>
        </w:rPr>
        <w:t> </w:t>
      </w:r>
      <w:r w:rsidR="00F52143" w:rsidRPr="00F52143">
        <w:rPr>
          <w:rFonts w:ascii="Times New Roman" w:eastAsia="Calibri" w:hAnsi="Times New Roman" w:cs="Times New Roman"/>
          <w:sz w:val="24"/>
          <w:szCs w:val="24"/>
        </w:rPr>
        <w:t>400/2015 Z. z. o tvorbe právnych predpisov a o Zbierke zákonov Slovenskej republiky a</w:t>
      </w:r>
      <w:r w:rsidR="007308F0">
        <w:rPr>
          <w:rFonts w:ascii="Times New Roman" w:eastAsia="Calibri" w:hAnsi="Times New Roman" w:cs="Times New Roman"/>
          <w:sz w:val="24"/>
          <w:szCs w:val="24"/>
        </w:rPr>
        <w:t> </w:t>
      </w:r>
      <w:r w:rsidR="00F52143" w:rsidRPr="00F52143">
        <w:rPr>
          <w:rFonts w:ascii="Times New Roman" w:eastAsia="Calibri" w:hAnsi="Times New Roman" w:cs="Times New Roman"/>
          <w:sz w:val="24"/>
          <w:szCs w:val="24"/>
        </w:rPr>
        <w:t>o</w:t>
      </w:r>
      <w:r w:rsidR="007308F0">
        <w:rPr>
          <w:rFonts w:ascii="Times New Roman" w:eastAsia="Calibri" w:hAnsi="Times New Roman" w:cs="Times New Roman"/>
          <w:sz w:val="24"/>
          <w:szCs w:val="24"/>
        </w:rPr>
        <w:t> </w:t>
      </w:r>
      <w:r w:rsidR="00F52143" w:rsidRPr="00F52143">
        <w:rPr>
          <w:rFonts w:ascii="Times New Roman" w:eastAsia="Calibri" w:hAnsi="Times New Roman" w:cs="Times New Roman"/>
          <w:sz w:val="24"/>
          <w:szCs w:val="24"/>
        </w:rPr>
        <w:t>zmene a doplnení niektorých zákonov k návrhu vyhlášky. K predbežnej informácii neboli doručené podnety zo strany verejnosti.</w:t>
      </w:r>
    </w:p>
    <w:p w14:paraId="5D1344D1" w14:textId="77777777" w:rsidR="00F52143" w:rsidRPr="00F52143" w:rsidRDefault="00F52143" w:rsidP="00F52143">
      <w:pPr>
        <w:spacing w:after="0"/>
        <w:jc w:val="both"/>
        <w:rPr>
          <w:rFonts w:ascii="Times New Roman" w:eastAsia="Calibri" w:hAnsi="Times New Roman" w:cs="Times New Roman"/>
          <w:sz w:val="24"/>
          <w:szCs w:val="24"/>
        </w:rPr>
      </w:pPr>
    </w:p>
    <w:p w14:paraId="4743E95B" w14:textId="77777777" w:rsidR="0036397C" w:rsidRPr="00F52143" w:rsidRDefault="00F52143" w:rsidP="00F52143">
      <w:pPr>
        <w:spacing w:after="0"/>
        <w:jc w:val="both"/>
        <w:rPr>
          <w:rFonts w:ascii="Times New Roman" w:eastAsia="Calibri" w:hAnsi="Times New Roman" w:cs="Times New Roman"/>
          <w:sz w:val="24"/>
          <w:szCs w:val="24"/>
        </w:rPr>
      </w:pPr>
      <w:r w:rsidRPr="00F52143">
        <w:rPr>
          <w:rFonts w:ascii="Times New Roman" w:eastAsia="Calibri" w:hAnsi="Times New Roman" w:cs="Times New Roman"/>
          <w:sz w:val="24"/>
          <w:szCs w:val="24"/>
        </w:rPr>
        <w:t>Ministerstvo hospodárst</w:t>
      </w:r>
      <w:r w:rsidR="00A55A61">
        <w:rPr>
          <w:rFonts w:ascii="Times New Roman" w:eastAsia="Calibri" w:hAnsi="Times New Roman" w:cs="Times New Roman"/>
          <w:sz w:val="24"/>
          <w:szCs w:val="24"/>
        </w:rPr>
        <w:t xml:space="preserve">va Slovenskej republiky </w:t>
      </w:r>
      <w:r w:rsidRPr="00F52143">
        <w:rPr>
          <w:rFonts w:ascii="Times New Roman" w:eastAsia="Calibri" w:hAnsi="Times New Roman" w:cs="Times New Roman"/>
          <w:sz w:val="24"/>
          <w:szCs w:val="24"/>
        </w:rPr>
        <w:t xml:space="preserve">oslovilo subjekty, ktoré vedie na zozname subjektov so záujmom o kontaktovanie pri konzultáciách. V tejto súvislosti predkladateľa návrhu vyhlášky neoslovil žiadny subjekt. </w:t>
      </w:r>
      <w:r w:rsidR="00724B3B" w:rsidRPr="00800D8B">
        <w:rPr>
          <w:rFonts w:ascii="Times New Roman" w:eastAsia="Calibri" w:hAnsi="Times New Roman" w:cs="Times New Roman"/>
          <w:sz w:val="24"/>
          <w:szCs w:val="24"/>
        </w:rPr>
        <w:t xml:space="preserve">Vzhľadom na povahu vplyvu úrad </w:t>
      </w:r>
      <w:r w:rsidR="009355D9" w:rsidRPr="00800D8B">
        <w:rPr>
          <w:rFonts w:ascii="Times New Roman" w:eastAsia="Calibri" w:hAnsi="Times New Roman" w:cs="Times New Roman"/>
          <w:sz w:val="24"/>
          <w:szCs w:val="24"/>
        </w:rPr>
        <w:t>samostat</w:t>
      </w:r>
      <w:r w:rsidR="00AC7B79" w:rsidRPr="00800D8B">
        <w:rPr>
          <w:rFonts w:ascii="Times New Roman" w:eastAsia="Calibri" w:hAnsi="Times New Roman" w:cs="Times New Roman"/>
          <w:sz w:val="24"/>
          <w:szCs w:val="24"/>
        </w:rPr>
        <w:t xml:space="preserve">ne </w:t>
      </w:r>
      <w:r w:rsidR="00EA4EBD" w:rsidRPr="00800D8B">
        <w:rPr>
          <w:rFonts w:ascii="Times New Roman" w:eastAsia="Calibri" w:hAnsi="Times New Roman" w:cs="Times New Roman"/>
          <w:sz w:val="24"/>
          <w:szCs w:val="24"/>
        </w:rPr>
        <w:t>oslov</w:t>
      </w:r>
      <w:r w:rsidR="00C612E7" w:rsidRPr="00800D8B">
        <w:rPr>
          <w:rFonts w:ascii="Times New Roman" w:eastAsia="Calibri" w:hAnsi="Times New Roman" w:cs="Times New Roman"/>
          <w:sz w:val="24"/>
          <w:szCs w:val="24"/>
        </w:rPr>
        <w:t>il</w:t>
      </w:r>
      <w:r w:rsidR="00EA4EBD" w:rsidRPr="00800D8B">
        <w:rPr>
          <w:rFonts w:ascii="Times New Roman" w:eastAsia="Calibri" w:hAnsi="Times New Roman" w:cs="Times New Roman"/>
          <w:sz w:val="24"/>
          <w:szCs w:val="24"/>
        </w:rPr>
        <w:t xml:space="preserve"> </w:t>
      </w:r>
      <w:r w:rsidR="00AC7B79" w:rsidRPr="00800D8B">
        <w:rPr>
          <w:rFonts w:ascii="Times New Roman" w:hAnsi="Times New Roman" w:cs="Times New Roman"/>
          <w:sz w:val="24"/>
          <w:szCs w:val="24"/>
          <w:lang w:eastAsia="sk-SK"/>
        </w:rPr>
        <w:t>Slovenskú asociáciu poisťovní a</w:t>
      </w:r>
      <w:r w:rsidR="007308F0" w:rsidRPr="00800D8B">
        <w:rPr>
          <w:rFonts w:ascii="Times New Roman" w:hAnsi="Times New Roman" w:cs="Times New Roman"/>
          <w:sz w:val="24"/>
          <w:szCs w:val="24"/>
          <w:lang w:eastAsia="sk-SK"/>
        </w:rPr>
        <w:t> </w:t>
      </w:r>
      <w:r w:rsidR="00AC7B79" w:rsidRPr="00800D8B">
        <w:rPr>
          <w:rFonts w:ascii="Times New Roman" w:hAnsi="Times New Roman" w:cs="Times New Roman"/>
          <w:sz w:val="24"/>
          <w:szCs w:val="24"/>
          <w:lang w:eastAsia="sk-SK"/>
        </w:rPr>
        <w:t xml:space="preserve">Slovenskú bankovú asociáciu </w:t>
      </w:r>
      <w:r w:rsidR="00EA4EBD" w:rsidRPr="00800D8B">
        <w:rPr>
          <w:rFonts w:ascii="Times New Roman" w:eastAsia="Calibri" w:hAnsi="Times New Roman" w:cs="Times New Roman"/>
          <w:sz w:val="24"/>
          <w:szCs w:val="24"/>
        </w:rPr>
        <w:t>v súvislosti s potrebou konzultovať návrh vyhlášky.</w:t>
      </w:r>
      <w:r w:rsidR="00AC7B79" w:rsidRPr="00800D8B">
        <w:rPr>
          <w:rFonts w:ascii="Times New Roman" w:eastAsia="Calibri" w:hAnsi="Times New Roman" w:cs="Times New Roman"/>
          <w:sz w:val="24"/>
          <w:szCs w:val="24"/>
        </w:rPr>
        <w:t xml:space="preserve"> Dňa 12.10.2026 sa konala </w:t>
      </w:r>
      <w:r w:rsidR="003C7EFB" w:rsidRPr="00800D8B">
        <w:rPr>
          <w:rFonts w:ascii="Times New Roman" w:eastAsia="Calibri" w:hAnsi="Times New Roman" w:cs="Times New Roman"/>
          <w:sz w:val="24"/>
          <w:szCs w:val="24"/>
        </w:rPr>
        <w:t xml:space="preserve">online </w:t>
      </w:r>
      <w:r w:rsidR="00AC7B79" w:rsidRPr="00800D8B">
        <w:rPr>
          <w:rFonts w:ascii="Times New Roman" w:eastAsia="Calibri" w:hAnsi="Times New Roman" w:cs="Times New Roman"/>
          <w:sz w:val="24"/>
          <w:szCs w:val="24"/>
        </w:rPr>
        <w:t>konzultácia so Slovenskou asociáciou poisťovní</w:t>
      </w:r>
      <w:r w:rsidR="009B5F3F" w:rsidRPr="00800D8B">
        <w:rPr>
          <w:rFonts w:ascii="Times New Roman" w:eastAsia="Calibri" w:hAnsi="Times New Roman" w:cs="Times New Roman"/>
          <w:sz w:val="24"/>
          <w:szCs w:val="24"/>
        </w:rPr>
        <w:t xml:space="preserve">. Prítomným boli predstavené zásadné zmeny v oblasti štatistického výkazníctva finančného sektora, ktorých zámerom je výrazné zníženie administratívnej záťaže. </w:t>
      </w:r>
      <w:r w:rsidR="0036397C" w:rsidRPr="00800D8B">
        <w:rPr>
          <w:rFonts w:ascii="Times New Roman" w:eastAsia="Calibri" w:hAnsi="Times New Roman" w:cs="Times New Roman"/>
          <w:sz w:val="24"/>
          <w:szCs w:val="24"/>
        </w:rPr>
        <w:t>K prezentovaným zmenám neboli podané žiadne námietky.</w:t>
      </w:r>
      <w:r w:rsidR="00800D8B">
        <w:rPr>
          <w:rFonts w:ascii="Times New Roman" w:eastAsia="Calibri" w:hAnsi="Times New Roman" w:cs="Times New Roman"/>
          <w:sz w:val="24"/>
          <w:szCs w:val="24"/>
        </w:rPr>
        <w:t xml:space="preserve"> </w:t>
      </w:r>
      <w:r w:rsidR="00766FB3" w:rsidRPr="00800D8B">
        <w:rPr>
          <w:rFonts w:ascii="Times New Roman" w:eastAsia="Calibri" w:hAnsi="Times New Roman" w:cs="Times New Roman"/>
          <w:sz w:val="24"/>
          <w:szCs w:val="24"/>
        </w:rPr>
        <w:t>Slovenská</w:t>
      </w:r>
      <w:r w:rsidR="0036397C" w:rsidRPr="00800D8B">
        <w:rPr>
          <w:rFonts w:ascii="Times New Roman" w:eastAsia="Calibri" w:hAnsi="Times New Roman" w:cs="Times New Roman"/>
          <w:sz w:val="24"/>
          <w:szCs w:val="24"/>
        </w:rPr>
        <w:t xml:space="preserve"> </w:t>
      </w:r>
      <w:r w:rsidR="00766FB3" w:rsidRPr="00800D8B">
        <w:rPr>
          <w:rFonts w:ascii="Times New Roman" w:eastAsia="Calibri" w:hAnsi="Times New Roman" w:cs="Times New Roman"/>
          <w:sz w:val="24"/>
          <w:szCs w:val="24"/>
        </w:rPr>
        <w:t>banková asociácia</w:t>
      </w:r>
      <w:r w:rsidR="0036397C" w:rsidRPr="00800D8B">
        <w:rPr>
          <w:rFonts w:ascii="Times New Roman" w:eastAsia="Calibri" w:hAnsi="Times New Roman" w:cs="Times New Roman"/>
          <w:sz w:val="24"/>
          <w:szCs w:val="24"/>
        </w:rPr>
        <w:t xml:space="preserve">, v určenom termíne </w:t>
      </w:r>
      <w:r w:rsidR="00766FB3" w:rsidRPr="00800D8B">
        <w:rPr>
          <w:rFonts w:ascii="Times New Roman" w:eastAsia="Calibri" w:hAnsi="Times New Roman" w:cs="Times New Roman"/>
          <w:sz w:val="24"/>
          <w:szCs w:val="24"/>
        </w:rPr>
        <w:t xml:space="preserve">neprejavila </w:t>
      </w:r>
      <w:r w:rsidR="0036397C" w:rsidRPr="00800D8B">
        <w:rPr>
          <w:rFonts w:ascii="Times New Roman" w:eastAsia="Calibri" w:hAnsi="Times New Roman" w:cs="Times New Roman"/>
          <w:sz w:val="24"/>
          <w:szCs w:val="24"/>
        </w:rPr>
        <w:t>záujem konzultovať predmet navrhovaných úprav.</w:t>
      </w:r>
    </w:p>
    <w:p w14:paraId="135C2353" w14:textId="77777777" w:rsidR="00F52143" w:rsidRDefault="00F52143" w:rsidP="00F52143">
      <w:pPr>
        <w:spacing w:after="0"/>
        <w:jc w:val="both"/>
        <w:rPr>
          <w:rFonts w:ascii="Times New Roman" w:eastAsia="Calibri" w:hAnsi="Times New Roman" w:cs="Times New Roman"/>
          <w:sz w:val="24"/>
          <w:szCs w:val="24"/>
        </w:rPr>
      </w:pPr>
    </w:p>
    <w:p w14:paraId="50C3E3C5" w14:textId="77777777" w:rsidR="007308F0" w:rsidRPr="00F52143" w:rsidRDefault="007308F0" w:rsidP="00F52143">
      <w:pPr>
        <w:spacing w:after="0"/>
        <w:jc w:val="both"/>
        <w:rPr>
          <w:rFonts w:ascii="Times New Roman" w:eastAsia="Calibri" w:hAnsi="Times New Roman" w:cs="Times New Roman"/>
          <w:sz w:val="24"/>
          <w:szCs w:val="24"/>
        </w:rPr>
      </w:pPr>
    </w:p>
    <w:p w14:paraId="0605D463"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28B188F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3DDF817C"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277362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72657AA3"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3A1EC4D0"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4971344E"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16F07EE3"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2340892F" w14:textId="77777777" w:rsidR="007308F0" w:rsidRDefault="007308F0" w:rsidP="00054C41">
      <w:pPr>
        <w:spacing w:after="0"/>
        <w:jc w:val="both"/>
        <w:rPr>
          <w:rFonts w:ascii="Times New Roman" w:eastAsia="Calibri" w:hAnsi="Times New Roman" w:cs="Times New Roman"/>
          <w:sz w:val="24"/>
          <w:szCs w:val="24"/>
        </w:rPr>
      </w:pPr>
    </w:p>
    <w:p w14:paraId="7DDB84D2" w14:textId="77777777" w:rsidR="007308F0" w:rsidRDefault="00BF2ACD" w:rsidP="007308F0">
      <w:pPr>
        <w:spacing w:after="0"/>
        <w:jc w:val="both"/>
        <w:rPr>
          <w:rFonts w:ascii="Times New Roman" w:eastAsia="Calibri" w:hAnsi="Times New Roman" w:cs="Times New Roman"/>
          <w:sz w:val="24"/>
          <w:szCs w:val="24"/>
        </w:rPr>
      </w:pPr>
      <w:r w:rsidRPr="007308F0">
        <w:rPr>
          <w:rFonts w:ascii="Times New Roman" w:eastAsia="Calibri" w:hAnsi="Times New Roman" w:cs="Times New Roman"/>
          <w:sz w:val="24"/>
          <w:szCs w:val="24"/>
        </w:rPr>
        <w:lastRenderedPageBreak/>
        <w:t xml:space="preserve">Zaradenie štyroch konjunkturálnych zisťovaní vytvára celkový kumulatívny náklad 84 121,86 </w:t>
      </w:r>
      <w:r w:rsidR="00C612E7" w:rsidRPr="007308F0">
        <w:rPr>
          <w:rFonts w:ascii="Times New Roman" w:eastAsia="Calibri" w:hAnsi="Times New Roman" w:cs="Times New Roman"/>
          <w:sz w:val="24"/>
          <w:szCs w:val="24"/>
        </w:rPr>
        <w:t>eur</w:t>
      </w:r>
      <w:r w:rsidRPr="007308F0">
        <w:rPr>
          <w:rFonts w:ascii="Times New Roman" w:eastAsia="Calibri" w:hAnsi="Times New Roman" w:cs="Times New Roman"/>
          <w:sz w:val="24"/>
          <w:szCs w:val="24"/>
        </w:rPr>
        <w:t xml:space="preserve">. Vzhľadom na to, že priemerná administratívna záťaž na jeden podnikateľský subjekt predstavuje len cca 28 </w:t>
      </w:r>
      <w:r w:rsidR="00C612E7" w:rsidRPr="007308F0">
        <w:rPr>
          <w:rFonts w:ascii="Times New Roman" w:eastAsia="Calibri" w:hAnsi="Times New Roman" w:cs="Times New Roman"/>
          <w:sz w:val="24"/>
          <w:szCs w:val="24"/>
        </w:rPr>
        <w:t>eur</w:t>
      </w:r>
      <w:r w:rsidRPr="007308F0">
        <w:rPr>
          <w:rFonts w:ascii="Times New Roman" w:eastAsia="Calibri" w:hAnsi="Times New Roman" w:cs="Times New Roman"/>
          <w:sz w:val="24"/>
          <w:szCs w:val="24"/>
        </w:rPr>
        <w:t xml:space="preserve"> ročne (cca 10 minút mesačne), ide o zanedbateľný vplyv, ktorý nevytvára bariéry na trhu, neovplyvňuje hospodársku súťaž ani nezakladá nerovnaké zaobchádzanie pre malé a stredné podniky (MSP). Zároveň nemá negatívny dopad na produktivitu práce ani na cezhraničnú konkurencieschopnosť podnikov.</w:t>
      </w:r>
    </w:p>
    <w:p w14:paraId="698367B2" w14:textId="77777777" w:rsidR="00800D8B" w:rsidRDefault="00800D8B" w:rsidP="007308F0">
      <w:pPr>
        <w:spacing w:after="0"/>
        <w:jc w:val="both"/>
        <w:rPr>
          <w:rFonts w:ascii="Times New Roman" w:eastAsia="Calibri" w:hAnsi="Times New Roman" w:cs="Times New Roman"/>
          <w:sz w:val="24"/>
          <w:szCs w:val="24"/>
        </w:rPr>
      </w:pPr>
    </w:p>
    <w:p w14:paraId="712DF7CB"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0B8828AD"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018D2721" w14:textId="77777777" w:rsidR="00054C41" w:rsidRPr="00D8247C" w:rsidRDefault="00AF2EE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724B3B">
                <w:rPr>
                  <w:rFonts w:ascii="Segoe UI Symbol" w:eastAsia="Calibri" w:hAnsi="Segoe UI Symbol" w:cs="Segoe UI Symbol"/>
                  <w:i/>
                  <w:sz w:val="24"/>
                  <w:szCs w:val="24"/>
                </w:rPr>
                <w:t>X</w:t>
              </w:r>
              <w:r w:rsidR="00377A3D">
                <w:rPr>
                  <w:rFonts w:ascii="Times New Roman" w:eastAsia="Calibri" w:hAnsi="Times New Roman" w:cs="Times New Roman"/>
                  <w:i/>
                  <w:sz w:val="24"/>
                  <w:szCs w:val="24"/>
                </w:rPr>
                <w:t xml:space="preserve"> </w:t>
              </w:r>
            </w:sdtContent>
          </w:sdt>
        </w:sdtContent>
      </w:sdt>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22CBE5" w14:textId="77777777" w:rsidR="00054C41" w:rsidRPr="00D8247C" w:rsidRDefault="00054C41" w:rsidP="00054C41">
      <w:pPr>
        <w:spacing w:after="0"/>
        <w:jc w:val="both"/>
        <w:rPr>
          <w:rFonts w:ascii="Times New Roman" w:eastAsia="Calibri" w:hAnsi="Times New Roman" w:cs="Times New Roman"/>
          <w:i/>
          <w:sz w:val="24"/>
          <w:szCs w:val="24"/>
        </w:rPr>
      </w:pPr>
    </w:p>
    <w:p w14:paraId="14F4DECC"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113E57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435765B4" w14:textId="77777777" w:rsidR="00054C41" w:rsidRPr="00D8247C" w:rsidRDefault="00054C41" w:rsidP="00054C41">
      <w:pPr>
        <w:spacing w:after="0"/>
        <w:jc w:val="both"/>
        <w:rPr>
          <w:rFonts w:ascii="Times New Roman" w:eastAsia="Calibri" w:hAnsi="Times New Roman" w:cs="Times New Roman"/>
          <w:i/>
          <w:sz w:val="24"/>
          <w:szCs w:val="24"/>
        </w:rPr>
      </w:pPr>
    </w:p>
    <w:p w14:paraId="0AE58D90"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23747CF8" w14:textId="77777777" w:rsidR="00054C41" w:rsidRPr="00D8247C" w:rsidRDefault="00AF2EE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724B3B">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46EAFDA6" w14:textId="77777777" w:rsidR="00054C41" w:rsidRPr="00D8247C" w:rsidRDefault="00054C41" w:rsidP="00054C41">
      <w:pPr>
        <w:spacing w:after="0"/>
        <w:jc w:val="both"/>
        <w:rPr>
          <w:rFonts w:ascii="Times New Roman" w:eastAsia="Calibri" w:hAnsi="Times New Roman" w:cs="Times New Roman"/>
          <w:i/>
          <w:sz w:val="24"/>
          <w:szCs w:val="24"/>
        </w:rPr>
      </w:pPr>
    </w:p>
    <w:p w14:paraId="4011B50D" w14:textId="77777777" w:rsidR="00E30D85" w:rsidRPr="00D8247C" w:rsidRDefault="00E30D85" w:rsidP="00054C41">
      <w:pPr>
        <w:spacing w:after="0"/>
        <w:jc w:val="both"/>
        <w:rPr>
          <w:rFonts w:ascii="Times New Roman" w:eastAsia="Calibri" w:hAnsi="Times New Roman" w:cs="Times New Roman"/>
          <w:i/>
          <w:sz w:val="24"/>
          <w:szCs w:val="24"/>
        </w:rPr>
      </w:pPr>
    </w:p>
    <w:p w14:paraId="025B9535"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0E77D1CC"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25B833CA"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26A78B1A"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04901933"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27236836" w14:textId="77777777" w:rsidR="00B21D1F" w:rsidRPr="00724B3B" w:rsidRDefault="00D114ED" w:rsidP="00724B3B">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sectPr w:rsidR="00B21D1F" w:rsidRPr="00724B3B" w:rsidSect="003C7EFB">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37FD4" w14:textId="77777777" w:rsidR="00AF2EE5" w:rsidRDefault="00AF2EE5" w:rsidP="00054C41">
      <w:pPr>
        <w:spacing w:after="0" w:line="240" w:lineRule="auto"/>
      </w:pPr>
      <w:r>
        <w:separator/>
      </w:r>
    </w:p>
  </w:endnote>
  <w:endnote w:type="continuationSeparator" w:id="0">
    <w:p w14:paraId="6F1843D9" w14:textId="77777777" w:rsidR="00AF2EE5" w:rsidRDefault="00AF2EE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0067195F" w14:textId="46AC9C8F" w:rsidR="00243A23" w:rsidRPr="007308F0" w:rsidRDefault="00243A23" w:rsidP="007308F0">
        <w:pPr>
          <w:pStyle w:val="Pta"/>
          <w:jc w:val="center"/>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09C5">
          <w:rPr>
            <w:rFonts w:ascii="Times New Roman" w:hAnsi="Times New Roman" w:cs="Times New Roman"/>
            <w:noProof/>
            <w:sz w:val="24"/>
            <w:szCs w:val="24"/>
          </w:rPr>
          <w:t>10</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65CB6" w14:textId="77777777" w:rsidR="00AF2EE5" w:rsidRDefault="00AF2EE5" w:rsidP="00054C41">
      <w:pPr>
        <w:spacing w:after="0" w:line="240" w:lineRule="auto"/>
      </w:pPr>
      <w:r>
        <w:separator/>
      </w:r>
    </w:p>
  </w:footnote>
  <w:footnote w:type="continuationSeparator" w:id="0">
    <w:p w14:paraId="2A64F2FC" w14:textId="77777777" w:rsidR="00AF2EE5" w:rsidRDefault="00AF2EE5" w:rsidP="00054C41">
      <w:pPr>
        <w:spacing w:after="0" w:line="240" w:lineRule="auto"/>
      </w:pPr>
      <w:r>
        <w:continuationSeparator/>
      </w:r>
    </w:p>
  </w:footnote>
  <w:footnote w:id="1">
    <w:p w14:paraId="0F4145A2" w14:textId="77777777" w:rsidR="00243A23" w:rsidRPr="000A6B7F" w:rsidRDefault="00243A23"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56190191" w14:textId="77777777" w:rsidR="00243A23" w:rsidRDefault="00243A23" w:rsidP="00800D8B">
      <w:pPr>
        <w:pStyle w:val="Textpoznmkypodiarou"/>
        <w:jc w:val="both"/>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7D06"/>
    <w:multiLevelType w:val="hybridMultilevel"/>
    <w:tmpl w:val="436E489E"/>
    <w:lvl w:ilvl="0" w:tplc="041B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893237D"/>
    <w:multiLevelType w:val="hybridMultilevel"/>
    <w:tmpl w:val="6060B9C4"/>
    <w:lvl w:ilvl="0" w:tplc="ABD21ED6">
      <w:start w:val="1"/>
      <w:numFmt w:val="bullet"/>
      <w:lvlText w:val="˗"/>
      <w:lvlJc w:val="left"/>
      <w:pPr>
        <w:ind w:left="360" w:hanging="360"/>
      </w:pPr>
      <w:rPr>
        <w:rFonts w:ascii="Arial" w:hAnsi="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A2E0254"/>
    <w:multiLevelType w:val="hybridMultilevel"/>
    <w:tmpl w:val="E3B07CD8"/>
    <w:lvl w:ilvl="0" w:tplc="041B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2"/>
  </w:num>
  <w:num w:numId="3">
    <w:abstractNumId w:val="13"/>
  </w:num>
  <w:num w:numId="4">
    <w:abstractNumId w:val="11"/>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6"/>
  </w:num>
  <w:num w:numId="12">
    <w:abstractNumId w:val="1"/>
  </w:num>
  <w:num w:numId="13">
    <w:abstractNumId w:val="14"/>
  </w:num>
  <w:num w:numId="14">
    <w:abstractNumId w:val="8"/>
  </w:num>
  <w:num w:numId="15">
    <w:abstractNumId w:val="5"/>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4A05"/>
    <w:rsid w:val="00022031"/>
    <w:rsid w:val="00023155"/>
    <w:rsid w:val="0002425A"/>
    <w:rsid w:val="00024EE4"/>
    <w:rsid w:val="000328DC"/>
    <w:rsid w:val="000441B4"/>
    <w:rsid w:val="00047C70"/>
    <w:rsid w:val="00050AAB"/>
    <w:rsid w:val="00054A53"/>
    <w:rsid w:val="00054C41"/>
    <w:rsid w:val="00060DA1"/>
    <w:rsid w:val="00061E85"/>
    <w:rsid w:val="000820E0"/>
    <w:rsid w:val="0009048A"/>
    <w:rsid w:val="00091A43"/>
    <w:rsid w:val="0009490E"/>
    <w:rsid w:val="000A6B7F"/>
    <w:rsid w:val="000C5419"/>
    <w:rsid w:val="000C5E9A"/>
    <w:rsid w:val="000D15F0"/>
    <w:rsid w:val="000D6DA9"/>
    <w:rsid w:val="00107678"/>
    <w:rsid w:val="0011003B"/>
    <w:rsid w:val="00111332"/>
    <w:rsid w:val="001133DA"/>
    <w:rsid w:val="001261AA"/>
    <w:rsid w:val="00126A2B"/>
    <w:rsid w:val="00136566"/>
    <w:rsid w:val="00142154"/>
    <w:rsid w:val="001476A4"/>
    <w:rsid w:val="001567ED"/>
    <w:rsid w:val="00162C6C"/>
    <w:rsid w:val="0016307C"/>
    <w:rsid w:val="00163857"/>
    <w:rsid w:val="0016512E"/>
    <w:rsid w:val="00166539"/>
    <w:rsid w:val="001738E0"/>
    <w:rsid w:val="0018715C"/>
    <w:rsid w:val="001A1561"/>
    <w:rsid w:val="001B4C03"/>
    <w:rsid w:val="001C60BD"/>
    <w:rsid w:val="001C7B91"/>
    <w:rsid w:val="001D1083"/>
    <w:rsid w:val="001D3FA0"/>
    <w:rsid w:val="001E24E8"/>
    <w:rsid w:val="001E53CB"/>
    <w:rsid w:val="001F75DF"/>
    <w:rsid w:val="00202097"/>
    <w:rsid w:val="00207F43"/>
    <w:rsid w:val="00217FF8"/>
    <w:rsid w:val="002232D3"/>
    <w:rsid w:val="00225A83"/>
    <w:rsid w:val="00231B8F"/>
    <w:rsid w:val="00243A23"/>
    <w:rsid w:val="00270EA5"/>
    <w:rsid w:val="002712B9"/>
    <w:rsid w:val="00284B8C"/>
    <w:rsid w:val="0029483F"/>
    <w:rsid w:val="002C2FC0"/>
    <w:rsid w:val="002D6F52"/>
    <w:rsid w:val="002F1B3A"/>
    <w:rsid w:val="00302A17"/>
    <w:rsid w:val="00310FA0"/>
    <w:rsid w:val="00314D25"/>
    <w:rsid w:val="00315BE2"/>
    <w:rsid w:val="00331438"/>
    <w:rsid w:val="003322EE"/>
    <w:rsid w:val="00337630"/>
    <w:rsid w:val="00340CFD"/>
    <w:rsid w:val="003413D5"/>
    <w:rsid w:val="00342621"/>
    <w:rsid w:val="00357F22"/>
    <w:rsid w:val="0036397C"/>
    <w:rsid w:val="0036748D"/>
    <w:rsid w:val="00376039"/>
    <w:rsid w:val="00377A3D"/>
    <w:rsid w:val="0038255E"/>
    <w:rsid w:val="00391648"/>
    <w:rsid w:val="0039304E"/>
    <w:rsid w:val="0039334E"/>
    <w:rsid w:val="003947C1"/>
    <w:rsid w:val="00394AD2"/>
    <w:rsid w:val="003A02AF"/>
    <w:rsid w:val="003A3124"/>
    <w:rsid w:val="003A686F"/>
    <w:rsid w:val="003B2955"/>
    <w:rsid w:val="003B4AD8"/>
    <w:rsid w:val="003B56F5"/>
    <w:rsid w:val="003C7EFB"/>
    <w:rsid w:val="003E0E5C"/>
    <w:rsid w:val="003E56F5"/>
    <w:rsid w:val="003E58B8"/>
    <w:rsid w:val="003E71B3"/>
    <w:rsid w:val="003F06D7"/>
    <w:rsid w:val="00400224"/>
    <w:rsid w:val="00400BA5"/>
    <w:rsid w:val="004062C3"/>
    <w:rsid w:val="00410E62"/>
    <w:rsid w:val="00414FA7"/>
    <w:rsid w:val="00420090"/>
    <w:rsid w:val="004221E5"/>
    <w:rsid w:val="004239D1"/>
    <w:rsid w:val="00424F77"/>
    <w:rsid w:val="00445638"/>
    <w:rsid w:val="00446432"/>
    <w:rsid w:val="00446512"/>
    <w:rsid w:val="00466D7A"/>
    <w:rsid w:val="0046788F"/>
    <w:rsid w:val="004809C5"/>
    <w:rsid w:val="0048237B"/>
    <w:rsid w:val="00484D16"/>
    <w:rsid w:val="00491853"/>
    <w:rsid w:val="00492D7D"/>
    <w:rsid w:val="004A14CD"/>
    <w:rsid w:val="004A2C6B"/>
    <w:rsid w:val="004B3D96"/>
    <w:rsid w:val="004D20CB"/>
    <w:rsid w:val="004D42A0"/>
    <w:rsid w:val="004D65B2"/>
    <w:rsid w:val="004D681D"/>
    <w:rsid w:val="004E2324"/>
    <w:rsid w:val="004F1D66"/>
    <w:rsid w:val="004F63E6"/>
    <w:rsid w:val="00506CD8"/>
    <w:rsid w:val="005073C5"/>
    <w:rsid w:val="005103DA"/>
    <w:rsid w:val="00511F8F"/>
    <w:rsid w:val="00512BA7"/>
    <w:rsid w:val="00515726"/>
    <w:rsid w:val="005537BB"/>
    <w:rsid w:val="00562527"/>
    <w:rsid w:val="00562A1E"/>
    <w:rsid w:val="00562A7B"/>
    <w:rsid w:val="00563427"/>
    <w:rsid w:val="00577391"/>
    <w:rsid w:val="00581EB9"/>
    <w:rsid w:val="00593B26"/>
    <w:rsid w:val="005B4E6E"/>
    <w:rsid w:val="005B56E4"/>
    <w:rsid w:val="005C4050"/>
    <w:rsid w:val="005C795C"/>
    <w:rsid w:val="005D0E50"/>
    <w:rsid w:val="005D39D8"/>
    <w:rsid w:val="00603CD8"/>
    <w:rsid w:val="0061097B"/>
    <w:rsid w:val="0061612F"/>
    <w:rsid w:val="006177C8"/>
    <w:rsid w:val="006231CD"/>
    <w:rsid w:val="0062600A"/>
    <w:rsid w:val="0063777D"/>
    <w:rsid w:val="00643358"/>
    <w:rsid w:val="00646084"/>
    <w:rsid w:val="006564C3"/>
    <w:rsid w:val="006578CB"/>
    <w:rsid w:val="00680182"/>
    <w:rsid w:val="00681A6D"/>
    <w:rsid w:val="00697CD7"/>
    <w:rsid w:val="006A00D4"/>
    <w:rsid w:val="006A4E85"/>
    <w:rsid w:val="006A60C0"/>
    <w:rsid w:val="006A712F"/>
    <w:rsid w:val="006B5D74"/>
    <w:rsid w:val="006C25BE"/>
    <w:rsid w:val="006C38C0"/>
    <w:rsid w:val="006D7AD8"/>
    <w:rsid w:val="006E4374"/>
    <w:rsid w:val="006F04FF"/>
    <w:rsid w:val="006F1D57"/>
    <w:rsid w:val="0070364C"/>
    <w:rsid w:val="00710EDF"/>
    <w:rsid w:val="00711499"/>
    <w:rsid w:val="0072221D"/>
    <w:rsid w:val="0072357C"/>
    <w:rsid w:val="00724B3B"/>
    <w:rsid w:val="007259CB"/>
    <w:rsid w:val="00726031"/>
    <w:rsid w:val="00726F94"/>
    <w:rsid w:val="007308F0"/>
    <w:rsid w:val="00743BDB"/>
    <w:rsid w:val="00751DA9"/>
    <w:rsid w:val="0075334B"/>
    <w:rsid w:val="00755E69"/>
    <w:rsid w:val="007648EE"/>
    <w:rsid w:val="00766FB3"/>
    <w:rsid w:val="0077106D"/>
    <w:rsid w:val="00780ACC"/>
    <w:rsid w:val="00787A11"/>
    <w:rsid w:val="00797B40"/>
    <w:rsid w:val="007A0C9D"/>
    <w:rsid w:val="007A4502"/>
    <w:rsid w:val="007B40FB"/>
    <w:rsid w:val="007B62AF"/>
    <w:rsid w:val="007E24B2"/>
    <w:rsid w:val="007E2DA4"/>
    <w:rsid w:val="007E6815"/>
    <w:rsid w:val="007E7632"/>
    <w:rsid w:val="007F1C84"/>
    <w:rsid w:val="007F4579"/>
    <w:rsid w:val="00800D8B"/>
    <w:rsid w:val="00801596"/>
    <w:rsid w:val="00804BC8"/>
    <w:rsid w:val="0080588D"/>
    <w:rsid w:val="00806C1D"/>
    <w:rsid w:val="00806E23"/>
    <w:rsid w:val="00807981"/>
    <w:rsid w:val="00823F5A"/>
    <w:rsid w:val="00845D3B"/>
    <w:rsid w:val="00852B5A"/>
    <w:rsid w:val="008534E1"/>
    <w:rsid w:val="00854E20"/>
    <w:rsid w:val="008634E9"/>
    <w:rsid w:val="008711A7"/>
    <w:rsid w:val="008801B5"/>
    <w:rsid w:val="00880578"/>
    <w:rsid w:val="00882407"/>
    <w:rsid w:val="0088305A"/>
    <w:rsid w:val="008920C3"/>
    <w:rsid w:val="00894052"/>
    <w:rsid w:val="008A2831"/>
    <w:rsid w:val="008A7B87"/>
    <w:rsid w:val="008B4AA1"/>
    <w:rsid w:val="008C1C71"/>
    <w:rsid w:val="008C72E1"/>
    <w:rsid w:val="008E1AD0"/>
    <w:rsid w:val="008E315F"/>
    <w:rsid w:val="008E6B82"/>
    <w:rsid w:val="008F18A7"/>
    <w:rsid w:val="008F6ADE"/>
    <w:rsid w:val="0091269B"/>
    <w:rsid w:val="00923C0C"/>
    <w:rsid w:val="009355D9"/>
    <w:rsid w:val="0093584D"/>
    <w:rsid w:val="0095170D"/>
    <w:rsid w:val="00952CF6"/>
    <w:rsid w:val="00960413"/>
    <w:rsid w:val="00980F14"/>
    <w:rsid w:val="00981995"/>
    <w:rsid w:val="00981C7F"/>
    <w:rsid w:val="009843DF"/>
    <w:rsid w:val="00985515"/>
    <w:rsid w:val="00990813"/>
    <w:rsid w:val="0099544D"/>
    <w:rsid w:val="00997513"/>
    <w:rsid w:val="009A0E2C"/>
    <w:rsid w:val="009A4D56"/>
    <w:rsid w:val="009B1F04"/>
    <w:rsid w:val="009B5F3F"/>
    <w:rsid w:val="009E09F7"/>
    <w:rsid w:val="009E2D5C"/>
    <w:rsid w:val="009E3E44"/>
    <w:rsid w:val="009E4CC9"/>
    <w:rsid w:val="009F4175"/>
    <w:rsid w:val="009F66A4"/>
    <w:rsid w:val="009F6C80"/>
    <w:rsid w:val="00A000DA"/>
    <w:rsid w:val="00A1736E"/>
    <w:rsid w:val="00A216DF"/>
    <w:rsid w:val="00A33F2C"/>
    <w:rsid w:val="00A50EE3"/>
    <w:rsid w:val="00A55A61"/>
    <w:rsid w:val="00A83E11"/>
    <w:rsid w:val="00A94A0F"/>
    <w:rsid w:val="00AA3C6D"/>
    <w:rsid w:val="00AB042E"/>
    <w:rsid w:val="00AB57C4"/>
    <w:rsid w:val="00AC0A0A"/>
    <w:rsid w:val="00AC7B79"/>
    <w:rsid w:val="00AD0311"/>
    <w:rsid w:val="00AE2DB2"/>
    <w:rsid w:val="00AF2B77"/>
    <w:rsid w:val="00AF2EE5"/>
    <w:rsid w:val="00B00B63"/>
    <w:rsid w:val="00B11CF5"/>
    <w:rsid w:val="00B209FA"/>
    <w:rsid w:val="00B21513"/>
    <w:rsid w:val="00B21D1F"/>
    <w:rsid w:val="00B410BA"/>
    <w:rsid w:val="00B43D68"/>
    <w:rsid w:val="00B44A3A"/>
    <w:rsid w:val="00B5600C"/>
    <w:rsid w:val="00B66E33"/>
    <w:rsid w:val="00B72FB1"/>
    <w:rsid w:val="00B953DA"/>
    <w:rsid w:val="00BA19B0"/>
    <w:rsid w:val="00BB3870"/>
    <w:rsid w:val="00BB45A7"/>
    <w:rsid w:val="00BD0EF7"/>
    <w:rsid w:val="00BD6366"/>
    <w:rsid w:val="00BD6778"/>
    <w:rsid w:val="00BF2ACD"/>
    <w:rsid w:val="00C01599"/>
    <w:rsid w:val="00C048D1"/>
    <w:rsid w:val="00C05563"/>
    <w:rsid w:val="00C11132"/>
    <w:rsid w:val="00C115B9"/>
    <w:rsid w:val="00C12FDD"/>
    <w:rsid w:val="00C145AA"/>
    <w:rsid w:val="00C14655"/>
    <w:rsid w:val="00C149EC"/>
    <w:rsid w:val="00C21399"/>
    <w:rsid w:val="00C446E2"/>
    <w:rsid w:val="00C454E5"/>
    <w:rsid w:val="00C535F5"/>
    <w:rsid w:val="00C560C4"/>
    <w:rsid w:val="00C56A0A"/>
    <w:rsid w:val="00C612E7"/>
    <w:rsid w:val="00C66FA2"/>
    <w:rsid w:val="00C6748F"/>
    <w:rsid w:val="00C74337"/>
    <w:rsid w:val="00C75DC8"/>
    <w:rsid w:val="00C929AE"/>
    <w:rsid w:val="00CA4344"/>
    <w:rsid w:val="00CA6348"/>
    <w:rsid w:val="00CB1232"/>
    <w:rsid w:val="00CB17A0"/>
    <w:rsid w:val="00CC3B7D"/>
    <w:rsid w:val="00CD5AE4"/>
    <w:rsid w:val="00CD5E86"/>
    <w:rsid w:val="00CE0305"/>
    <w:rsid w:val="00CE3B21"/>
    <w:rsid w:val="00CF4D09"/>
    <w:rsid w:val="00D005F2"/>
    <w:rsid w:val="00D03A8E"/>
    <w:rsid w:val="00D114ED"/>
    <w:rsid w:val="00D22EBD"/>
    <w:rsid w:val="00D3032C"/>
    <w:rsid w:val="00D31A3B"/>
    <w:rsid w:val="00D5309D"/>
    <w:rsid w:val="00D631FA"/>
    <w:rsid w:val="00D71064"/>
    <w:rsid w:val="00D7335A"/>
    <w:rsid w:val="00D73869"/>
    <w:rsid w:val="00D811BB"/>
    <w:rsid w:val="00D82356"/>
    <w:rsid w:val="00D84EEE"/>
    <w:rsid w:val="00D87AE2"/>
    <w:rsid w:val="00D90A61"/>
    <w:rsid w:val="00D946EF"/>
    <w:rsid w:val="00D95553"/>
    <w:rsid w:val="00DA040D"/>
    <w:rsid w:val="00DB4EDC"/>
    <w:rsid w:val="00DC355F"/>
    <w:rsid w:val="00DC514F"/>
    <w:rsid w:val="00DD1E4C"/>
    <w:rsid w:val="00DE331A"/>
    <w:rsid w:val="00DE6ACB"/>
    <w:rsid w:val="00DF02CE"/>
    <w:rsid w:val="00DF1462"/>
    <w:rsid w:val="00E030DA"/>
    <w:rsid w:val="00E214C0"/>
    <w:rsid w:val="00E30244"/>
    <w:rsid w:val="00E30D85"/>
    <w:rsid w:val="00E40543"/>
    <w:rsid w:val="00E444EB"/>
    <w:rsid w:val="00E77A69"/>
    <w:rsid w:val="00E81A42"/>
    <w:rsid w:val="00E91E18"/>
    <w:rsid w:val="00E961E8"/>
    <w:rsid w:val="00E96244"/>
    <w:rsid w:val="00E96DE0"/>
    <w:rsid w:val="00EA4EBD"/>
    <w:rsid w:val="00EB2BEC"/>
    <w:rsid w:val="00EB74BF"/>
    <w:rsid w:val="00EC0704"/>
    <w:rsid w:val="00EC508B"/>
    <w:rsid w:val="00EC720E"/>
    <w:rsid w:val="00ED24BB"/>
    <w:rsid w:val="00ED6B5D"/>
    <w:rsid w:val="00ED7BCB"/>
    <w:rsid w:val="00EE12B2"/>
    <w:rsid w:val="00EE4C99"/>
    <w:rsid w:val="00EE68D3"/>
    <w:rsid w:val="00EF390B"/>
    <w:rsid w:val="00F04E75"/>
    <w:rsid w:val="00F12473"/>
    <w:rsid w:val="00F153D7"/>
    <w:rsid w:val="00F1599C"/>
    <w:rsid w:val="00F15A3A"/>
    <w:rsid w:val="00F2433F"/>
    <w:rsid w:val="00F244DC"/>
    <w:rsid w:val="00F378F4"/>
    <w:rsid w:val="00F47912"/>
    <w:rsid w:val="00F52143"/>
    <w:rsid w:val="00F541B6"/>
    <w:rsid w:val="00F57702"/>
    <w:rsid w:val="00F61361"/>
    <w:rsid w:val="00F613E8"/>
    <w:rsid w:val="00F74D3C"/>
    <w:rsid w:val="00F74FC9"/>
    <w:rsid w:val="00F91F47"/>
    <w:rsid w:val="00FA4F36"/>
    <w:rsid w:val="00FA6FFE"/>
    <w:rsid w:val="00FC121B"/>
    <w:rsid w:val="00FC1290"/>
    <w:rsid w:val="00FD1A66"/>
    <w:rsid w:val="00FD3DFB"/>
    <w:rsid w:val="00FD7938"/>
    <w:rsid w:val="00FF0272"/>
    <w:rsid w:val="00FF08DA"/>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FDCD"/>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F18A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302">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8730304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55350990">
      <w:bodyDiv w:val="1"/>
      <w:marLeft w:val="0"/>
      <w:marRight w:val="0"/>
      <w:marTop w:val="0"/>
      <w:marBottom w:val="0"/>
      <w:divBdr>
        <w:top w:val="none" w:sz="0" w:space="0" w:color="auto"/>
        <w:left w:val="none" w:sz="0" w:space="0" w:color="auto"/>
        <w:bottom w:val="none" w:sz="0" w:space="0" w:color="auto"/>
        <w:right w:val="none" w:sz="0" w:space="0" w:color="auto"/>
      </w:divBdr>
    </w:div>
    <w:div w:id="390344820">
      <w:bodyDiv w:val="1"/>
      <w:marLeft w:val="0"/>
      <w:marRight w:val="0"/>
      <w:marTop w:val="0"/>
      <w:marBottom w:val="0"/>
      <w:divBdr>
        <w:top w:val="none" w:sz="0" w:space="0" w:color="auto"/>
        <w:left w:val="none" w:sz="0" w:space="0" w:color="auto"/>
        <w:bottom w:val="none" w:sz="0" w:space="0" w:color="auto"/>
        <w:right w:val="none" w:sz="0" w:space="0" w:color="auto"/>
      </w:divBdr>
    </w:div>
    <w:div w:id="58742264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52564715">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74521813">
      <w:bodyDiv w:val="1"/>
      <w:marLeft w:val="0"/>
      <w:marRight w:val="0"/>
      <w:marTop w:val="0"/>
      <w:marBottom w:val="0"/>
      <w:divBdr>
        <w:top w:val="none" w:sz="0" w:space="0" w:color="auto"/>
        <w:left w:val="none" w:sz="0" w:space="0" w:color="auto"/>
        <w:bottom w:val="none" w:sz="0" w:space="0" w:color="auto"/>
        <w:right w:val="none" w:sz="0" w:space="0" w:color="auto"/>
      </w:divBdr>
    </w:div>
    <w:div w:id="876812945">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47271215">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94882992">
      <w:bodyDiv w:val="1"/>
      <w:marLeft w:val="0"/>
      <w:marRight w:val="0"/>
      <w:marTop w:val="0"/>
      <w:marBottom w:val="0"/>
      <w:divBdr>
        <w:top w:val="none" w:sz="0" w:space="0" w:color="auto"/>
        <w:left w:val="none" w:sz="0" w:space="0" w:color="auto"/>
        <w:bottom w:val="none" w:sz="0" w:space="0" w:color="auto"/>
        <w:right w:val="none" w:sz="0" w:space="0" w:color="auto"/>
      </w:divBdr>
    </w:div>
    <w:div w:id="1196969956">
      <w:bodyDiv w:val="1"/>
      <w:marLeft w:val="0"/>
      <w:marRight w:val="0"/>
      <w:marTop w:val="0"/>
      <w:marBottom w:val="0"/>
      <w:divBdr>
        <w:top w:val="none" w:sz="0" w:space="0" w:color="auto"/>
        <w:left w:val="none" w:sz="0" w:space="0" w:color="auto"/>
        <w:bottom w:val="none" w:sz="0" w:space="0" w:color="auto"/>
        <w:right w:val="none" w:sz="0" w:space="0" w:color="auto"/>
      </w:divBdr>
    </w:div>
    <w:div w:id="1263800153">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5397160">
      <w:bodyDiv w:val="1"/>
      <w:marLeft w:val="0"/>
      <w:marRight w:val="0"/>
      <w:marTop w:val="0"/>
      <w:marBottom w:val="0"/>
      <w:divBdr>
        <w:top w:val="none" w:sz="0" w:space="0" w:color="auto"/>
        <w:left w:val="none" w:sz="0" w:space="0" w:color="auto"/>
        <w:bottom w:val="none" w:sz="0" w:space="0" w:color="auto"/>
        <w:right w:val="none" w:sz="0" w:space="0" w:color="auto"/>
      </w:divBdr>
    </w:div>
    <w:div w:id="1357387740">
      <w:bodyDiv w:val="1"/>
      <w:marLeft w:val="0"/>
      <w:marRight w:val="0"/>
      <w:marTop w:val="0"/>
      <w:marBottom w:val="0"/>
      <w:divBdr>
        <w:top w:val="none" w:sz="0" w:space="0" w:color="auto"/>
        <w:left w:val="none" w:sz="0" w:space="0" w:color="auto"/>
        <w:bottom w:val="none" w:sz="0" w:space="0" w:color="auto"/>
        <w:right w:val="none" w:sz="0" w:space="0" w:color="auto"/>
      </w:divBdr>
    </w:div>
    <w:div w:id="1463227551">
      <w:bodyDiv w:val="1"/>
      <w:marLeft w:val="0"/>
      <w:marRight w:val="0"/>
      <w:marTop w:val="0"/>
      <w:marBottom w:val="0"/>
      <w:divBdr>
        <w:top w:val="none" w:sz="0" w:space="0" w:color="auto"/>
        <w:left w:val="none" w:sz="0" w:space="0" w:color="auto"/>
        <w:bottom w:val="none" w:sz="0" w:space="0" w:color="auto"/>
        <w:right w:val="none" w:sz="0" w:space="0" w:color="auto"/>
      </w:divBdr>
    </w:div>
    <w:div w:id="1608075533">
      <w:bodyDiv w:val="1"/>
      <w:marLeft w:val="0"/>
      <w:marRight w:val="0"/>
      <w:marTop w:val="0"/>
      <w:marBottom w:val="0"/>
      <w:divBdr>
        <w:top w:val="none" w:sz="0" w:space="0" w:color="auto"/>
        <w:left w:val="none" w:sz="0" w:space="0" w:color="auto"/>
        <w:bottom w:val="none" w:sz="0" w:space="0" w:color="auto"/>
        <w:right w:val="none" w:sz="0" w:space="0" w:color="auto"/>
      </w:divBdr>
    </w:div>
    <w:div w:id="1615594237">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907449430">
      <w:bodyDiv w:val="1"/>
      <w:marLeft w:val="0"/>
      <w:marRight w:val="0"/>
      <w:marTop w:val="0"/>
      <w:marBottom w:val="0"/>
      <w:divBdr>
        <w:top w:val="none" w:sz="0" w:space="0" w:color="auto"/>
        <w:left w:val="none" w:sz="0" w:space="0" w:color="auto"/>
        <w:bottom w:val="none" w:sz="0" w:space="0" w:color="auto"/>
        <w:right w:val="none" w:sz="0" w:space="0" w:color="auto"/>
      </w:divBdr>
    </w:div>
    <w:div w:id="2044161753">
      <w:bodyDiv w:val="1"/>
      <w:marLeft w:val="0"/>
      <w:marRight w:val="0"/>
      <w:marTop w:val="0"/>
      <w:marBottom w:val="0"/>
      <w:divBdr>
        <w:top w:val="none" w:sz="0" w:space="0" w:color="auto"/>
        <w:left w:val="none" w:sz="0" w:space="0" w:color="auto"/>
        <w:bottom w:val="none" w:sz="0" w:space="0" w:color="auto"/>
        <w:right w:val="none" w:sz="0" w:space="0" w:color="auto"/>
      </w:divBdr>
    </w:div>
    <w:div w:id="2071466039">
      <w:bodyDiv w:val="1"/>
      <w:marLeft w:val="0"/>
      <w:marRight w:val="0"/>
      <w:marTop w:val="0"/>
      <w:marBottom w:val="0"/>
      <w:divBdr>
        <w:top w:val="none" w:sz="0" w:space="0" w:color="auto"/>
        <w:left w:val="none" w:sz="0" w:space="0" w:color="auto"/>
        <w:bottom w:val="none" w:sz="0" w:space="0" w:color="auto"/>
        <w:right w:val="none" w:sz="0" w:space="0" w:color="auto"/>
      </w:divBdr>
    </w:div>
    <w:div w:id="208702614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09881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hsr.sk/podnikatelske-prostredie/lepsia-regulacia/regulacne-zatazenie/kalkulacka-nakladov-regulaci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60588EA71FF644898A760113166C85E" ma:contentTypeVersion="" ma:contentTypeDescription="Umožňuje vytvoriť nový dokument." ma:contentTypeScope="" ma:versionID="e1f3419d0c7b447b4386b1a2d3d437bb">
  <xsd:schema xmlns:xsd="http://www.w3.org/2001/XMLSchema" xmlns:xs="http://www.w3.org/2001/XMLSchema" xmlns:p="http://schemas.microsoft.com/office/2006/metadata/properties" xmlns:ns2="470eb116-6912-4078-bb41-ab03a7dcbeb2" xmlns:ns3="ff2ae56c-fe8d-42fc-a8f0-388df87c152e" targetNamespace="http://schemas.microsoft.com/office/2006/metadata/properties" ma:root="true" ma:fieldsID="a31cba51685774539c560f964474afdb" ns2:_="" ns3:_="">
    <xsd:import namespace="470eb116-6912-4078-bb41-ab03a7dcbeb2"/>
    <xsd:import namespace="ff2ae56c-fe8d-42fc-a8f0-388df87c152e"/>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0eb116-6912-4078-bb41-ab03a7dcbeb2"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2ae56c-fe8d-42fc-a8f0-388df87c152e" elementFormDefault="qualified">
    <xsd:import namespace="http://schemas.microsoft.com/office/2006/documentManagement/types"/>
    <xsd:import namespace="http://schemas.microsoft.com/office/infopath/2007/PartnerControls"/>
    <xsd:element name="SharedWithDetails" ma:index="9" nillable="true" ma:displayName="Zdieľané s podrobnosťami"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CC7F7-CBB0-4A30-9463-83EB8DF70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0eb116-6912-4078-bb41-ab03a7dcbeb2"/>
    <ds:schemaRef ds:uri="ff2ae56c-fe8d-42fc-a8f0-388df87c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0B02530C-5192-4E70-986D-362DE873745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C8F33D-1A5A-4893-A7B6-CC1EFF15CDEC}">
  <ds:schemaRefs>
    <ds:schemaRef ds:uri="http://schemas.microsoft.com/sharepoint/v3/contenttype/forms"/>
  </ds:schemaRefs>
</ds:datastoreItem>
</file>

<file path=customXml/itemProps5.xml><?xml version="1.0" encoding="utf-8"?>
<ds:datastoreItem xmlns:ds="http://schemas.openxmlformats.org/officeDocument/2006/customXml" ds:itemID="{9AE5AF27-570A-40AF-9A06-94A4D9A08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3331</Words>
  <Characters>18993</Characters>
  <Application>Microsoft Office Word</Application>
  <DocSecurity>0</DocSecurity>
  <Lines>158</Lines>
  <Paragraphs>44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Bokol Viliam</cp:lastModifiedBy>
  <cp:revision>10</cp:revision>
  <cp:lastPrinted>2026-11-02T09:22:00Z</cp:lastPrinted>
  <dcterms:created xsi:type="dcterms:W3CDTF">2026-10-29T12:05:00Z</dcterms:created>
  <dcterms:modified xsi:type="dcterms:W3CDTF">2026-11-02T09:24:00Z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ContentTypeId">
    <vt:lpwstr>0x010100860588EA71FF644898A760113166C85E</vt:lpwstr>
  </property>
</Properties>
</file>