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D0147" w14:textId="539AB060" w:rsidR="00B043B3" w:rsidRDefault="00F73E43" w:rsidP="00F73E43">
      <w:pPr>
        <w:jc w:val="center"/>
        <w:rPr>
          <w:rFonts w:ascii="Times New Roman" w:hAnsi="Times New Roman" w:cs="Times New Roman"/>
          <w:b/>
          <w:bCs/>
        </w:rPr>
      </w:pPr>
      <w:r w:rsidRPr="00F73E43">
        <w:rPr>
          <w:rFonts w:ascii="Times New Roman" w:hAnsi="Times New Roman" w:cs="Times New Roman"/>
          <w:b/>
          <w:bCs/>
        </w:rPr>
        <w:t>Dôvodová správa</w:t>
      </w:r>
    </w:p>
    <w:p w14:paraId="26A1426E" w14:textId="70325B44" w:rsidR="00F73E43" w:rsidRDefault="00F73E43" w:rsidP="00F73E43">
      <w:pPr>
        <w:rPr>
          <w:rFonts w:ascii="Times New Roman" w:hAnsi="Times New Roman" w:cs="Times New Roman"/>
          <w:b/>
          <w:bCs/>
        </w:rPr>
      </w:pPr>
      <w:r>
        <w:rPr>
          <w:rFonts w:ascii="Times New Roman" w:hAnsi="Times New Roman" w:cs="Times New Roman"/>
          <w:b/>
          <w:bCs/>
        </w:rPr>
        <w:t>B. Osobitná časť</w:t>
      </w:r>
    </w:p>
    <w:p w14:paraId="08B48FA9" w14:textId="6BDC98A5" w:rsidR="00F73E43" w:rsidRDefault="00F73E43" w:rsidP="00F73E43">
      <w:pPr>
        <w:rPr>
          <w:rFonts w:ascii="Times New Roman" w:hAnsi="Times New Roman" w:cs="Times New Roman"/>
          <w:b/>
          <w:bCs/>
        </w:rPr>
      </w:pPr>
      <w:r>
        <w:rPr>
          <w:rFonts w:ascii="Times New Roman" w:hAnsi="Times New Roman" w:cs="Times New Roman"/>
          <w:b/>
          <w:bCs/>
        </w:rPr>
        <w:t>K Čl. I</w:t>
      </w:r>
    </w:p>
    <w:p w14:paraId="5DEFC619" w14:textId="05121D30" w:rsidR="00F73E43" w:rsidRDefault="00F73E43" w:rsidP="00921D2B">
      <w:pPr>
        <w:jc w:val="both"/>
        <w:rPr>
          <w:rFonts w:ascii="Times New Roman" w:hAnsi="Times New Roman" w:cs="Times New Roman"/>
          <w:b/>
          <w:bCs/>
        </w:rPr>
      </w:pPr>
      <w:r>
        <w:rPr>
          <w:rFonts w:ascii="Times New Roman" w:hAnsi="Times New Roman" w:cs="Times New Roman"/>
          <w:b/>
          <w:bCs/>
        </w:rPr>
        <w:t xml:space="preserve">K bodu </w:t>
      </w:r>
      <w:r w:rsidR="003C3853">
        <w:rPr>
          <w:rFonts w:ascii="Times New Roman" w:hAnsi="Times New Roman" w:cs="Times New Roman"/>
          <w:b/>
          <w:bCs/>
        </w:rPr>
        <w:t>1</w:t>
      </w:r>
    </w:p>
    <w:p w14:paraId="04D2BEC2" w14:textId="3E740579" w:rsidR="00D817BE" w:rsidRPr="00D817BE" w:rsidRDefault="00D817BE" w:rsidP="00921D2B">
      <w:pPr>
        <w:jc w:val="both"/>
        <w:rPr>
          <w:rFonts w:ascii="Times New Roman" w:hAnsi="Times New Roman" w:cs="Times New Roman"/>
          <w:b/>
          <w:bCs/>
          <w:i/>
          <w:iCs/>
        </w:rPr>
      </w:pPr>
      <w:r w:rsidRPr="00D817BE">
        <w:rPr>
          <w:rFonts w:ascii="Times New Roman" w:hAnsi="Times New Roman" w:cs="Times New Roman"/>
          <w:b/>
          <w:bCs/>
          <w:i/>
          <w:iCs/>
        </w:rPr>
        <w:t>§ 1</w:t>
      </w:r>
    </w:p>
    <w:p w14:paraId="1135ECEE" w14:textId="207D5FD9" w:rsidR="00921D2B" w:rsidRPr="00921D2B" w:rsidRDefault="00921D2B" w:rsidP="00921D2B">
      <w:pPr>
        <w:jc w:val="both"/>
        <w:rPr>
          <w:rFonts w:ascii="Times New Roman" w:hAnsi="Times New Roman" w:cs="Times New Roman"/>
        </w:rPr>
      </w:pPr>
      <w:r w:rsidRPr="00921D2B">
        <w:rPr>
          <w:rFonts w:ascii="Times New Roman" w:hAnsi="Times New Roman" w:cs="Times New Roman"/>
        </w:rPr>
        <w:t xml:space="preserve">Úprava koeficientu prepočtu referenčného HDP ako základu pre určenie prahovej hodnoty podľa § </w:t>
      </w:r>
      <w:r w:rsidR="00D817BE">
        <w:rPr>
          <w:rFonts w:ascii="Times New Roman" w:hAnsi="Times New Roman" w:cs="Times New Roman"/>
        </w:rPr>
        <w:t>1</w:t>
      </w:r>
      <w:r w:rsidRPr="00921D2B">
        <w:rPr>
          <w:rFonts w:ascii="Times New Roman" w:hAnsi="Times New Roman" w:cs="Times New Roman"/>
        </w:rPr>
        <w:t xml:space="preserve"> písm. a)</w:t>
      </w:r>
      <w:r w:rsidR="00D817BE">
        <w:rPr>
          <w:rFonts w:ascii="Times New Roman" w:hAnsi="Times New Roman" w:cs="Times New Roman"/>
        </w:rPr>
        <w:t xml:space="preserve"> až c)</w:t>
      </w:r>
      <w:r w:rsidRPr="00921D2B">
        <w:rPr>
          <w:rFonts w:ascii="Times New Roman" w:hAnsi="Times New Roman" w:cs="Times New Roman"/>
        </w:rPr>
        <w:t xml:space="preserve"> je navrhnutá s cieľom zohľadniť pri určovaní prahovej hodnoty mieru relatívneho prínosu hodnoteného lieku a zároveň vytvoriť predpoklady na predvídateľnejšie a dlhodobo udržateľné financovanie liekov vstupujúcich do zoznamu kategorizovaných liekov.</w:t>
      </w:r>
    </w:p>
    <w:p w14:paraId="513FA60E" w14:textId="26B6713A" w:rsidR="00D817BE" w:rsidRPr="00D817BE" w:rsidRDefault="00D817BE" w:rsidP="00921D2B">
      <w:pPr>
        <w:jc w:val="both"/>
        <w:rPr>
          <w:rFonts w:ascii="Times New Roman" w:hAnsi="Times New Roman" w:cs="Times New Roman"/>
          <w:b/>
          <w:bCs/>
          <w:i/>
          <w:iCs/>
        </w:rPr>
      </w:pPr>
      <w:r>
        <w:rPr>
          <w:rFonts w:ascii="Times New Roman" w:hAnsi="Times New Roman" w:cs="Times New Roman"/>
          <w:b/>
          <w:bCs/>
          <w:i/>
          <w:iCs/>
        </w:rPr>
        <w:t>§ 1 p</w:t>
      </w:r>
      <w:r w:rsidRPr="00D817BE">
        <w:rPr>
          <w:rFonts w:ascii="Times New Roman" w:hAnsi="Times New Roman" w:cs="Times New Roman"/>
          <w:b/>
          <w:bCs/>
          <w:i/>
          <w:iCs/>
        </w:rPr>
        <w:t>ísmeno a)</w:t>
      </w:r>
    </w:p>
    <w:p w14:paraId="5CCF1690" w14:textId="43BD53AB" w:rsidR="00921D2B" w:rsidRPr="00921D2B" w:rsidRDefault="00921D2B" w:rsidP="00921D2B">
      <w:pPr>
        <w:jc w:val="both"/>
        <w:rPr>
          <w:rFonts w:ascii="Times New Roman" w:hAnsi="Times New Roman" w:cs="Times New Roman"/>
        </w:rPr>
      </w:pPr>
      <w:r w:rsidRPr="00921D2B">
        <w:rPr>
          <w:rFonts w:ascii="Times New Roman" w:hAnsi="Times New Roman" w:cs="Times New Roman"/>
        </w:rPr>
        <w:t>Ministerstvo zastáva názor, že odstupňovanie prahovej hodnoty má primerane odrážať veľkosť relatívneho prínosu hodnoteného lieku. Z tohto dôvodu sa navrhuje úprava prvej úrovne prahovej hodnoty spolu so znížením hranice inkrementálneho prínosu vyjadreného v QALY, ktorá túto úroveň prahovej hodnoty vymedzuje.</w:t>
      </w:r>
    </w:p>
    <w:p w14:paraId="0FA183AF" w14:textId="32576197" w:rsidR="00921D2B" w:rsidRPr="00921D2B" w:rsidRDefault="00921D2B" w:rsidP="00921D2B">
      <w:pPr>
        <w:jc w:val="both"/>
        <w:rPr>
          <w:rFonts w:ascii="Times New Roman" w:hAnsi="Times New Roman" w:cs="Times New Roman"/>
        </w:rPr>
      </w:pPr>
      <w:r w:rsidRPr="00921D2B">
        <w:rPr>
          <w:rFonts w:ascii="Times New Roman" w:hAnsi="Times New Roman" w:cs="Times New Roman"/>
        </w:rPr>
        <w:t>Zníženie hranice inkrementálneho prínosu z 0,33 QALY na 0,20 QALY a zodpovedajúca úprava prahovej hodnoty z približne 48 026 eur na približne 30 017 eur predstavujú v oboch prípadoch zníženie približne o 40 % oproti súčasnému nastaveniu. Navrhovaná úprava tak zabezpečuje súlad medzi hranicou inkrementálneho prínosu a výškou prahovej hodnoty, ktorá je k tejto hranici priradená</w:t>
      </w:r>
      <w:r>
        <w:rPr>
          <w:rFonts w:ascii="Times New Roman" w:hAnsi="Times New Roman" w:cs="Times New Roman"/>
        </w:rPr>
        <w:t>.</w:t>
      </w:r>
    </w:p>
    <w:p w14:paraId="27330452" w14:textId="22ACDCF3" w:rsidR="00D817BE" w:rsidRPr="00D817BE" w:rsidRDefault="00D817BE" w:rsidP="00D817BE">
      <w:pPr>
        <w:jc w:val="both"/>
        <w:rPr>
          <w:rFonts w:ascii="Times New Roman" w:hAnsi="Times New Roman" w:cs="Times New Roman"/>
          <w:b/>
          <w:bCs/>
          <w:i/>
          <w:iCs/>
        </w:rPr>
      </w:pPr>
      <w:r>
        <w:rPr>
          <w:rFonts w:ascii="Times New Roman" w:hAnsi="Times New Roman" w:cs="Times New Roman"/>
          <w:b/>
          <w:bCs/>
          <w:i/>
          <w:iCs/>
        </w:rPr>
        <w:t>§ 1 p</w:t>
      </w:r>
      <w:r w:rsidRPr="00D817BE">
        <w:rPr>
          <w:rFonts w:ascii="Times New Roman" w:hAnsi="Times New Roman" w:cs="Times New Roman"/>
          <w:b/>
          <w:bCs/>
          <w:i/>
          <w:iCs/>
        </w:rPr>
        <w:t xml:space="preserve">ísmeno </w:t>
      </w:r>
      <w:r>
        <w:rPr>
          <w:rFonts w:ascii="Times New Roman" w:hAnsi="Times New Roman" w:cs="Times New Roman"/>
          <w:b/>
          <w:bCs/>
          <w:i/>
          <w:iCs/>
        </w:rPr>
        <w:t>b</w:t>
      </w:r>
      <w:r w:rsidRPr="00D817BE">
        <w:rPr>
          <w:rFonts w:ascii="Times New Roman" w:hAnsi="Times New Roman" w:cs="Times New Roman"/>
          <w:b/>
          <w:bCs/>
          <w:i/>
          <w:iCs/>
        </w:rPr>
        <w:t>)</w:t>
      </w:r>
    </w:p>
    <w:p w14:paraId="395C6DE4" w14:textId="13829513" w:rsidR="00921D2B" w:rsidRPr="00921D2B" w:rsidRDefault="00921D2B" w:rsidP="00921D2B">
      <w:pPr>
        <w:jc w:val="both"/>
        <w:rPr>
          <w:rFonts w:ascii="Times New Roman" w:hAnsi="Times New Roman" w:cs="Times New Roman"/>
        </w:rPr>
      </w:pPr>
      <w:r w:rsidRPr="00921D2B">
        <w:rPr>
          <w:rFonts w:ascii="Times New Roman" w:hAnsi="Times New Roman" w:cs="Times New Roman"/>
        </w:rPr>
        <w:t>Úpravou hranice inkrementálneho prínosu pre druhú úroveň prahovej hodnoty z hodnoty 0,33 QALY a viac na interval od 0,20 QALY do 0,50 QALY sa zabezpečuje diferencovanejšie nastavenie prahovej hodnoty podľa veľkosti dosiahnutého inkrementálneho prínosu. Pre lieky s inkrementálnym prínosom v rozsahu od 0,20 do 0,33 QALY tak zostáva zachovaná prahová hodnota približne na úrovni súčasnej druhej úrovne, zatiaľ čo pre lieky s inkrementálnym prínosom v rozsahu od 0,33 do 0,50 QALY sa prahová hodnota znižuje zo súčasných približne 72 040 eur na približne 48 026 eur, čo predstavuje pokles o približne 33 %.</w:t>
      </w:r>
    </w:p>
    <w:p w14:paraId="29F09D4B" w14:textId="77777777" w:rsidR="00921D2B" w:rsidRPr="00921D2B" w:rsidRDefault="00921D2B" w:rsidP="00921D2B">
      <w:pPr>
        <w:jc w:val="both"/>
        <w:rPr>
          <w:rFonts w:ascii="Times New Roman" w:hAnsi="Times New Roman" w:cs="Times New Roman"/>
        </w:rPr>
      </w:pPr>
      <w:r w:rsidRPr="00921D2B">
        <w:rPr>
          <w:rFonts w:ascii="Times New Roman" w:hAnsi="Times New Roman" w:cs="Times New Roman"/>
        </w:rPr>
        <w:t>Navrhovaná úprava tak umožňuje lepšie diferencovať prahovú hodnotu podľa veľkosti relatívneho prínosu lieku a zároveň zachováva súčasnú úroveň prahovej hodnoty pre lieky s inkrementálnym prínosom v rozsahu od 0,20 do 0,33 QALY.</w:t>
      </w:r>
    </w:p>
    <w:p w14:paraId="0050FF90" w14:textId="64BA6737" w:rsidR="00D817BE" w:rsidRPr="00D817BE" w:rsidRDefault="00D817BE" w:rsidP="00D817BE">
      <w:pPr>
        <w:jc w:val="both"/>
        <w:rPr>
          <w:rFonts w:ascii="Times New Roman" w:hAnsi="Times New Roman" w:cs="Times New Roman"/>
          <w:b/>
          <w:bCs/>
          <w:i/>
          <w:iCs/>
        </w:rPr>
      </w:pPr>
      <w:r>
        <w:rPr>
          <w:rFonts w:ascii="Times New Roman" w:hAnsi="Times New Roman" w:cs="Times New Roman"/>
          <w:b/>
          <w:bCs/>
          <w:i/>
          <w:iCs/>
        </w:rPr>
        <w:t>§ 1 p</w:t>
      </w:r>
      <w:r w:rsidRPr="00D817BE">
        <w:rPr>
          <w:rFonts w:ascii="Times New Roman" w:hAnsi="Times New Roman" w:cs="Times New Roman"/>
          <w:b/>
          <w:bCs/>
          <w:i/>
          <w:iCs/>
        </w:rPr>
        <w:t xml:space="preserve">ísmeno </w:t>
      </w:r>
      <w:r>
        <w:rPr>
          <w:rFonts w:ascii="Times New Roman" w:hAnsi="Times New Roman" w:cs="Times New Roman"/>
          <w:b/>
          <w:bCs/>
          <w:i/>
          <w:iCs/>
        </w:rPr>
        <w:t>c</w:t>
      </w:r>
      <w:r w:rsidRPr="00D817BE">
        <w:rPr>
          <w:rFonts w:ascii="Times New Roman" w:hAnsi="Times New Roman" w:cs="Times New Roman"/>
          <w:b/>
          <w:bCs/>
          <w:i/>
          <w:iCs/>
        </w:rPr>
        <w:t>)</w:t>
      </w:r>
    </w:p>
    <w:p w14:paraId="10C6CF5F" w14:textId="10A679AF" w:rsidR="00921D2B" w:rsidRPr="00921D2B" w:rsidRDefault="00921D2B" w:rsidP="00921D2B">
      <w:pPr>
        <w:jc w:val="both"/>
        <w:rPr>
          <w:rFonts w:ascii="Times New Roman" w:hAnsi="Times New Roman" w:cs="Times New Roman"/>
        </w:rPr>
      </w:pPr>
      <w:r w:rsidRPr="00921D2B">
        <w:rPr>
          <w:rFonts w:ascii="Times New Roman" w:hAnsi="Times New Roman" w:cs="Times New Roman"/>
        </w:rPr>
        <w:t>Zavedením novej tretej úrovne prahovej hodnoty podľa § 2 písm. c) sa navrhuje priznať vyššiu prahovú hodnotu liekom, ktoré dosahujú najvyšší inkrementálny prínos vyjadrený v QALY. Navrhované odstupňovanie tak zohľadňuje skutočnosť, že vyšší relatívny prínos hodnoteného lieku odôvodňuje vyššiu prahovú hodnotu.</w:t>
      </w:r>
    </w:p>
    <w:p w14:paraId="360E2E87" w14:textId="2AD9630E" w:rsidR="00921D2B" w:rsidRPr="00921D2B" w:rsidRDefault="00921D2B" w:rsidP="00921D2B">
      <w:pPr>
        <w:jc w:val="both"/>
        <w:rPr>
          <w:rFonts w:ascii="Times New Roman" w:hAnsi="Times New Roman" w:cs="Times New Roman"/>
        </w:rPr>
      </w:pPr>
      <w:r w:rsidRPr="00921D2B">
        <w:rPr>
          <w:rFonts w:ascii="Times New Roman" w:hAnsi="Times New Roman" w:cs="Times New Roman"/>
        </w:rPr>
        <w:lastRenderedPageBreak/>
        <w:t>Koeficient násobku referenčnej hodnoty HDP bol stanovený s prihliadnutím na úroveň prahovej hodnoty používanej v roku 2022. Navrhovaná prahová hodnota vo výške približne 55 231 eur je v porovnaní s prahovou hodnotou uplatňovanou v roku 2022 vo výške približne 51 836 eur mierne vyššia</w:t>
      </w:r>
      <w:r w:rsidR="00D817BE">
        <w:rPr>
          <w:rFonts w:ascii="Times New Roman" w:hAnsi="Times New Roman" w:cs="Times New Roman"/>
        </w:rPr>
        <w:t>, čo reflektuje rast ekonomickej výkonnosti počas štyroch rokov a možnosti krajiny zvyšovania výdavkov na lieky</w:t>
      </w:r>
      <w:r w:rsidRPr="00921D2B">
        <w:rPr>
          <w:rFonts w:ascii="Times New Roman" w:hAnsi="Times New Roman" w:cs="Times New Roman"/>
        </w:rPr>
        <w:t>.</w:t>
      </w:r>
    </w:p>
    <w:p w14:paraId="591BC1AA" w14:textId="77777777" w:rsidR="00921D2B" w:rsidRPr="00921D2B" w:rsidRDefault="00921D2B" w:rsidP="00921D2B">
      <w:pPr>
        <w:jc w:val="both"/>
        <w:rPr>
          <w:rFonts w:ascii="Times New Roman" w:hAnsi="Times New Roman" w:cs="Times New Roman"/>
        </w:rPr>
      </w:pPr>
      <w:r w:rsidRPr="00921D2B">
        <w:rPr>
          <w:rFonts w:ascii="Times New Roman" w:hAnsi="Times New Roman" w:cs="Times New Roman"/>
        </w:rPr>
        <w:t>Navrhovaná úroveň prahovej hodnoty je zároveň porovnateľná s úrovňou prahovej hodnoty uplatňovanej v Českej republike, kde je dlhodobo fixovaná prahová hodnota vo výške 1,2 mil. Kč, čo predstavuje približne 49 613 eur.</w:t>
      </w:r>
    </w:p>
    <w:p w14:paraId="18E181AF" w14:textId="77777777" w:rsidR="00921D2B" w:rsidRPr="00921D2B" w:rsidRDefault="00921D2B" w:rsidP="00921D2B">
      <w:pPr>
        <w:jc w:val="both"/>
        <w:rPr>
          <w:rFonts w:ascii="Times New Roman" w:hAnsi="Times New Roman" w:cs="Times New Roman"/>
        </w:rPr>
      </w:pPr>
      <w:r w:rsidRPr="00921D2B">
        <w:rPr>
          <w:rFonts w:ascii="Times New Roman" w:hAnsi="Times New Roman" w:cs="Times New Roman"/>
        </w:rPr>
        <w:t>Návrh na zníženie prahových hodnôt bol zároveň predmetom odporúčaní Útvaru hodnoty za peniaze. Navrhovaná úroveň tretej prahovej hodnoty zohľadňuje aj skutočnosť, že v podmienkach Slovenskej republiky predstavuje nákladová efektívnosť výlučné kritérium pre posudzovanie nákladovej efektívnosti nových liekov pri ich kategorizácii. Vzhľadom na túto skutočnosť možno mierne vyššiu úroveň prahovej hodnoty v porovnaní s niektorými inými krajinami považovať za odôvodnenú.</w:t>
      </w:r>
    </w:p>
    <w:p w14:paraId="2C07B1EF" w14:textId="60A4958B" w:rsidR="003B368C" w:rsidRDefault="003B368C" w:rsidP="00A2131C">
      <w:pPr>
        <w:jc w:val="both"/>
        <w:rPr>
          <w:rFonts w:ascii="Times New Roman" w:hAnsi="Times New Roman" w:cs="Times New Roman"/>
        </w:rPr>
      </w:pPr>
      <w:r>
        <w:rPr>
          <w:rFonts w:ascii="Times New Roman" w:hAnsi="Times New Roman" w:cs="Times New Roman"/>
          <w:b/>
          <w:bCs/>
        </w:rPr>
        <w:t xml:space="preserve">K bodu </w:t>
      </w:r>
      <w:r w:rsidR="003C3853">
        <w:rPr>
          <w:rFonts w:ascii="Times New Roman" w:hAnsi="Times New Roman" w:cs="Times New Roman"/>
          <w:b/>
          <w:bCs/>
        </w:rPr>
        <w:t>2</w:t>
      </w:r>
    </w:p>
    <w:p w14:paraId="46ACFC36" w14:textId="3CA4FCA7" w:rsidR="00D817BE" w:rsidRPr="00D817BE" w:rsidRDefault="00D817BE" w:rsidP="001C556E">
      <w:pPr>
        <w:jc w:val="both"/>
        <w:rPr>
          <w:rFonts w:ascii="Times New Roman" w:hAnsi="Times New Roman" w:cs="Times New Roman"/>
          <w:b/>
          <w:bCs/>
          <w:i/>
          <w:iCs/>
        </w:rPr>
      </w:pPr>
      <w:r w:rsidRPr="00D817BE">
        <w:rPr>
          <w:rFonts w:ascii="Times New Roman" w:hAnsi="Times New Roman" w:cs="Times New Roman"/>
          <w:b/>
          <w:bCs/>
          <w:i/>
          <w:iCs/>
        </w:rPr>
        <w:t>§ 2</w:t>
      </w:r>
    </w:p>
    <w:p w14:paraId="1116A7D8" w14:textId="385F9A3E" w:rsidR="001C556E" w:rsidRPr="001C556E" w:rsidRDefault="001C556E" w:rsidP="001C556E">
      <w:pPr>
        <w:jc w:val="both"/>
        <w:rPr>
          <w:rFonts w:ascii="Times New Roman" w:hAnsi="Times New Roman" w:cs="Times New Roman"/>
        </w:rPr>
      </w:pPr>
      <w:r w:rsidRPr="001C556E">
        <w:rPr>
          <w:rFonts w:ascii="Times New Roman" w:hAnsi="Times New Roman" w:cs="Times New Roman"/>
        </w:rPr>
        <w:t xml:space="preserve">Úprava úvodnej vety v § </w:t>
      </w:r>
      <w:r w:rsidR="00D817BE">
        <w:rPr>
          <w:rFonts w:ascii="Times New Roman" w:hAnsi="Times New Roman" w:cs="Times New Roman"/>
        </w:rPr>
        <w:t>2</w:t>
      </w:r>
      <w:r w:rsidRPr="001C556E">
        <w:rPr>
          <w:rFonts w:ascii="Times New Roman" w:hAnsi="Times New Roman" w:cs="Times New Roman"/>
        </w:rPr>
        <w:t xml:space="preserve"> reflektuje navrhovanú legislatívnu zmenu v zákone č. 363/2011 Z. z., ktorou sa navrhuje priznať zvýšenú úroveň prahových hodnôt aj liekom určeným na pediatrickú indikáciu.</w:t>
      </w:r>
    </w:p>
    <w:p w14:paraId="2D31B767"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t>Navrhovaná úprava zohľadňuje špecifiká vývoja a hodnotenia liekov pre pediatrickú populáciu. Klinické skúšanie liekov v detskej populácii je v porovnaní s dospelou populáciou menej časté a jeho realizácia môže byť vzhľadom na veľkosť cieľovej populácie, nábor pacientov a osobitné požiadavky na vykonávanie klinických skúšaní náročnejšia. Tieto špecifiká môžu vplývať na dostupnosť klinických dôkazov a na vývoj a dostupnosť liečby určenej pre pediatrických pacientov.</w:t>
      </w:r>
    </w:p>
    <w:p w14:paraId="6755AB27"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t>Zvýšená úroveň prahovej hodnoty preto zohľadňuje osobitosti pediatrickej populácie a vytvára podmienky na lepšiu dostupnosť inovatívnej liečby pre detských pacientov. Súčasne sa tým podporuje rovnaký prístup k účinnej a dostupnej liečbe naprieč vekovými skupinami obyvateľstva.</w:t>
      </w:r>
    </w:p>
    <w:p w14:paraId="3B2B7CAF" w14:textId="022D944F" w:rsidR="001E090A" w:rsidRDefault="001C556E" w:rsidP="00A2131C">
      <w:pPr>
        <w:jc w:val="both"/>
        <w:rPr>
          <w:rFonts w:ascii="Times New Roman" w:hAnsi="Times New Roman" w:cs="Times New Roman"/>
        </w:rPr>
      </w:pPr>
      <w:r w:rsidRPr="001C556E">
        <w:rPr>
          <w:rFonts w:ascii="Times New Roman" w:hAnsi="Times New Roman" w:cs="Times New Roman"/>
        </w:rPr>
        <w:t>Včasná diagnostika a liečba ochorení v detskom veku môže prispieť k zlepšeniu zdravotného stavu populácie, predchádzaniu dlhodobých zdravotných následkov a zníženiu záťaže spojenej s poskytovaním neformálnej starostlivosti. Tieto faktory môžu mať pozitívny vplyv aj na širšie spoločenské a ekonomické dopady ochorení.</w:t>
      </w:r>
    </w:p>
    <w:p w14:paraId="74CBFFB5" w14:textId="33A525D2" w:rsidR="00D817BE" w:rsidRPr="00D817BE" w:rsidRDefault="00D817BE" w:rsidP="001C556E">
      <w:pPr>
        <w:jc w:val="both"/>
        <w:rPr>
          <w:rFonts w:ascii="Times New Roman" w:hAnsi="Times New Roman" w:cs="Times New Roman"/>
          <w:b/>
          <w:bCs/>
          <w:i/>
          <w:iCs/>
        </w:rPr>
      </w:pPr>
      <w:r>
        <w:rPr>
          <w:rFonts w:ascii="Times New Roman" w:hAnsi="Times New Roman" w:cs="Times New Roman"/>
          <w:b/>
          <w:bCs/>
          <w:i/>
          <w:iCs/>
        </w:rPr>
        <w:t>§ 2 p</w:t>
      </w:r>
      <w:r w:rsidRPr="00D817BE">
        <w:rPr>
          <w:rFonts w:ascii="Times New Roman" w:hAnsi="Times New Roman" w:cs="Times New Roman"/>
          <w:b/>
          <w:bCs/>
          <w:i/>
          <w:iCs/>
        </w:rPr>
        <w:t>ísmeno a)</w:t>
      </w:r>
    </w:p>
    <w:p w14:paraId="0208AD71" w14:textId="00BA584A" w:rsidR="001C556E" w:rsidRPr="001C556E" w:rsidRDefault="001C556E" w:rsidP="001C556E">
      <w:pPr>
        <w:jc w:val="both"/>
        <w:rPr>
          <w:rFonts w:ascii="Times New Roman" w:hAnsi="Times New Roman" w:cs="Times New Roman"/>
        </w:rPr>
      </w:pPr>
      <w:r w:rsidRPr="001C556E">
        <w:rPr>
          <w:rFonts w:ascii="Times New Roman" w:hAnsi="Times New Roman" w:cs="Times New Roman"/>
        </w:rPr>
        <w:t xml:space="preserve">Úprava koeficientu prepočtu referenčného HDP ako základu pre určenie prahovej hodnoty podľa § </w:t>
      </w:r>
      <w:r w:rsidR="0021770C">
        <w:rPr>
          <w:rFonts w:ascii="Times New Roman" w:hAnsi="Times New Roman" w:cs="Times New Roman"/>
        </w:rPr>
        <w:t>2</w:t>
      </w:r>
      <w:r w:rsidRPr="001C556E">
        <w:rPr>
          <w:rFonts w:ascii="Times New Roman" w:hAnsi="Times New Roman" w:cs="Times New Roman"/>
        </w:rPr>
        <w:t xml:space="preserve"> písm. a) je navrhnutá s cieľom zohľadniť pri určovaní prahovej hodnoty mieru relatívneho prínosu hodnoteného lieku a zároveň vytvoriť predpoklady na predvídateľnejšie a dlhodobo udržateľné financovanie liekov vstupujúcich do zoznamu kategorizovaných liekov.</w:t>
      </w:r>
    </w:p>
    <w:p w14:paraId="21F28C16" w14:textId="2F971BE0" w:rsidR="001C556E" w:rsidRPr="001C556E" w:rsidRDefault="001C556E" w:rsidP="001C556E">
      <w:pPr>
        <w:jc w:val="both"/>
        <w:rPr>
          <w:rFonts w:ascii="Times New Roman" w:hAnsi="Times New Roman" w:cs="Times New Roman"/>
        </w:rPr>
      </w:pPr>
      <w:r w:rsidRPr="001C556E">
        <w:rPr>
          <w:rFonts w:ascii="Times New Roman" w:hAnsi="Times New Roman" w:cs="Times New Roman"/>
        </w:rPr>
        <w:lastRenderedPageBreak/>
        <w:t>Ministerstvo zastáva názor, že odstupňovanie prahovej hodnoty má primerane odrážať veľkosť relatívneho prínosu hodnoteného lieku. Navrhované zvýšenie prvej úrovne prahovej hodnoty zároveň súvisí s rozšírením intervalu inkrementálneho prínosu QALY, pre ktorý sa táto úroveň uplatňuje. Súčasne sa navrhuje zúžiť počet úrovní prahovej hodnoty pre lieky na ojedinelé ochorenia, lieky na inovatívnu liečbu a lieky určené na pediatrické indikácie z troch na dve úrovne.</w:t>
      </w:r>
    </w:p>
    <w:p w14:paraId="70F4FF22"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t>Horná hranica inkrementálneho prínosu QALY pre prvú úroveň prahovej hodnoty sa navrhuje zvýšiť z 0,33 na 0,50 QALY, čo predstavuje nárast približne o 51 %. Prahová hodnota sa pritom zvyšuje z približne 72 040 eur na približne 96 054 eur, teda o približne 33 %. Nárast prahovej hodnoty je tak nižší ako nárast hornej hranice intervalu inkrementálneho prínosu QALY. Takéto nastavenie zohľadňuje potrebu celkového zníženia a racionalizácie prahových hodnôt pri zachovaní vyššej úrovne prahu pre lieky s osobitným charakterom.</w:t>
      </w:r>
    </w:p>
    <w:p w14:paraId="01ECB5B7"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t>Navrhovaná prahová hodnota vo výške približne 96 054 eur je zároveň porovnateľná s medzinárodným nastavením. Napríklad v Holandsku dosahuje najvyššia prahová hodnota 80 000 eur za QALY. Navrhovaná úroveň je teda vyššia približne o 16 000 eur za QALY. V porovnaní s úrovňou prahovej hodnoty uplatňovanou v roku 2022 pre lieky s inkrementálnym prínosom v rozsahu od 0,33 do 0,50 QALY, ktorá dosahovala približne 86 393 eur za QALY, ide o zvýšenie približne o 10 000 eur.</w:t>
      </w:r>
    </w:p>
    <w:p w14:paraId="7103D26B" w14:textId="502B79A9" w:rsidR="001C556E" w:rsidRPr="001C556E" w:rsidRDefault="001C556E" w:rsidP="001C556E">
      <w:pPr>
        <w:jc w:val="both"/>
        <w:rPr>
          <w:rFonts w:ascii="Times New Roman" w:hAnsi="Times New Roman" w:cs="Times New Roman"/>
        </w:rPr>
      </w:pPr>
      <w:r w:rsidRPr="001C556E">
        <w:rPr>
          <w:rFonts w:ascii="Times New Roman" w:hAnsi="Times New Roman" w:cs="Times New Roman"/>
        </w:rPr>
        <w:t>Nastavenie koeficientu násobku referenčnej hodnoty HDP na úrovni 4 zároveň predstavuje kompromis medzi doterajšími dvoma vyššími úrovňami prahovej hodnoty, ktoré boli určené trojnásobkom a päťnásobkom referenčnej hodnoty HDP. Pri súčasnej referenčnej hodnote HDP predstavovali tieto úrovne približne 72 040 eur a 120 067 eur. Navrhovaná úroveň tak zachováva vyššiu prahovú hodnotu pre tieto skupiny liekov oproti štandardným liekom, zároveň však znižuje rozdiel medzi jednotlivými úrovňami prahovej hodnoty a prispieva k celkovému zjednodušeniu systému.</w:t>
      </w:r>
    </w:p>
    <w:p w14:paraId="614FF175" w14:textId="08802D89" w:rsidR="00D817BE" w:rsidRPr="00D817BE" w:rsidRDefault="00D817BE" w:rsidP="001C556E">
      <w:pPr>
        <w:jc w:val="both"/>
        <w:rPr>
          <w:rFonts w:ascii="Times New Roman" w:hAnsi="Times New Roman" w:cs="Times New Roman"/>
          <w:b/>
          <w:bCs/>
          <w:i/>
          <w:iCs/>
        </w:rPr>
      </w:pPr>
      <w:r>
        <w:rPr>
          <w:rFonts w:ascii="Times New Roman" w:hAnsi="Times New Roman" w:cs="Times New Roman"/>
          <w:b/>
          <w:bCs/>
          <w:i/>
          <w:iCs/>
        </w:rPr>
        <w:t>§ 2 písmeno b)</w:t>
      </w:r>
    </w:p>
    <w:p w14:paraId="250096AE" w14:textId="771366D6" w:rsidR="001C556E" w:rsidRPr="001C556E" w:rsidRDefault="001C556E" w:rsidP="001C556E">
      <w:pPr>
        <w:jc w:val="both"/>
        <w:rPr>
          <w:rFonts w:ascii="Times New Roman" w:hAnsi="Times New Roman" w:cs="Times New Roman"/>
        </w:rPr>
      </w:pPr>
      <w:r w:rsidRPr="001C556E">
        <w:rPr>
          <w:rFonts w:ascii="Times New Roman" w:hAnsi="Times New Roman" w:cs="Times New Roman"/>
        </w:rPr>
        <w:t xml:space="preserve">Úprava koeficientu prepočtu referenčného HDP ako základu pre určenie prahovej hodnoty podľa § </w:t>
      </w:r>
      <w:r w:rsidR="00D817BE">
        <w:rPr>
          <w:rFonts w:ascii="Times New Roman" w:hAnsi="Times New Roman" w:cs="Times New Roman"/>
        </w:rPr>
        <w:t>2</w:t>
      </w:r>
      <w:r w:rsidRPr="001C556E">
        <w:rPr>
          <w:rFonts w:ascii="Times New Roman" w:hAnsi="Times New Roman" w:cs="Times New Roman"/>
        </w:rPr>
        <w:t xml:space="preserve"> písm. b) je navrhnutá s cieľom zohľadniť pri určovaní prahovej hodnoty mieru relatívneho prínosu hodnoteného lieku a zároveň vytvoriť predpoklady na predvídateľnejšie a dlhodobo udržateľné financovanie liekov vstupujúcich do zoznamu kategorizovaných liekov.</w:t>
      </w:r>
    </w:p>
    <w:p w14:paraId="22A15A0B" w14:textId="68949458" w:rsidR="001C556E" w:rsidRPr="001C556E" w:rsidRDefault="001C556E" w:rsidP="001C556E">
      <w:pPr>
        <w:jc w:val="both"/>
        <w:rPr>
          <w:rFonts w:ascii="Times New Roman" w:hAnsi="Times New Roman" w:cs="Times New Roman"/>
        </w:rPr>
      </w:pPr>
      <w:r w:rsidRPr="001C556E">
        <w:rPr>
          <w:rFonts w:ascii="Times New Roman" w:hAnsi="Times New Roman" w:cs="Times New Roman"/>
        </w:rPr>
        <w:t xml:space="preserve">Ministerstvo zastáva názor, že odstupňovanie prahovej hodnoty má primerane odrážať veľkosť relatívneho prínosu hodnoteného lieku. Súčasne sa navrhuje zúžiť počet úrovní prahovej hodnoty pre lieky na ojedinelé ochorenia, lieky na inovatívnu liečbu a lieky určené na pediatrické indikácie z troch na dve úrovne. Druhá úroveň prahovej hodnoty podľa § </w:t>
      </w:r>
      <w:r w:rsidR="0021770C">
        <w:rPr>
          <w:rFonts w:ascii="Times New Roman" w:hAnsi="Times New Roman" w:cs="Times New Roman"/>
        </w:rPr>
        <w:t>2</w:t>
      </w:r>
      <w:r w:rsidRPr="001C556E">
        <w:rPr>
          <w:rFonts w:ascii="Times New Roman" w:hAnsi="Times New Roman" w:cs="Times New Roman"/>
        </w:rPr>
        <w:t xml:space="preserve"> písm. b) pritom nadväzuje na doterajšiu tretiu úroveň, ktorá sa uplatňovala pri liekoch s inkrementálnym prínosom 0,50 QALY a viac.</w:t>
      </w:r>
    </w:p>
    <w:p w14:paraId="230820C1"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t>Zníženie koeficientu násobku referenčnej hodnoty HDP z 10 na 8 zohľadňuje návrh Útvaru hodnoty za peniaze na zníženie prahových hodnôt. Navrhovaná prahová hodnota vo výške približne 192 107 eur tak predstavuje zníženie o 20 % oproti súčasnej úrovni približne 240 134 eur.</w:t>
      </w:r>
    </w:p>
    <w:p w14:paraId="09DD4DE7"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lastRenderedPageBreak/>
        <w:t>Navrhovaná prahová hodnota je napriek zníženiu koeficientu v medzinárodnom porovnaní naďalej vyššia ako prahové hodnoty uplatňované vo väčšine európskych krajín. Vyššie hodnoty možno pozorovať napríklad v Lotyšsku, kde prahová hodnota dosahuje približne 300 000 eur, alebo v Spojenom kráľovstve, kde dosahuje približne 354 350 eur. Medzinárodné porovnanie je však potrebné vnímať s ohľadom na rozdiely v systémoch posudzovania a úhrady liekov, najmä pri liekoch na ojedinelé ochorenia a liekoch na inovatívnu liečbu.</w:t>
      </w:r>
    </w:p>
    <w:p w14:paraId="0A025CD4"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t>Vyššia úroveň prahovej hodnoty v podmienkach Slovenskej republiky zároveň zohľadňuje skutočnosť, že nákladová efektívnosť predstavuje pri kategorizácii liekov výlučné kritérium, na rozdiel od systémov, v ktorých sa pri rozhodovaní o úhrade zohľadňujú aj ďalšie kritériá. Navrhovaná úroveň prahovej hodnoty preto predstavuje vyváženie potreby zníženia prahových hodnôt a zachovania osobitného prístupu k liekom s najvyšším relatívnym prínosom.</w:t>
      </w:r>
    </w:p>
    <w:p w14:paraId="7209C396" w14:textId="0D9250F7" w:rsidR="001C556E" w:rsidRDefault="001C556E" w:rsidP="00A2131C">
      <w:pPr>
        <w:jc w:val="both"/>
        <w:rPr>
          <w:rFonts w:ascii="Times New Roman" w:hAnsi="Times New Roman" w:cs="Times New Roman"/>
        </w:rPr>
      </w:pPr>
      <w:r w:rsidRPr="001C556E">
        <w:rPr>
          <w:rFonts w:ascii="Times New Roman" w:hAnsi="Times New Roman" w:cs="Times New Roman"/>
        </w:rPr>
        <w:t xml:space="preserve">V nadväznosti na zúženie počtu úrovní prahovej hodnoty pre lieky na ojedinelé ochorenia, lieky na inovatívnu liečbu a lieky určené na pediatrické indikácie z troch na dve úrovne sa v § </w:t>
      </w:r>
      <w:r w:rsidR="0021770C">
        <w:rPr>
          <w:rFonts w:ascii="Times New Roman" w:hAnsi="Times New Roman" w:cs="Times New Roman"/>
        </w:rPr>
        <w:t>2</w:t>
      </w:r>
      <w:r w:rsidRPr="001C556E">
        <w:rPr>
          <w:rFonts w:ascii="Times New Roman" w:hAnsi="Times New Roman" w:cs="Times New Roman"/>
        </w:rPr>
        <w:t xml:space="preserve"> vypúšťa písmeno c).</w:t>
      </w:r>
    </w:p>
    <w:p w14:paraId="6A474E03" w14:textId="071B889F" w:rsidR="0021770C" w:rsidRDefault="0021770C" w:rsidP="0021770C">
      <w:pPr>
        <w:rPr>
          <w:rFonts w:ascii="Times New Roman" w:hAnsi="Times New Roman" w:cs="Times New Roman"/>
        </w:rPr>
      </w:pPr>
      <w:r>
        <w:rPr>
          <w:rFonts w:ascii="Times New Roman" w:hAnsi="Times New Roman" w:cs="Times New Roman"/>
          <w:b/>
          <w:bCs/>
        </w:rPr>
        <w:t xml:space="preserve">K bodu </w:t>
      </w:r>
      <w:r w:rsidR="003C3853">
        <w:rPr>
          <w:rFonts w:ascii="Times New Roman" w:hAnsi="Times New Roman" w:cs="Times New Roman"/>
          <w:b/>
          <w:bCs/>
        </w:rPr>
        <w:t>3</w:t>
      </w:r>
    </w:p>
    <w:p w14:paraId="76853AFA" w14:textId="464E7E27" w:rsidR="0021770C" w:rsidRPr="0021770C" w:rsidRDefault="0021770C" w:rsidP="0021770C">
      <w:pPr>
        <w:jc w:val="both"/>
        <w:rPr>
          <w:rFonts w:ascii="Times New Roman" w:hAnsi="Times New Roman" w:cs="Times New Roman"/>
          <w:b/>
          <w:bCs/>
          <w:i/>
          <w:iCs/>
        </w:rPr>
      </w:pPr>
      <w:r w:rsidRPr="0021770C">
        <w:rPr>
          <w:rFonts w:ascii="Times New Roman" w:hAnsi="Times New Roman" w:cs="Times New Roman"/>
          <w:b/>
          <w:bCs/>
          <w:i/>
          <w:iCs/>
        </w:rPr>
        <w:t>§ 2a</w:t>
      </w:r>
    </w:p>
    <w:p w14:paraId="4C88BAC1" w14:textId="5CD51B4D" w:rsidR="0021770C" w:rsidRPr="00921D2B" w:rsidRDefault="0021770C" w:rsidP="0021770C">
      <w:pPr>
        <w:jc w:val="both"/>
        <w:rPr>
          <w:rFonts w:ascii="Times New Roman" w:hAnsi="Times New Roman" w:cs="Times New Roman"/>
        </w:rPr>
      </w:pPr>
      <w:r w:rsidRPr="00921D2B">
        <w:rPr>
          <w:rFonts w:ascii="Times New Roman" w:hAnsi="Times New Roman" w:cs="Times New Roman"/>
        </w:rPr>
        <w:t>Navrhovaná úprava ustanovuje definíciu referenčnej hodnoty hrubého domáceho produktu na obyvateľa (ďalej len „HDP“) na účely jej použitia pri určovaní prahových hodnôt podľa zákona.</w:t>
      </w:r>
    </w:p>
    <w:p w14:paraId="34716D02" w14:textId="77777777" w:rsidR="0021770C" w:rsidRPr="00921D2B" w:rsidRDefault="0021770C" w:rsidP="0021770C">
      <w:pPr>
        <w:jc w:val="both"/>
        <w:rPr>
          <w:rFonts w:ascii="Times New Roman" w:hAnsi="Times New Roman" w:cs="Times New Roman"/>
        </w:rPr>
      </w:pPr>
      <w:r w:rsidRPr="00921D2B">
        <w:rPr>
          <w:rFonts w:ascii="Times New Roman" w:hAnsi="Times New Roman" w:cs="Times New Roman"/>
        </w:rPr>
        <w:t>Fixácia referenčnej hodnoty HDP vychádza z aktuálne platnej hodnoty HDP vypočítanej podľa § 7 ods. 4 zákona č. 363/2011 Z. z. o rozsahu a podmienkach úhrady liekov, zdravotníckych pomôcok a dietetických potravín na základe verejného zdravotného poistenia a o zmene a doplnení niektorých zákonov (ďalej len „zákon“).</w:t>
      </w:r>
    </w:p>
    <w:p w14:paraId="7E6FB8F8" w14:textId="77777777" w:rsidR="0021770C" w:rsidRPr="00921D2B" w:rsidRDefault="0021770C" w:rsidP="0021770C">
      <w:pPr>
        <w:jc w:val="both"/>
        <w:rPr>
          <w:rFonts w:ascii="Times New Roman" w:hAnsi="Times New Roman" w:cs="Times New Roman"/>
        </w:rPr>
      </w:pPr>
      <w:r w:rsidRPr="00921D2B">
        <w:rPr>
          <w:rFonts w:ascii="Times New Roman" w:hAnsi="Times New Roman" w:cs="Times New Roman"/>
        </w:rPr>
        <w:t>Fixácia referenčnej hodnoty HDP na obdobie troch rokov má za cieľ zvýšiť predvídateľnosť vývoja prahových hodnôt a tým aj predvídateľnosť finančných dopadov rozhodnutí o úhrade liekov z verejného zdravotného poistenia. V súčasnom nastavení dochádza k zmene prahových hodnôt v závislosti od každoročnej zmeny hodnoty HDP, čo sťažuje predvídanie finančných nárokov spojených s kategorizáciou nových liekov alebo nových indikácií liekov pri zmene charakteristík referenčnej skupiny.</w:t>
      </w:r>
    </w:p>
    <w:p w14:paraId="4EDC08B8" w14:textId="07D9C775" w:rsidR="0021770C" w:rsidRPr="0021770C" w:rsidRDefault="0021770C" w:rsidP="00A2131C">
      <w:pPr>
        <w:jc w:val="both"/>
        <w:rPr>
          <w:rFonts w:ascii="Times New Roman" w:hAnsi="Times New Roman" w:cs="Times New Roman"/>
        </w:rPr>
      </w:pPr>
      <w:r w:rsidRPr="00921D2B">
        <w:rPr>
          <w:rFonts w:ascii="Times New Roman" w:hAnsi="Times New Roman" w:cs="Times New Roman"/>
        </w:rPr>
        <w:t>Navrhovaná úprava preto vytvára stabilnejší základ na určovanie prahových hodnôt počas stanoveného obdobia, pričom zachováva väzbu prahových hodnôt na ekonomickú úroveň Slovenskej republiky prostredníctvom pravidelnej aktualizácie referenčnej hodnoty HDP.</w:t>
      </w:r>
    </w:p>
    <w:p w14:paraId="0954B801" w14:textId="1196AF70" w:rsidR="00850239" w:rsidRPr="0021770C" w:rsidRDefault="0021770C" w:rsidP="00A2131C">
      <w:pPr>
        <w:jc w:val="both"/>
        <w:rPr>
          <w:rFonts w:ascii="Times New Roman" w:hAnsi="Times New Roman" w:cs="Times New Roman"/>
          <w:i/>
          <w:iCs/>
        </w:rPr>
      </w:pPr>
      <w:r w:rsidRPr="0021770C">
        <w:rPr>
          <w:rFonts w:ascii="Times New Roman" w:hAnsi="Times New Roman" w:cs="Times New Roman"/>
          <w:b/>
          <w:bCs/>
          <w:i/>
          <w:iCs/>
        </w:rPr>
        <w:t>§ 2b</w:t>
      </w:r>
    </w:p>
    <w:p w14:paraId="3352F465" w14:textId="1640240E" w:rsidR="001C556E" w:rsidRPr="001C556E" w:rsidRDefault="001C556E" w:rsidP="001C556E">
      <w:pPr>
        <w:jc w:val="both"/>
        <w:rPr>
          <w:rFonts w:ascii="Times New Roman" w:hAnsi="Times New Roman" w:cs="Times New Roman"/>
        </w:rPr>
      </w:pPr>
      <w:r w:rsidRPr="001C556E">
        <w:rPr>
          <w:rFonts w:ascii="Times New Roman" w:hAnsi="Times New Roman" w:cs="Times New Roman"/>
        </w:rPr>
        <w:t xml:space="preserve">Doplnením nového § </w:t>
      </w:r>
      <w:r w:rsidR="0021770C">
        <w:rPr>
          <w:rFonts w:ascii="Times New Roman" w:hAnsi="Times New Roman" w:cs="Times New Roman"/>
        </w:rPr>
        <w:t>2b</w:t>
      </w:r>
      <w:r w:rsidRPr="001C556E">
        <w:rPr>
          <w:rFonts w:ascii="Times New Roman" w:hAnsi="Times New Roman" w:cs="Times New Roman"/>
        </w:rPr>
        <w:t xml:space="preserve"> sa ustanovuje povinnosť prehodnotiť stanovenú referenčnú hodnotu HDP </w:t>
      </w:r>
      <w:r w:rsidR="0021770C">
        <w:rPr>
          <w:rFonts w:ascii="Times New Roman" w:hAnsi="Times New Roman" w:cs="Times New Roman"/>
        </w:rPr>
        <w:t>po</w:t>
      </w:r>
      <w:r w:rsidRPr="001C556E">
        <w:rPr>
          <w:rFonts w:ascii="Times New Roman" w:hAnsi="Times New Roman" w:cs="Times New Roman"/>
        </w:rPr>
        <w:t xml:space="preserve"> troch rokov od jej určenia. Navrhovaná úprava nadväzuje na zámer fixovať referenčnú hodnotu HDP na obdobie troch rokov s cieľom zabezpečiť stabilitu a predvídateľnosť prahových hodnôt počas tohto obdobia.</w:t>
      </w:r>
    </w:p>
    <w:p w14:paraId="1076A601" w14:textId="77777777" w:rsidR="001C556E" w:rsidRPr="001C556E" w:rsidRDefault="001C556E" w:rsidP="001C556E">
      <w:pPr>
        <w:jc w:val="both"/>
        <w:rPr>
          <w:rFonts w:ascii="Times New Roman" w:hAnsi="Times New Roman" w:cs="Times New Roman"/>
        </w:rPr>
      </w:pPr>
      <w:r w:rsidRPr="001C556E">
        <w:rPr>
          <w:rFonts w:ascii="Times New Roman" w:hAnsi="Times New Roman" w:cs="Times New Roman"/>
        </w:rPr>
        <w:t>Po uplynutí tohto obdobia sa referenčná hodnota HDP prehodnotí a na základe výsledku prehodnotenia sa určí referenčná hodnota HDP na nasledujúce obdobie.</w:t>
      </w:r>
    </w:p>
    <w:p w14:paraId="0318B864" w14:textId="66669716" w:rsidR="00CD7740" w:rsidRDefault="00CD7740" w:rsidP="00CD7740">
      <w:pPr>
        <w:rPr>
          <w:rFonts w:ascii="Times New Roman" w:hAnsi="Times New Roman" w:cs="Times New Roman"/>
          <w:b/>
          <w:bCs/>
        </w:rPr>
      </w:pPr>
      <w:r>
        <w:rPr>
          <w:rFonts w:ascii="Times New Roman" w:hAnsi="Times New Roman" w:cs="Times New Roman"/>
          <w:b/>
          <w:bCs/>
        </w:rPr>
        <w:lastRenderedPageBreak/>
        <w:t>K Čl. II</w:t>
      </w:r>
    </w:p>
    <w:p w14:paraId="07A177BA" w14:textId="2AE63327" w:rsidR="00CD7740" w:rsidRPr="00850239" w:rsidRDefault="0021770C" w:rsidP="0021770C">
      <w:pPr>
        <w:jc w:val="both"/>
        <w:rPr>
          <w:rFonts w:ascii="Times New Roman" w:hAnsi="Times New Roman" w:cs="Times New Roman"/>
        </w:rPr>
      </w:pPr>
      <w:r w:rsidRPr="0021770C">
        <w:rPr>
          <w:rFonts w:ascii="Times New Roman" w:hAnsi="Times New Roman" w:cs="Times New Roman"/>
        </w:rPr>
        <w:t>Vzhľadom na dĺžku legislatívneho procesu</w:t>
      </w:r>
      <w:r w:rsidR="00663274">
        <w:rPr>
          <w:rFonts w:ascii="Times New Roman" w:hAnsi="Times New Roman" w:cs="Times New Roman"/>
        </w:rPr>
        <w:t xml:space="preserve"> a</w:t>
      </w:r>
      <w:r w:rsidRPr="0021770C">
        <w:rPr>
          <w:rFonts w:ascii="Times New Roman" w:hAnsi="Times New Roman" w:cs="Times New Roman"/>
        </w:rPr>
        <w:t xml:space="preserve"> potrebu zosúladenia vyhlášky s novelou zákona č. 363/2011 Z. z. </w:t>
      </w:r>
      <w:r w:rsidR="00663274">
        <w:rPr>
          <w:rFonts w:ascii="Times New Roman" w:hAnsi="Times New Roman" w:cs="Times New Roman"/>
        </w:rPr>
        <w:t>s</w:t>
      </w:r>
      <w:r w:rsidRPr="0021770C">
        <w:rPr>
          <w:rFonts w:ascii="Times New Roman" w:hAnsi="Times New Roman" w:cs="Times New Roman"/>
        </w:rPr>
        <w:t>a navrhuje účinnosť tejto vyhlášky od 1. decembra 2026.</w:t>
      </w:r>
    </w:p>
    <w:sectPr w:rsidR="00CD7740" w:rsidRPr="008502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F2D"/>
    <w:rsid w:val="00172EEF"/>
    <w:rsid w:val="00190890"/>
    <w:rsid w:val="001C556E"/>
    <w:rsid w:val="001E090A"/>
    <w:rsid w:val="0021770C"/>
    <w:rsid w:val="00233E08"/>
    <w:rsid w:val="003B368C"/>
    <w:rsid w:val="003C3853"/>
    <w:rsid w:val="00663274"/>
    <w:rsid w:val="006B6175"/>
    <w:rsid w:val="00703C55"/>
    <w:rsid w:val="007530E2"/>
    <w:rsid w:val="008065EF"/>
    <w:rsid w:val="00850239"/>
    <w:rsid w:val="008F6E24"/>
    <w:rsid w:val="00921D2B"/>
    <w:rsid w:val="00A2131C"/>
    <w:rsid w:val="00B043B3"/>
    <w:rsid w:val="00CA1D9B"/>
    <w:rsid w:val="00CC4D58"/>
    <w:rsid w:val="00CD7740"/>
    <w:rsid w:val="00D10CDE"/>
    <w:rsid w:val="00D817BE"/>
    <w:rsid w:val="00F0179E"/>
    <w:rsid w:val="00F55F2D"/>
    <w:rsid w:val="00F73E43"/>
    <w:rsid w:val="00FD654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6DA31"/>
  <w15:chartTrackingRefBased/>
  <w15:docId w15:val="{D57ADE5F-A4AE-4F7A-9D3F-3E90F4956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F55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F55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F55F2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F55F2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F55F2D"/>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F55F2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F55F2D"/>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F55F2D"/>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F55F2D"/>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F55F2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F55F2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F55F2D"/>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F55F2D"/>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F55F2D"/>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F55F2D"/>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F55F2D"/>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F55F2D"/>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F55F2D"/>
    <w:rPr>
      <w:rFonts w:eastAsiaTheme="majorEastAsia" w:cstheme="majorBidi"/>
      <w:color w:val="272727" w:themeColor="text1" w:themeTint="D8"/>
    </w:rPr>
  </w:style>
  <w:style w:type="paragraph" w:styleId="Nzov">
    <w:name w:val="Title"/>
    <w:basedOn w:val="Normlny"/>
    <w:next w:val="Normlny"/>
    <w:link w:val="NzovChar"/>
    <w:uiPriority w:val="10"/>
    <w:qFormat/>
    <w:rsid w:val="00F55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F55F2D"/>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F55F2D"/>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F55F2D"/>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F55F2D"/>
    <w:pPr>
      <w:spacing w:before="160"/>
      <w:jc w:val="center"/>
    </w:pPr>
    <w:rPr>
      <w:i/>
      <w:iCs/>
      <w:color w:val="404040" w:themeColor="text1" w:themeTint="BF"/>
    </w:rPr>
  </w:style>
  <w:style w:type="character" w:customStyle="1" w:styleId="CitciaChar">
    <w:name w:val="Citácia Char"/>
    <w:basedOn w:val="Predvolenpsmoodseku"/>
    <w:link w:val="Citcia"/>
    <w:uiPriority w:val="29"/>
    <w:rsid w:val="00F55F2D"/>
    <w:rPr>
      <w:i/>
      <w:iCs/>
      <w:color w:val="404040" w:themeColor="text1" w:themeTint="BF"/>
    </w:rPr>
  </w:style>
  <w:style w:type="paragraph" w:styleId="Odsekzoznamu">
    <w:name w:val="List Paragraph"/>
    <w:basedOn w:val="Normlny"/>
    <w:uiPriority w:val="34"/>
    <w:qFormat/>
    <w:rsid w:val="00F55F2D"/>
    <w:pPr>
      <w:ind w:left="720"/>
      <w:contextualSpacing/>
    </w:pPr>
  </w:style>
  <w:style w:type="character" w:styleId="Intenzvnezvraznenie">
    <w:name w:val="Intense Emphasis"/>
    <w:basedOn w:val="Predvolenpsmoodseku"/>
    <w:uiPriority w:val="21"/>
    <w:qFormat/>
    <w:rsid w:val="00F55F2D"/>
    <w:rPr>
      <w:i/>
      <w:iCs/>
      <w:color w:val="0F4761" w:themeColor="accent1" w:themeShade="BF"/>
    </w:rPr>
  </w:style>
  <w:style w:type="paragraph" w:styleId="Zvraznencitcia">
    <w:name w:val="Intense Quote"/>
    <w:basedOn w:val="Normlny"/>
    <w:next w:val="Normlny"/>
    <w:link w:val="ZvraznencitciaChar"/>
    <w:uiPriority w:val="30"/>
    <w:qFormat/>
    <w:rsid w:val="00F55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F55F2D"/>
    <w:rPr>
      <w:i/>
      <w:iCs/>
      <w:color w:val="0F4761" w:themeColor="accent1" w:themeShade="BF"/>
    </w:rPr>
  </w:style>
  <w:style w:type="character" w:styleId="Zvraznenodkaz">
    <w:name w:val="Intense Reference"/>
    <w:basedOn w:val="Predvolenpsmoodseku"/>
    <w:uiPriority w:val="32"/>
    <w:qFormat/>
    <w:rsid w:val="00F55F2D"/>
    <w:rPr>
      <w:b/>
      <w:bCs/>
      <w:smallCaps/>
      <w:color w:val="0F4761" w:themeColor="accent1" w:themeShade="BF"/>
      <w:spacing w:val="5"/>
    </w:rPr>
  </w:style>
  <w:style w:type="character" w:styleId="Odkaznakomentr">
    <w:name w:val="annotation reference"/>
    <w:basedOn w:val="Predvolenpsmoodseku"/>
    <w:uiPriority w:val="99"/>
    <w:semiHidden/>
    <w:unhideWhenUsed/>
    <w:rsid w:val="008065EF"/>
    <w:rPr>
      <w:sz w:val="16"/>
      <w:szCs w:val="16"/>
    </w:rPr>
  </w:style>
  <w:style w:type="paragraph" w:styleId="Textkomentra">
    <w:name w:val="annotation text"/>
    <w:basedOn w:val="Normlny"/>
    <w:link w:val="TextkomentraChar"/>
    <w:uiPriority w:val="99"/>
    <w:unhideWhenUsed/>
    <w:rsid w:val="008065EF"/>
    <w:pPr>
      <w:spacing w:line="240" w:lineRule="auto"/>
    </w:pPr>
    <w:rPr>
      <w:sz w:val="20"/>
      <w:szCs w:val="20"/>
    </w:rPr>
  </w:style>
  <w:style w:type="character" w:customStyle="1" w:styleId="TextkomentraChar">
    <w:name w:val="Text komentára Char"/>
    <w:basedOn w:val="Predvolenpsmoodseku"/>
    <w:link w:val="Textkomentra"/>
    <w:uiPriority w:val="99"/>
    <w:rsid w:val="008065EF"/>
    <w:rPr>
      <w:sz w:val="20"/>
      <w:szCs w:val="20"/>
    </w:rPr>
  </w:style>
  <w:style w:type="paragraph" w:styleId="Predmetkomentra">
    <w:name w:val="annotation subject"/>
    <w:basedOn w:val="Textkomentra"/>
    <w:next w:val="Textkomentra"/>
    <w:link w:val="PredmetkomentraChar"/>
    <w:uiPriority w:val="99"/>
    <w:semiHidden/>
    <w:unhideWhenUsed/>
    <w:rsid w:val="008065EF"/>
    <w:rPr>
      <w:b/>
      <w:bCs/>
    </w:rPr>
  </w:style>
  <w:style w:type="character" w:customStyle="1" w:styleId="PredmetkomentraChar">
    <w:name w:val="Predmet komentára Char"/>
    <w:basedOn w:val="TextkomentraChar"/>
    <w:link w:val="Predmetkomentra"/>
    <w:uiPriority w:val="99"/>
    <w:semiHidden/>
    <w:rsid w:val="008065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0"/>
    <f:field ref="objvalidfrom" date="" text="" edit="true"/>
    <f:field ref="objvalidto" date="" text=""/>
    <f:field ref="FSCFOLIO_1_1001_FieldReleasedVersionDate" text=""/>
    <f:field ref="FSCFOLIO_1_1001_FieldReleasedVersionNr" text=""/>
    <f:field ref="CCAPRECONFIG_15_1001_Objektname" text="04_dôvodová správa - osobitná 298_2022"/>
    <f:field ref="objname" text="04_dôvodová správa - osobitná 298_2022" edit="true"/>
    <f:field ref="objsubject" text="" edit="true"/>
    <f:field ref="objcreatedby" text="Bohácseková, Soňa, Mgr."/>
    <f:field ref="objcreatedat" date="2026-10-07T12:54:55" text="7.10.2026 12:54:55"/>
    <f:field ref="objchangedby" text="Kidala, Viktor, Mgr. "/>
    <f:field ref="objmodifiedat" date="2026-10-07T13:45:33" text="7.10.2026 13:45:33"/>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1671</Words>
  <Characters>9531</Characters>
  <Application>Microsoft Office Word</Application>
  <DocSecurity>0</DocSecurity>
  <Lines>79</Lines>
  <Paragraphs>22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Grega Dominik</dc:creator>
  <cp:keywords/>
  <dc:description/>
  <cp:lastModifiedBy>Kidala Viktor</cp:lastModifiedBy>
  <cp:revision>4</cp:revision>
  <dcterms:created xsi:type="dcterms:W3CDTF">2026-09-15T13:37:00Z</dcterms:created>
  <dcterms:modified xsi:type="dcterms:W3CDTF">2026-10-07T14:21:00Z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7. 10. 2026, 12:54</vt:lpwstr>
  </property>
  <property fmtid="{D5CDD505-2E9C-101B-9397-08002B2CF9AE}" pid="134" name="FSC#SKEDITIONREG@103.510:curruserrolegroup">
    <vt:lpwstr>Odbor legislatívny</vt:lpwstr>
  </property>
  <property fmtid="{D5CDD505-2E9C-101B-9397-08002B2CF9AE}" pid="135" name="FSC#SKEDITIONREG@103.510:currusersubst">
    <vt:lpwstr>Mgr.  Viktor Kidala</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07.10.2026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*COO.2289.100.3.5085964*</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7</vt:lpwstr>
  </property>
  <property fmtid="{D5CDD505-2E9C-101B-9397-08002B2CF9AE}" pid="366" name="FSC#COOELAK@1.1001:CurrentUserEmail">
    <vt:lpwstr>viktor.kidala@health.gov.sk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COO.2289.100.3.5085964</vt:lpwstr>
  </property>
  <property fmtid="{D5CDD505-2E9C-101B-9397-08002B2CF9AE}" pid="402" name="FSC#FSCFOLIO@1.1001:docpropproject">
    <vt:lpwstr/>
  </property>
</Properties>
</file>