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č. 338/2000 Z. z. o vnútrozemskej plavbe a o zmene a doplnení niektorých zákonov v znení neskorších predpisov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LP/2026/139</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7/2</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7</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2</w:t>
      </w:r>
      <w:r w:rsidR="00754CB0">
        <w:rPr>
          <w:rFonts w:ascii="Times New Roman" w:eastAsia="Times New Roman" w:hAnsi="Times New Roman" w:cs="Times New Roman"/>
          <w:sz w:val="24"/>
          <w:szCs w:val="24"/>
        </w:rPr>
        <w:t>/0</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8E0404">
        <w:rPr>
          <w:rFonts w:ascii="Times New Roman" w:eastAsia="Times New Roman" w:hAnsi="Times New Roman" w:cs="Times New Roman"/>
          <w:sz w:val="24"/>
          <w:szCs w:val="24"/>
        </w:rPr>
        <w:t xml:space="preserve">0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3</w:t>
      </w:r>
      <w:r w:rsidR="004A48F0">
        <w:rPr>
          <w:rFonts w:ascii="Times New Roman" w:eastAsia="Times New Roman" w:hAnsi="Times New Roman" w:cs="Times New Roman"/>
          <w:sz w:val="24"/>
          <w:szCs w:val="24"/>
        </w:rPr>
        <w:t>/2</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 návrhu zákona žiadame vypustiť zmeny súvisiace s nakladaním s prioritným majetkom štátu.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Predložený materiál predpokladá vypustenie osobitného ochranného režimu vzťahujúceho sa na majetok označený ako prioritný, a to vrátane jeho zvýšenej ochrany spočívajúcej nielen v obmedzení nakladania s týmto majetkom, ale aj v jeho ochrane pred výkonom rozhodnutia, exekúciou, konkurzným konaním a likvidáciou, ako aj v zákaze jeho zaťaženia záložným právom alebo jeho použitia na zabezpečenie záväzkov.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predloženého materiálu však nie je dostatočne zrejmé, z akých dôvodov sa pristupuje k takémuto zásadnému zásahu do existujúceho právneho režimu, ani aké konkrétne ciele má navrhovaná zmena sledovať. Materiál neobsahuje presvedčivé, vecné ani ekonomické odôvodnenie, ktoré by opodstatňovalo takéto závažné oslabenie ochrany dotknutého majetku, a absentuje aj posúdenie jeho vplyvov na postavenie dotknutého subjektu a ochranu verejného záujmu.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upozorňujeme, že podľa súčasnej právnej úpravy takýto majetok nemožno zaťažiť záložným právom, ani ho inak použiť na zabezpečenie záväzkov spoločnosti, inej obchodnej spoločnosti alebo tretej osoby; rovnako ho nemožno predať, darovať, ani inak previesť do vlastníctva inej fyzickej osoby alebo právnickej osoby, s výnimkou štátu alebo spoločnosti Verejné prístavy, a. s., pričom zároveň požíva ochranu pred výkonom rozhodnutia, exekúciou, konkurzným konaním a likvidáciou. Vypustenie tohto ochranného mechanizmu môže mať zásadný nepriaznivý vplyv na majetkové postavenie dotknutého subjektu, vrátane zníženia hodnoty jeho majetkovej základne, a tým môže dôjsť aj k oslabeniu jeho schopnosti plniť svoje funkcie.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návrhu zákona žiadame ponechať ustanovenia týkajúce sa koncesií, najmä povinnosť predchádzajúceho schválenia koncesnej zmluvy vládou Slovenskej republiky, ak hodnota koncesie presiahne 5 mil. eur.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vypustenie schvaľovania koncesnej zmluvy vládou Slovenskej republiky nie je dostatočne vecne odôvodnené. Uvádzajú sa len všeobecné argumenty o potrebe väčšej flexibility, modernizácie a komerčného financovania spoločnosti Verejné prístavy, a. s. Máme za to, že odstránenie tohto kontrolného mechanizmu je neproporčné vzhľadom na dosiahnutie deklarovaných cieľov. Koncesné zmluvy zakladajú významné dlhodobé záväzky. Zrušením povinnosti ich schvaľovania vládou Slovenskej republiky sa oslabuje kontrolná funkcia štátu a hrozí vznik rizík z možných budúcich záväzkov viazaných na majetok štátu.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Odporúčame v čl. I úvodnej vete vypustiť slová „zákona č. 25/2025 Z. z.,“ vzhľadom na to, že týmto zákonom nebol zákon č. 338/2000 Z. z. novelizovaný. 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úvodná veta</w:t>
              <w:br/>
            </w:r>
            <w:r>
              <w:rPr>
                <w:b w:val="off"/>
                <w:color w:val="000000"/>
                <w:rFonts w:ascii="Times New Roman" w:hAnsi="Times New Roman" w:cs="Times New Roman" w:eastAsia="Times New Roman"/>
                <w:sz w:val="24"/>
              </w:rPr>
              <w:t>V úvodnej vete čl. I odporúčame slová „zákona č. 25/2025 Z. z.,“ vypustiť.</w:t>
              <w:br/>
            </w:r>
            <w:r>
              <w:rPr>
                <w:b w:val="off"/>
                <w:color w:val="000000"/>
                <w:rFonts w:ascii="Times New Roman" w:hAnsi="Times New Roman" w:cs="Times New Roman" w:eastAsia="Times New Roman"/>
                <w:sz w:val="24"/>
              </w:rPr>
              <w:t>Odôvodnenie: Legislatívno – 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 xml:space="preserve">V územných obvodov verejných prístavov sa nachádza aj majetok štátu v správe SVP, š. p. Tento majetok slúži na zabezpečovanie činnosti správcu SVP, š. p. v zmysle zákona č. 364/2004 Z. z. o vodách v znení neskorších predpisov a v zmysle zákona č. 7/2010 Z. z. o ochrane pred povodňami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zmysle uvedeného ide najmä o nasledovné: </w:t>
              <w:br/>
            </w:r>
            <w:r>
              <w:rPr>
                <w:b w:val="off"/>
                <w:color w:val="000000"/>
                <w:rFonts w:ascii="Times New Roman" w:hAnsi="Times New Roman" w:cs="Times New Roman" w:eastAsia="Times New Roman"/>
                <w:sz w:val="24"/>
              </w:rPr>
              <w:t xml:space="preserve">1. Brehové opevnenia, nábrežné múry prístavných bazénov a k nim prislúchajúce vyväzovacie prvky sú vo vlastníctve SVP, š. p. </w:t>
              <w:br/>
            </w:r>
            <w:r>
              <w:rPr>
                <w:b w:val="off"/>
                <w:color w:val="000000"/>
                <w:rFonts w:ascii="Times New Roman" w:hAnsi="Times New Roman" w:cs="Times New Roman" w:eastAsia="Times New Roman"/>
                <w:sz w:val="24"/>
              </w:rPr>
              <w:t xml:space="preserve">2. Stavby plniace úlohy protipovodňovej ochrany v sídlach, kde sa nachádzajú objekty verejných prístavov sú vo vlastníctve SVP, š. p.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úplnosť uvádzame, že územné obvody verejných prístavov sú zároveň aj inundačnými územiami, ktoré môžu byť zasiahnuté povodňami.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Vyššie uvedené v znení pripomienky.</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Berie sa na vedomie.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zákona</w:t>
              <w:br/>
            </w:r>
            <w:r>
              <w:rPr>
                <w:b w:val="off"/>
                <w:color w:val="000000"/>
                <w:rFonts w:ascii="Times New Roman" w:hAnsi="Times New Roman" w:cs="Times New Roman" w:eastAsia="Times New Roman"/>
                <w:sz w:val="24"/>
              </w:rPr>
              <w:t>1.	Z prílohy č. 1 k zákonu č. 338/2000 Z. z. v znení neskorších predpisov navrhujeme vypustiť bod 15, v ktorom sa nachádza delegovaná smernica Komisie (EÚ) 2020/12 z 2. augusta 2019, ktorou sa dopĺňa smernica Európskeho parlamentu a Rady (EÚ) 2017/2397, pokiaľ ide o normy odbornej spôsobilosti a zodpovedajúcich vedomostí a zručností, normy pre praktické skúšky, pre schvaľovanie simulátorov a pre zdravotnú spôsobilosť (Ú. v. EÚ L 6, 10.1.2020), ktorá bola zrušená delegovaným nariadením  Komisie (EÚ) 2026/118 zo 7. novembra 2025, ktorým sa dopĺňa smernica Európskeho parlamentu a Rady (EÚ) 2017/2397 stanovením noriem odbornej spôsobilosti a zodpovedajúcich vedomostí a zručností, noriem pre praktické skúšky, pre schvaľovanie simulátorov a pre zdravotnú spôsobilosť a ktorým sa zrušuje delegovaná smernica Komisie (EÚ) 2020/12 (Ú. v. EÚ L, 2026/118, 23.1.2026). V zmysle bodu 62.14. prílohy č. 1 k Legislatívnym pravidlám vlády SR sa v transpozičnej prílohe uvádzajú len smernice, nariadenia alebo rozhodnutia v účinnom znení, preto navrhujeme do transpozičnej prílohy doplniť delegované nariadenie (EÚ) 2026/118. Zároveň odporúčame upraviť názov prílohy č. 1 k zákonu č. 338/2000 Z. z. v znení neskorších predpisov tak, že slová „v znení zákona č. 193/2007 Z. z.“ budú nahradené slovami „v znení neskorších predpisov“.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MD SR pripravuje novelu zákona č. 338/2000 Z. z. z dôvodu transpozície smernice EÚ 2025/2482, ktorej predmetom bude aj úprava transpozičnej prílohy v súvislosti s touto smernicou ako aj delegovaným nariadením Komisie (EÚ) 2026/118 .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zákona:</w:t>
              <w:br/>
            </w:r>
            <w:r>
              <w:rPr>
                <w:b w:val="off"/>
                <w:color w:val="000000"/>
                <w:rFonts w:ascii="Times New Roman" w:hAnsi="Times New Roman" w:cs="Times New Roman" w:eastAsia="Times New Roman"/>
                <w:sz w:val="24"/>
              </w:rPr>
              <w:t>2.	V súvislosti s pripomienkou č. 1 upozorňujeme predkladateľa na existenciu vyhlášky Ministerstva dopravy a výstavby Slovenskej republiky č. 381/2021 Z. z., ktorá obsahuje transpozičné opatrenia delegovanej smernice (EÚ) 2020/12. Vzhľadom na zrušenie delegovanej smernice (EÚ) 2020/12 delegovaným nariadením (EÚ) 2026/118 odporúčame predmetný vykonávací právny predpis primerane upraviť tak, aby sa zabezpečil súlad s aktuálne účinným právom Európskej únie.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MD SR pripravuje úpravu vykonávacieho predpisu v súvislosti s delegovaným nariadením (EÚ) 2026/118. Vykonávací právny predpis nie je v súčasnosti v rozpore s delegovaným nariadením (EÚ) 2026/118, len vzhľadom na priamu aplikovateľnosť delegovaného nariadenia, nie je potrebná dvojitá úprava.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7 (5o, 2z)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19</w:t>
            </w:r>
          </w:p>
        </w:tc>
        <w:tc>
          <w:tcPr>
            <w:vAlign w:val="center"/>
          </w:tcPr>
          <w:p>
            <w:pPr>
              <w:spacing w:after="0"/>
              <w:jc w:val="center"/>
            </w:pPr>
            <w:r>
              <w:rPr>
                <w:b w:val="on"/>
                <w:color w:val="000000"/>
                <w:rFonts w:ascii="Times New Roman" w:hAnsi="Times New Roman" w:cs="Times New Roman" w:eastAsia="Times New Roman"/>
                <w:sz w:val="24"/>
              </w:rPr>
              <w:t>32</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