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391" w:rsidRPr="000B2C2F" w:rsidRDefault="00A25F21">
      <w:pPr>
        <w:spacing w:after="120"/>
        <w:jc w:val="center"/>
      </w:pPr>
      <w:bookmarkStart w:id="0" w:name="_GoBack"/>
      <w:r w:rsidRPr="000B2C2F">
        <w:rPr>
          <w:b/>
        </w:rPr>
        <w:t>Dôvodová správa</w:t>
      </w:r>
    </w:p>
    <w:p w:rsidR="00C23391" w:rsidRPr="000B2C2F" w:rsidRDefault="00A25F21" w:rsidP="000E7FA5">
      <w:pPr>
        <w:spacing w:after="360"/>
      </w:pPr>
      <w:r w:rsidRPr="000B2C2F">
        <w:rPr>
          <w:b/>
        </w:rPr>
        <w:t>A. Všeobecná časť</w:t>
      </w:r>
    </w:p>
    <w:p w:rsidR="004132CE" w:rsidRPr="000B2C2F" w:rsidRDefault="00064F3D">
      <w:pPr>
        <w:spacing w:after="160"/>
        <w:ind w:firstLine="708"/>
        <w:jc w:val="both"/>
      </w:pPr>
      <w:r w:rsidRPr="000B2C2F">
        <w:t>Návrh vyhlášky Ministerstva práce, sociálnych vecí a rodiny Slovenskej republiky o poskytovaní sociálnej služby vo všeobecnom hospodárskom záujme (ďalej len „návrh vyhlášky“), sa predkladá na základe splnomocňovacieho ustanovenia podľa § 61a ods. 22 zákona č. 448/2008 Z. z. o sociálnych službách a o zmene a doplnení zákona č. 455/1991 Zb. o živnostenskom podnikaní (živnostenský zákon) v znení neskorších predpisov v znení zákona č. 253/2026 Z. z.</w:t>
      </w:r>
    </w:p>
    <w:p w:rsidR="00C23391" w:rsidRPr="000B2C2F" w:rsidRDefault="00A25F21">
      <w:pPr>
        <w:spacing w:after="160"/>
        <w:ind w:firstLine="708"/>
        <w:jc w:val="both"/>
      </w:pPr>
      <w:r w:rsidRPr="000B2C2F">
        <w:t>Poskytovanie sociálnej služby ako služby vo všeobecnom hospodárskom záujme a jej spolufinancovanie z verejných zdrojov upravuje § 61a zákona č. 448/2008 Z. z. o sociálnych službách a o zmene a doplnení zákona č. 455/1991 Zb. o živnostenskom podnikaní (živnostenský zákon) v znení neskorších predpisov (ďalej len „zákon o sociálnych službách“). Doterajšia právna úprava neobsahuje podrobnosti o spôsobe výpočtu nadmernej náhrady, o rozsahu oprávnených nákladov na poskytovanie sociálnej služby vo všeobecnom hospodárskom záujme ani o náležitostiach podkladov, ktoré poskytovateľ sociálnej služby doručuje ministerstvu. Tieto podrobnosti sa preto v praxi nedali jednotne a overiteľne uplatňovať.</w:t>
      </w:r>
    </w:p>
    <w:p w:rsidR="00C23391" w:rsidRPr="000B2C2F" w:rsidRDefault="00A25F21">
      <w:pPr>
        <w:spacing w:after="160"/>
        <w:ind w:firstLine="708"/>
        <w:jc w:val="both"/>
      </w:pPr>
      <w:r w:rsidRPr="000B2C2F">
        <w:t>Účelom návrhu vyhlášky je ustanoviť finančné podmienky poskytovania sociálnej služby vo všeobecnom hospodárskom záujme tak, aby spolufinancovanie tejto sociálnej služby z verejných zdrojov bolo transparentné, overiteľné a v súlade s pravidlami Európskej únie o štátnej pomoci vo forme náhrady za služby vo verejnom záujme podľa rozhodnutia Komisie (EÚ)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w:t>
      </w:r>
    </w:p>
    <w:p w:rsidR="004132CE" w:rsidRPr="000B2C2F" w:rsidRDefault="00064F3D">
      <w:pPr>
        <w:spacing w:after="160"/>
        <w:ind w:firstLine="708"/>
        <w:jc w:val="both"/>
      </w:pPr>
      <w:r w:rsidRPr="000B2C2F">
        <w:t>Návrh vyhlášky ustanovuje spôsob výpočtu nadmernej náhrady z verejných zdrojov poskytnutých na spolufinancovanie sociálnej služby vo všeobecnom hospodárskom záujme. Výpočet vychádza z údajov účtovníctva poskytovateľa sociálnej služby za príslušný kalendárny rok, ktorý je zároveň rozpočtovým rokom. Za príjmy, z ktorých je financované poskytovanie tejto sociálnej služby, sa považuje úhrn výnosov zaúčtovaných podľa zákona č. 431/2002 Z. z. o účtovníctve v znení neskorších predpisov, ktoré časovo a vecne súvisia s jej poskytovaním, pričom do úhrnu výnosov sa nezahŕňa primeraný zisk za predchádzajúci rozpočtový rok. Návrh vyhlášky ďalej vymedzuje oprávnené náklady na poskytovanie tejto sociálnej služby. Nadmerná náhrada sa vypočíta podľa vzorca uvedeného v prílohe č. 1 návrhu vyhlášky; je to suma, o ktorú príjmy prevyšujú súčet oprávnených nákladov a maximálnej výšky primeraného zisku, zvýšená o primeraný zisk z predchádzajúceho rozpočtového roka, ktorý poskytovateľ sociálnej služby nepoužil v súlade s vyhláškou.</w:t>
      </w:r>
    </w:p>
    <w:p w:rsidR="004132CE" w:rsidRPr="000B2C2F" w:rsidRDefault="00064F3D">
      <w:pPr>
        <w:spacing w:after="160"/>
        <w:ind w:firstLine="708"/>
        <w:jc w:val="both"/>
      </w:pPr>
      <w:r w:rsidRPr="000B2C2F">
        <w:t xml:space="preserve">Návrh vyhlášky ustanovuje spôsob určenia primeraného zisku podľa § 61a ods. 22 písm. a) tretieho bodu zákona o sociálnych službách formou jeho maximálnej výšky vyjadrenej percentom z oprávnených nákladov, a to 3 % oprávnených nákladov za príslušný rozpočtový rok. Maximálna výška primeraného zisku sa odvíja od hodnoty relevantnej swapovej sadzby podľa čl. 6 ods. 3 rozhodnutia Komisie (EÚ) 2025/2630, ktorou je swapová sadzba, ktorej splatnosť a mena zodpovedajú trvaniu a mene poverenia; pri záväzku poskytovať sociálnu službu vo všeobecnom hospodárskom záujme najviac na desať rokov je ňou desaťročná swapová sadzba v eurách zverejnená Európskou komisiou na obdobie od 1. júla 2026 do 31. decembra 2026 vo výške 3,03 %. Kladný rozdiel medzi príjmami a oprávnenými nákladmi sa </w:t>
      </w:r>
      <w:r w:rsidRPr="000B2C2F">
        <w:lastRenderedPageBreak/>
        <w:t>považuje za primeraný zisk najviac do maximálnej výšky primeraného zisku. Primeraný zisk možno v nasledujúcom rozpočtovom roku použiť len na účel podľa § 61a ods. 7 písm. c) zákona o sociálnych službách, teda na zvyšovanie kvality poskytovanej sociálnej služby. Návrh vyhlášky súčasne vymedzuje konkrétne účely takéhoto použitia; primeraný zisk, ktorý sa nepoužije v súlade s vyhláškou, sa stáva súčasťou nadmernej náhrady.</w:t>
      </w:r>
    </w:p>
    <w:p w:rsidR="004132CE" w:rsidRPr="000B2C2F" w:rsidRDefault="00064F3D">
      <w:pPr>
        <w:spacing w:after="160"/>
        <w:ind w:firstLine="708"/>
        <w:jc w:val="both"/>
      </w:pPr>
      <w:r w:rsidRPr="000B2C2F">
        <w:t>Návrh vyhlášky vymedzuje rozsah oprávnených nákladov na poskytovanie sociálnej služby vo všeobecnom hospodárskom záujme a spôsob ich určenia podľa druhu sociálnej služby, formy sociálnej služby a miesta jej poskytovania vrátane maximálnej výšky ročnej celkovej ceny práce na zamestnanca prepočítanej na jeden pracovný úväzok podľa kategórií zamestnancov. Súčasne ustanovuje všeobecné pravidlá oprávnenosti nákladov a pravidlá rozpočítavania spoločných nákladov medzi jednotlivé sociálne služby podľa rozpočítavacieho kľúča ustanoveného vyhláškou alebo písomne určeného poskytovateľom sociálnej služby. Odpisy dlhodobého majetku sú oprávneným nákladom len v časti zodpovedajúcej podielu vlastných zdrojov poskytovateľa sociálnej služby na obstarávacej cene majetku.</w:t>
      </w:r>
    </w:p>
    <w:p w:rsidR="004132CE" w:rsidRPr="000B2C2F" w:rsidRDefault="00064F3D">
      <w:pPr>
        <w:spacing w:after="160"/>
        <w:ind w:firstLine="708"/>
        <w:jc w:val="both"/>
      </w:pPr>
      <w:r w:rsidRPr="000B2C2F">
        <w:t>Návrh vyhlášky ustanovuje náležitosti návrhu rozpočtu poskytovania sociálnej služby vo všeobecnom hospodárskom záujme na príslušný rozpočtový rok podľa § 61a ods. 7 písm. a) prvého bodu zákona o sociálnych službách a náležitosti zúčtovania financovania tejto sociálnej služby za príslušný rozpočtový rok podľa § 61a ods. 7 písm. a) druhého bodu alebo ods. 9 písm. a) zákona o sociálnych službách. Návrh rozpočtu sa zostavuje v členení na bežné príjmy a bežné výdavky, kým zúčtovanie vychádza z výnosov a nákladov zaúčtovaných v účtovníctve poskytovateľa sociálnej služby. Súčasťou zúčtovania sú údaje potrebné na výpočet nadmernej náhrady, údaje o použití preneseného primeraného zisku a čestné vyhlásenie poskytovateľa sociálnej služby o pravdivosti, presnosti a úplnosti údajov a o splnení podmienok ustanovených vyhláškou.</w:t>
      </w:r>
    </w:p>
    <w:p w:rsidR="004132CE" w:rsidRPr="000B2C2F" w:rsidRDefault="00064F3D">
      <w:pPr>
        <w:spacing w:after="160"/>
        <w:ind w:firstLine="708"/>
        <w:jc w:val="both"/>
      </w:pPr>
      <w:r w:rsidRPr="000B2C2F">
        <w:t>Nadmerná náhrada sa posudzuje samostatne za každú sociálnu službu vo všeobecnom hospodárskom záujme podľa druhu sociálnej služby, formy sociálnej služby a miesta jej poskytovania, pričom vzájomná kompenzácia medzi jednotlivými sociálnymi službami nie je prípustná. Ak príjmy nepresahujú oprávnené náklady, primeraný zisk nevzniká a nadmerná náhrada vzniká len v rozsahu nepoužitého primeraného zisku z predchádzajúceho rozpočtového roka.</w:t>
      </w:r>
    </w:p>
    <w:p w:rsidR="004132CE" w:rsidRPr="000B2C2F" w:rsidRDefault="00064F3D">
      <w:pPr>
        <w:spacing w:after="160"/>
        <w:ind w:firstLine="708"/>
        <w:jc w:val="both"/>
      </w:pPr>
      <w:r w:rsidRPr="000B2C2F">
        <w:t>Zásah do práv adresátov je primeraný sledovanému účelu: návrh vyhlášky ustanovuje transparentné a vopred známe pravidlá posudzovania finančných podmienok spolufinancovania sociálnej služby, ktorú poskytovateľ sociálnej služby vo všeobecnom hospodárskom záujme poskytuje dobrovoľne na základe zákonom upraveného prejavu vôle; povinnosť vrátiť nadmernú náhradu sa vzťahuje výlučne na časť verejných zdrojov presahujúcu oprávnené náklady a maximálnu výšku primeraného zisku, a nezasahuje tak do majetkových práv poskytovateľa nad rámec nevyhnutný na dodržanie pravidiel Európskej únie o štátnej pomoci. Povinnosť predkladať podklady je obmedzená na náležitosti návrhu rozpočtu a zúčtovania ustanovené v prílohách č. 3 a 4 návrhu vyhlášky.</w:t>
      </w:r>
    </w:p>
    <w:p w:rsidR="00C23391" w:rsidRPr="000B2C2F" w:rsidRDefault="00A25F21">
      <w:pPr>
        <w:spacing w:after="160"/>
        <w:ind w:firstLine="708"/>
        <w:jc w:val="both"/>
      </w:pPr>
      <w:r w:rsidRPr="000B2C2F">
        <w:t>Návrh vyhlášky nezakladá nové, dodatočné ani zmenené vplyvy na rozpočet verejnej správy, na limit verejných výdavkov, na životné prostredie, na informatizáciu spoločnosti, na služby verejnej správy pre občana, na manželstvo, rodičovstvo a rodinu, na sociálnu oblasť ani na podnikateľské prostredie. Všetky vplyvy návrhu vyhlášky sú zhodnotené v návrhu zákona, ktorým sa mení a dopĺňa zákon č. 448/2008 Z. z. o sociálnych službách a o zmene a doplnení zákona č. 455/1991 Zb. o živnostenskom podnikaní (živnostenský zákon) v znení neskorších predpisov v znení neskorších predpisov a ktorým sa menia a dopĺňajú niektoré zákony, ktorý bol predložený na rokovanie vlády Slovenskej republiky 6. mája 2026.</w:t>
      </w:r>
    </w:p>
    <w:p w:rsidR="00C23391" w:rsidRPr="000B2C2F" w:rsidRDefault="00A25F21">
      <w:pPr>
        <w:spacing w:after="160"/>
        <w:ind w:firstLine="708"/>
        <w:jc w:val="both"/>
      </w:pPr>
      <w:r w:rsidRPr="000B2C2F">
        <w:lastRenderedPageBreak/>
        <w:t>Návrh vyhlášky je v súlade s Ústavou Slovenskej republiky, ústavnými zákonmi a nálezmi Ústavného súdu Slovenskej republiky, s inými zákonmi a medzinárodnými zmluvami a inými medzinárodnými dokumentmi, ktorými je Slovenská republika viazaná, a s právom Európskej únie.</w:t>
      </w:r>
    </w:p>
    <w:p w:rsidR="00C23391" w:rsidRPr="000B2C2F" w:rsidRDefault="00A25F21">
      <w:pPr>
        <w:spacing w:after="160"/>
        <w:ind w:firstLine="708"/>
        <w:jc w:val="both"/>
      </w:pPr>
      <w:r w:rsidRPr="000B2C2F">
        <w:t>Návrh vyhlášky súvisí so zákonom č. 448/2008 Z. z. o sociálnych službách a o zmene a doplnení zákona č. 455/1991 Zb. o živnostenskom podnikaní (živnostenský zákon) v znení neskorších predpisov, ktorého vykonávacím predpisom je, so zákonom č. 431/2002 Z. z. o účtovníctve v znení neskorších predpisov a so zákonom č. 523/2004 Z. z. o rozpočtových pravidlách verejnej správy a o zmene a doplnení niektorých zákonov v znení neskorších predpisov. Medzinárodné zmluvy a medzinárodné dokumenty, ktorými je Slovenská republika viazaná a ktoré upravujú predmet návrhu vyhlášky, nie sú; predmet návrhu vyhlášky je na úrovni práva Európskej únie upravený spôsobom uvedeným v doložke zlučiteľnosti.</w:t>
      </w:r>
    </w:p>
    <w:p w:rsidR="00C23391" w:rsidRPr="000B2C2F" w:rsidRDefault="00A25F21">
      <w:pPr>
        <w:spacing w:after="160"/>
        <w:ind w:firstLine="708"/>
        <w:jc w:val="both"/>
      </w:pPr>
      <w:r w:rsidRPr="000B2C2F">
        <w:t>Návrh vyhlášky nie je predmetom vnútrokomunitárneho pripomienkového konania podľa čl. 17 legislatívnych pravidiel vlády Slovenskej republiky a toto konanie sa neuskutočnilo, keďže rozhodnutie Komisie (EÚ) 2025/2630, ktoré návrh vyhlášky vykonáva, je priamo uplatniteľné a nejde o transpozíciu smernice Európskej únie.</w:t>
      </w:r>
    </w:p>
    <w:p w:rsidR="00C23391" w:rsidRPr="000B2C2F" w:rsidRDefault="00A25F21">
      <w:pPr>
        <w:spacing w:after="160"/>
        <w:ind w:firstLine="708"/>
        <w:jc w:val="both"/>
      </w:pPr>
      <w:r w:rsidRPr="000B2C2F">
        <w:t>Návrh vyhlášky nadobúda účinnosť 31. decembra 2026.</w:t>
      </w:r>
      <w:bookmarkEnd w:id="0"/>
    </w:p>
    <w:sectPr w:rsidR="00C23391" w:rsidRPr="000B2C2F" w:rsidSect="00F5083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37"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22F" w:rsidRDefault="00EB522F" w:rsidP="00530D52">
      <w:r>
        <w:separator/>
      </w:r>
    </w:p>
  </w:endnote>
  <w:endnote w:type="continuationSeparator" w:id="0">
    <w:p w:rsidR="00EB522F" w:rsidRDefault="00EB522F" w:rsidP="00530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22F" w:rsidRDefault="00EB522F" w:rsidP="00530D52">
      <w:r>
        <w:separator/>
      </w:r>
    </w:p>
  </w:footnote>
  <w:footnote w:type="continuationSeparator" w:id="0">
    <w:p w:rsidR="00EB522F" w:rsidRDefault="00EB522F" w:rsidP="00530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52" w:rsidRDefault="00530D5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42BE"/>
    <w:multiLevelType w:val="multilevel"/>
    <w:tmpl w:val="7F12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875A7"/>
    <w:multiLevelType w:val="hybridMultilevel"/>
    <w:tmpl w:val="40FC69E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10B51FAE"/>
    <w:multiLevelType w:val="hybridMultilevel"/>
    <w:tmpl w:val="FBD4AC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4922DF8"/>
    <w:multiLevelType w:val="hybridMultilevel"/>
    <w:tmpl w:val="7C6843D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2CE7506B"/>
    <w:multiLevelType w:val="hybridMultilevel"/>
    <w:tmpl w:val="5E287DB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42200C4A"/>
    <w:multiLevelType w:val="hybridMultilevel"/>
    <w:tmpl w:val="4EAC88EA"/>
    <w:lvl w:ilvl="0" w:tplc="6BD668DC">
      <w:start w:val="1"/>
      <w:numFmt w:val="upperLetter"/>
      <w:lvlText w:val="%1."/>
      <w:lvlJc w:val="left"/>
      <w:pPr>
        <w:ind w:left="420" w:hanging="360"/>
      </w:pPr>
      <w:rPr>
        <w:b/>
      </w:rPr>
    </w:lvl>
    <w:lvl w:ilvl="1" w:tplc="041B0019">
      <w:start w:val="1"/>
      <w:numFmt w:val="lowerLetter"/>
      <w:lvlText w:val="%2."/>
      <w:lvlJc w:val="left"/>
      <w:pPr>
        <w:ind w:left="1140" w:hanging="360"/>
      </w:pPr>
    </w:lvl>
    <w:lvl w:ilvl="2" w:tplc="041B001B">
      <w:start w:val="1"/>
      <w:numFmt w:val="lowerRoman"/>
      <w:lvlText w:val="%3."/>
      <w:lvlJc w:val="right"/>
      <w:pPr>
        <w:ind w:left="1860" w:hanging="180"/>
      </w:pPr>
    </w:lvl>
    <w:lvl w:ilvl="3" w:tplc="041B000F">
      <w:start w:val="1"/>
      <w:numFmt w:val="decimal"/>
      <w:lvlText w:val="%4."/>
      <w:lvlJc w:val="left"/>
      <w:pPr>
        <w:ind w:left="2580" w:hanging="360"/>
      </w:pPr>
    </w:lvl>
    <w:lvl w:ilvl="4" w:tplc="041B0019">
      <w:start w:val="1"/>
      <w:numFmt w:val="lowerLetter"/>
      <w:lvlText w:val="%5."/>
      <w:lvlJc w:val="left"/>
      <w:pPr>
        <w:ind w:left="3300" w:hanging="360"/>
      </w:pPr>
    </w:lvl>
    <w:lvl w:ilvl="5" w:tplc="041B001B">
      <w:start w:val="1"/>
      <w:numFmt w:val="lowerRoman"/>
      <w:lvlText w:val="%6."/>
      <w:lvlJc w:val="right"/>
      <w:pPr>
        <w:ind w:left="4020" w:hanging="180"/>
      </w:pPr>
    </w:lvl>
    <w:lvl w:ilvl="6" w:tplc="041B000F">
      <w:start w:val="1"/>
      <w:numFmt w:val="decimal"/>
      <w:lvlText w:val="%7."/>
      <w:lvlJc w:val="left"/>
      <w:pPr>
        <w:ind w:left="4740" w:hanging="360"/>
      </w:pPr>
    </w:lvl>
    <w:lvl w:ilvl="7" w:tplc="041B0019">
      <w:start w:val="1"/>
      <w:numFmt w:val="lowerLetter"/>
      <w:lvlText w:val="%8."/>
      <w:lvlJc w:val="left"/>
      <w:pPr>
        <w:ind w:left="5460" w:hanging="360"/>
      </w:pPr>
    </w:lvl>
    <w:lvl w:ilvl="8" w:tplc="041B001B">
      <w:start w:val="1"/>
      <w:numFmt w:val="lowerRoman"/>
      <w:lvlText w:val="%9."/>
      <w:lvlJc w:val="right"/>
      <w:pPr>
        <w:ind w:left="61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D2F"/>
    <w:rsid w:val="00004FF6"/>
    <w:rsid w:val="00011D13"/>
    <w:rsid w:val="000528C7"/>
    <w:rsid w:val="00064F3D"/>
    <w:rsid w:val="000B2C2F"/>
    <w:rsid w:val="000C1284"/>
    <w:rsid w:val="000D3C3B"/>
    <w:rsid w:val="000E7FA5"/>
    <w:rsid w:val="0010664F"/>
    <w:rsid w:val="0012477C"/>
    <w:rsid w:val="001549AD"/>
    <w:rsid w:val="001618ED"/>
    <w:rsid w:val="0016295C"/>
    <w:rsid w:val="00197DE4"/>
    <w:rsid w:val="001B47D2"/>
    <w:rsid w:val="001D362F"/>
    <w:rsid w:val="00202ABC"/>
    <w:rsid w:val="0020767F"/>
    <w:rsid w:val="00290CDC"/>
    <w:rsid w:val="002C1A7E"/>
    <w:rsid w:val="002D7CE9"/>
    <w:rsid w:val="002E6933"/>
    <w:rsid w:val="003167A1"/>
    <w:rsid w:val="00340FBE"/>
    <w:rsid w:val="00390447"/>
    <w:rsid w:val="003A721E"/>
    <w:rsid w:val="003F6973"/>
    <w:rsid w:val="004132CE"/>
    <w:rsid w:val="004134D0"/>
    <w:rsid w:val="00414136"/>
    <w:rsid w:val="004236AD"/>
    <w:rsid w:val="00447D2F"/>
    <w:rsid w:val="00451B4F"/>
    <w:rsid w:val="004B1F03"/>
    <w:rsid w:val="004C6FB3"/>
    <w:rsid w:val="004E556B"/>
    <w:rsid w:val="004F5544"/>
    <w:rsid w:val="0052769B"/>
    <w:rsid w:val="00530D52"/>
    <w:rsid w:val="00544D5D"/>
    <w:rsid w:val="005B43E0"/>
    <w:rsid w:val="005B4EFC"/>
    <w:rsid w:val="005C3545"/>
    <w:rsid w:val="005F7DEB"/>
    <w:rsid w:val="00613A2D"/>
    <w:rsid w:val="006272F6"/>
    <w:rsid w:val="00651D5F"/>
    <w:rsid w:val="00674510"/>
    <w:rsid w:val="006956FC"/>
    <w:rsid w:val="006B636F"/>
    <w:rsid w:val="006E43C9"/>
    <w:rsid w:val="006E6811"/>
    <w:rsid w:val="006F03A5"/>
    <w:rsid w:val="006F5927"/>
    <w:rsid w:val="00711749"/>
    <w:rsid w:val="0075598A"/>
    <w:rsid w:val="007A2611"/>
    <w:rsid w:val="007D4603"/>
    <w:rsid w:val="007D4C5A"/>
    <w:rsid w:val="008263EB"/>
    <w:rsid w:val="008340AE"/>
    <w:rsid w:val="00851D4C"/>
    <w:rsid w:val="008863FA"/>
    <w:rsid w:val="00887D25"/>
    <w:rsid w:val="0089420A"/>
    <w:rsid w:val="008A29BB"/>
    <w:rsid w:val="008A2F9C"/>
    <w:rsid w:val="008B0A8E"/>
    <w:rsid w:val="008D35FC"/>
    <w:rsid w:val="008D64F7"/>
    <w:rsid w:val="008E0550"/>
    <w:rsid w:val="008E14B5"/>
    <w:rsid w:val="008F6609"/>
    <w:rsid w:val="0091683E"/>
    <w:rsid w:val="00922750"/>
    <w:rsid w:val="00973490"/>
    <w:rsid w:val="0099678A"/>
    <w:rsid w:val="009A1851"/>
    <w:rsid w:val="009C5482"/>
    <w:rsid w:val="009F5547"/>
    <w:rsid w:val="00A2066B"/>
    <w:rsid w:val="00A25F21"/>
    <w:rsid w:val="00A35776"/>
    <w:rsid w:val="00A64F6C"/>
    <w:rsid w:val="00A77833"/>
    <w:rsid w:val="00AB04DE"/>
    <w:rsid w:val="00AB5B57"/>
    <w:rsid w:val="00AE294B"/>
    <w:rsid w:val="00AF46B5"/>
    <w:rsid w:val="00B43DAD"/>
    <w:rsid w:val="00B60055"/>
    <w:rsid w:val="00B734D7"/>
    <w:rsid w:val="00B82FD5"/>
    <w:rsid w:val="00B90AF3"/>
    <w:rsid w:val="00B97552"/>
    <w:rsid w:val="00BB3417"/>
    <w:rsid w:val="00BD731A"/>
    <w:rsid w:val="00BE3B79"/>
    <w:rsid w:val="00BE5E50"/>
    <w:rsid w:val="00BE7E53"/>
    <w:rsid w:val="00BF4F4E"/>
    <w:rsid w:val="00C23391"/>
    <w:rsid w:val="00C40BE7"/>
    <w:rsid w:val="00C5563B"/>
    <w:rsid w:val="00C570EF"/>
    <w:rsid w:val="00CC707B"/>
    <w:rsid w:val="00D37237"/>
    <w:rsid w:val="00D66DA3"/>
    <w:rsid w:val="00DC3D0A"/>
    <w:rsid w:val="00DC4DD1"/>
    <w:rsid w:val="00DC7919"/>
    <w:rsid w:val="00DE338D"/>
    <w:rsid w:val="00E47E77"/>
    <w:rsid w:val="00E50943"/>
    <w:rsid w:val="00E63380"/>
    <w:rsid w:val="00E71255"/>
    <w:rsid w:val="00E755D5"/>
    <w:rsid w:val="00EA08E4"/>
    <w:rsid w:val="00EB0FFB"/>
    <w:rsid w:val="00EB35EE"/>
    <w:rsid w:val="00EB522F"/>
    <w:rsid w:val="00ED78C6"/>
    <w:rsid w:val="00F16822"/>
    <w:rsid w:val="00F5083A"/>
    <w:rsid w:val="00F96E2A"/>
    <w:rsid w:val="00FA2FD7"/>
    <w:rsid w:val="00FE3141"/>
    <w:rsid w:val="183B6E44"/>
    <w:rsid w:val="25857D54"/>
    <w:rsid w:val="318EFF5C"/>
    <w:rsid w:val="439CC44F"/>
    <w:rsid w:val="4AC26F6D"/>
    <w:rsid w:val="583930FE"/>
    <w:rsid w:val="5B29945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479597-D28B-4F8F-8E9E-CAA14433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731A"/>
    <w:pPr>
      <w:spacing w:after="0" w:line="240" w:lineRule="auto"/>
    </w:pPr>
    <w:rPr>
      <w:rFonts w:ascii="Times New Roman" w:eastAsia="Times New Roman" w:hAnsi="Times New Roman" w:cs="Times New Roman"/>
      <w:sz w:val="24"/>
      <w:szCs w:val="24"/>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6F5927"/>
    <w:rPr>
      <w:color w:val="0000FF" w:themeColor="hyperlink"/>
      <w:u w:val="single"/>
    </w:rPr>
  </w:style>
  <w:style w:type="paragraph" w:customStyle="1" w:styleId="Textformulra">
    <w:name w:val="Text formulára"/>
    <w:basedOn w:val="Normlny"/>
    <w:uiPriority w:val="2"/>
    <w:qFormat/>
    <w:rsid w:val="003167A1"/>
    <w:pPr>
      <w:spacing w:after="120"/>
      <w:contextualSpacing/>
    </w:pPr>
    <w:rPr>
      <w:rFonts w:asciiTheme="minorHAnsi" w:eastAsiaTheme="minorHAnsi" w:hAnsiTheme="minorHAnsi" w:cstheme="minorBidi"/>
      <w:color w:val="404040" w:themeColor="text1" w:themeTint="BF"/>
      <w:kern w:val="2"/>
      <w:sz w:val="18"/>
      <w:szCs w:val="20"/>
      <w:lang w:val="en-US" w:eastAsia="ja-JP"/>
      <w14:ligatures w14:val="standard"/>
    </w:rPr>
  </w:style>
  <w:style w:type="paragraph" w:styleId="Textbubliny">
    <w:name w:val="Balloon Text"/>
    <w:basedOn w:val="Normlny"/>
    <w:link w:val="TextbublinyChar"/>
    <w:uiPriority w:val="99"/>
    <w:semiHidden/>
    <w:unhideWhenUsed/>
    <w:rsid w:val="001B47D2"/>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7D2"/>
    <w:rPr>
      <w:rFonts w:ascii="Segoe UI" w:eastAsia="Times New Roman" w:hAnsi="Segoe UI" w:cs="Segoe UI"/>
      <w:sz w:val="18"/>
      <w:szCs w:val="18"/>
      <w:lang w:eastAsia="cs-CZ"/>
    </w:rPr>
  </w:style>
  <w:style w:type="paragraph" w:customStyle="1" w:styleId="Default">
    <w:name w:val="Default"/>
    <w:rsid w:val="005B4EFC"/>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59"/>
    <w:rsid w:val="00E47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 zoznamu2"/>
    <w:basedOn w:val="Normlny"/>
    <w:link w:val="OdsekzoznamuChar"/>
    <w:uiPriority w:val="34"/>
    <w:qFormat/>
    <w:rsid w:val="00DC7919"/>
    <w:pPr>
      <w:ind w:left="720"/>
      <w:contextualSpacing/>
    </w:pPr>
  </w:style>
  <w:style w:type="paragraph" w:customStyle="1" w:styleId="default0">
    <w:name w:val="default"/>
    <w:basedOn w:val="Normlny"/>
    <w:uiPriority w:val="99"/>
    <w:rsid w:val="0010664F"/>
    <w:rPr>
      <w:rFonts w:eastAsiaTheme="minorHAnsi"/>
      <w:lang w:eastAsia="sk-SK"/>
    </w:rPr>
  </w:style>
  <w:style w:type="character" w:customStyle="1" w:styleId="OdsekzoznamuChar">
    <w:name w:val="Odsek zoznamu Char"/>
    <w:aliases w:val="body Char,Odsek zoznamu2 Char"/>
    <w:basedOn w:val="Predvolenpsmoodseku"/>
    <w:link w:val="Odsekzoznamu"/>
    <w:uiPriority w:val="34"/>
    <w:locked/>
    <w:rsid w:val="009C5482"/>
    <w:rPr>
      <w:rFonts w:ascii="Times New Roman" w:eastAsia="Times New Roman" w:hAnsi="Times New Roman" w:cs="Times New Roman"/>
      <w:sz w:val="24"/>
      <w:szCs w:val="24"/>
      <w:lang w:eastAsia="cs-CZ"/>
    </w:rPr>
  </w:style>
  <w:style w:type="paragraph" w:customStyle="1" w:styleId="Zakladnystyl">
    <w:name w:val="Zakladny styl"/>
    <w:rsid w:val="009C5482"/>
    <w:pPr>
      <w:autoSpaceDE w:val="0"/>
      <w:autoSpaceDN w:val="0"/>
      <w:spacing w:after="0" w:line="240" w:lineRule="auto"/>
    </w:pPr>
    <w:rPr>
      <w:rFonts w:ascii="Times New Roman" w:eastAsia="Times New Roman" w:hAnsi="Times New Roman" w:cs="Times New Roman"/>
      <w:sz w:val="20"/>
      <w:szCs w:val="20"/>
    </w:rPr>
  </w:style>
  <w:style w:type="paragraph" w:styleId="Normlnywebov">
    <w:name w:val="Normal (Web)"/>
    <w:basedOn w:val="Normlny"/>
    <w:uiPriority w:val="99"/>
    <w:unhideWhenUsed/>
    <w:rsid w:val="00C5563B"/>
    <w:pPr>
      <w:spacing w:before="100" w:beforeAutospacing="1" w:after="100" w:afterAutospacing="1"/>
    </w:pPr>
    <w:rPr>
      <w:lang w:eastAsia="sk-SK"/>
    </w:rPr>
  </w:style>
  <w:style w:type="paragraph" w:styleId="Hlavika">
    <w:name w:val="header"/>
    <w:basedOn w:val="Normlny"/>
    <w:link w:val="HlavikaChar"/>
    <w:uiPriority w:val="99"/>
    <w:unhideWhenUsed/>
    <w:rsid w:val="00530D52"/>
    <w:pPr>
      <w:tabs>
        <w:tab w:val="center" w:pos="4536"/>
        <w:tab w:val="right" w:pos="9072"/>
      </w:tabs>
    </w:pPr>
  </w:style>
  <w:style w:type="character" w:customStyle="1" w:styleId="HlavikaChar">
    <w:name w:val="Hlavička Char"/>
    <w:basedOn w:val="Predvolenpsmoodseku"/>
    <w:link w:val="Hlavika"/>
    <w:uiPriority w:val="99"/>
    <w:rsid w:val="00530D52"/>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530D52"/>
    <w:pPr>
      <w:tabs>
        <w:tab w:val="center" w:pos="4536"/>
        <w:tab w:val="right" w:pos="9072"/>
      </w:tabs>
    </w:pPr>
  </w:style>
  <w:style w:type="character" w:customStyle="1" w:styleId="PtaChar">
    <w:name w:val="Päta Char"/>
    <w:basedOn w:val="Predvolenpsmoodseku"/>
    <w:link w:val="Pta"/>
    <w:uiPriority w:val="99"/>
    <w:rsid w:val="00530D52"/>
    <w:rPr>
      <w:rFonts w:ascii="Times New Roman" w:eastAsia="Times New Roman" w:hAnsi="Times New Roman" w:cs="Times New Roman"/>
      <w:sz w:val="24"/>
      <w:szCs w:val="24"/>
      <w:lang w:eastAsia="cs-CZ"/>
    </w:rPr>
  </w:style>
  <w:style w:type="character" w:styleId="Odkaznakomentr">
    <w:name w:val="annotation reference"/>
    <w:basedOn w:val="Predvolenpsmoodseku"/>
    <w:uiPriority w:val="99"/>
    <w:semiHidden/>
    <w:unhideWhenUsed/>
    <w:rsid w:val="00ED78C6"/>
    <w:rPr>
      <w:sz w:val="16"/>
      <w:szCs w:val="16"/>
    </w:rPr>
  </w:style>
  <w:style w:type="paragraph" w:styleId="Textkomentra">
    <w:name w:val="annotation text"/>
    <w:basedOn w:val="Normlny"/>
    <w:link w:val="TextkomentraChar"/>
    <w:uiPriority w:val="99"/>
    <w:semiHidden/>
    <w:unhideWhenUsed/>
    <w:rsid w:val="00ED78C6"/>
    <w:rPr>
      <w:sz w:val="20"/>
      <w:szCs w:val="20"/>
    </w:rPr>
  </w:style>
  <w:style w:type="character" w:customStyle="1" w:styleId="TextkomentraChar">
    <w:name w:val="Text komentára Char"/>
    <w:basedOn w:val="Predvolenpsmoodseku"/>
    <w:link w:val="Textkomentra"/>
    <w:uiPriority w:val="99"/>
    <w:semiHidden/>
    <w:rsid w:val="00ED78C6"/>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ED78C6"/>
    <w:rPr>
      <w:b/>
      <w:bCs/>
    </w:rPr>
  </w:style>
  <w:style w:type="character" w:customStyle="1" w:styleId="PredmetkomentraChar">
    <w:name w:val="Predmet komentára Char"/>
    <w:basedOn w:val="TextkomentraChar"/>
    <w:link w:val="Predmetkomentra"/>
    <w:uiPriority w:val="99"/>
    <w:semiHidden/>
    <w:rsid w:val="00ED78C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7103">
      <w:bodyDiv w:val="1"/>
      <w:marLeft w:val="0"/>
      <w:marRight w:val="0"/>
      <w:marTop w:val="0"/>
      <w:marBottom w:val="0"/>
      <w:divBdr>
        <w:top w:val="none" w:sz="0" w:space="0" w:color="auto"/>
        <w:left w:val="none" w:sz="0" w:space="0" w:color="auto"/>
        <w:bottom w:val="none" w:sz="0" w:space="0" w:color="auto"/>
        <w:right w:val="none" w:sz="0" w:space="0" w:color="auto"/>
      </w:divBdr>
    </w:div>
    <w:div w:id="1659650643">
      <w:bodyDiv w:val="1"/>
      <w:marLeft w:val="0"/>
      <w:marRight w:val="0"/>
      <w:marTop w:val="0"/>
      <w:marBottom w:val="0"/>
      <w:divBdr>
        <w:top w:val="none" w:sz="0" w:space="0" w:color="auto"/>
        <w:left w:val="none" w:sz="0" w:space="0" w:color="auto"/>
        <w:bottom w:val="none" w:sz="0" w:space="0" w:color="auto"/>
        <w:right w:val="none" w:sz="0" w:space="0" w:color="auto"/>
      </w:divBdr>
    </w:div>
    <w:div w:id="1960337721">
      <w:bodyDiv w:val="1"/>
      <w:marLeft w:val="0"/>
      <w:marRight w:val="0"/>
      <w:marTop w:val="0"/>
      <w:marBottom w:val="0"/>
      <w:divBdr>
        <w:top w:val="none" w:sz="0" w:space="0" w:color="auto"/>
        <w:left w:val="none" w:sz="0" w:space="0" w:color="auto"/>
        <w:bottom w:val="none" w:sz="0" w:space="0" w:color="auto"/>
        <w:right w:val="none" w:sz="0" w:space="0" w:color="auto"/>
      </w:divBdr>
    </w:div>
    <w:div w:id="203538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1320</Words>
  <Characters>7526</Characters>
  <Application>Microsoft Office Word</Application>
  <DocSecurity>0</DocSecurity>
  <Lines>62</Lines>
  <Paragraphs>17</Paragraphs>
  <ScaleCrop>false</ScaleCrop>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Filipova Viera</dc:creator>
  <cp:lastModifiedBy>Ležovič Mário</cp:lastModifiedBy>
  <cp:revision>40</cp:revision>
  <cp:lastPrinted>2025-03-25T17:52:00Z</cp:lastPrinted>
  <dcterms:created xsi:type="dcterms:W3CDTF">2026-03-03T11:11:00Z</dcterms:created>
  <dcterms:modified xsi:type="dcterms:W3CDTF">2026-11-06T07:24:00Z</dcterms:modified>
</cp:coreProperties>
</file>