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B4FA" w14:textId="77777777" w:rsidR="006905FC" w:rsidRPr="0033626A" w:rsidRDefault="5BC25BA9" w:rsidP="070BDBF9">
      <w:pPr>
        <w:widowControl w:val="0"/>
        <w:adjustRightInd w:val="0"/>
        <w:spacing w:line="276" w:lineRule="auto"/>
        <w:contextualSpacing/>
        <w:jc w:val="both"/>
        <w:rPr>
          <w:rFonts w:ascii="Times New Roman" w:hAnsi="Times New Roman"/>
          <w:b/>
          <w:bCs/>
          <w:smallCaps/>
          <w:sz w:val="24"/>
          <w:szCs w:val="24"/>
        </w:rPr>
      </w:pPr>
      <w:r w:rsidRPr="070BDBF9">
        <w:rPr>
          <w:rFonts w:ascii="Times New Roman" w:hAnsi="Times New Roman"/>
          <w:b/>
          <w:bCs/>
          <w:smallCaps/>
          <w:sz w:val="24"/>
          <w:szCs w:val="24"/>
        </w:rPr>
        <w:t>DÔVODOVÁ   SPRÁVA</w:t>
      </w:r>
    </w:p>
    <w:p w14:paraId="1E68C7D8" w14:textId="77777777" w:rsidR="006905FC" w:rsidRPr="0033626A" w:rsidRDefault="006905FC" w:rsidP="070BDBF9">
      <w:pPr>
        <w:widowControl w:val="0"/>
        <w:adjustRightInd w:val="0"/>
        <w:spacing w:line="276" w:lineRule="auto"/>
        <w:contextualSpacing/>
        <w:jc w:val="both"/>
        <w:rPr>
          <w:rFonts w:ascii="Times New Roman" w:hAnsi="Times New Roman"/>
          <w:b/>
          <w:bCs/>
          <w:smallCaps/>
          <w:sz w:val="24"/>
          <w:szCs w:val="24"/>
        </w:rPr>
      </w:pPr>
    </w:p>
    <w:p w14:paraId="34C76809" w14:textId="77777777" w:rsidR="006905FC" w:rsidRPr="0033626A" w:rsidRDefault="5BC25BA9" w:rsidP="070BDBF9">
      <w:pPr>
        <w:widowControl w:val="0"/>
        <w:numPr>
          <w:ilvl w:val="0"/>
          <w:numId w:val="4"/>
        </w:numPr>
        <w:adjustRightInd w:val="0"/>
        <w:spacing w:after="0" w:line="240" w:lineRule="auto"/>
        <w:ind w:left="0" w:firstLine="0"/>
        <w:jc w:val="both"/>
        <w:rPr>
          <w:rFonts w:ascii="Times New Roman" w:hAnsi="Times New Roman"/>
          <w:b/>
          <w:bCs/>
          <w:sz w:val="24"/>
          <w:szCs w:val="24"/>
        </w:rPr>
      </w:pPr>
      <w:r w:rsidRPr="070BDBF9">
        <w:rPr>
          <w:rFonts w:ascii="Times New Roman" w:hAnsi="Times New Roman"/>
          <w:b/>
          <w:bCs/>
          <w:sz w:val="24"/>
          <w:szCs w:val="24"/>
        </w:rPr>
        <w:t xml:space="preserve">Všeobecná časť </w:t>
      </w:r>
    </w:p>
    <w:p w14:paraId="60EEEE72" w14:textId="77777777" w:rsidR="006905FC" w:rsidRPr="0033626A" w:rsidRDefault="006905FC" w:rsidP="070BDBF9">
      <w:pPr>
        <w:ind w:firstLine="708"/>
        <w:jc w:val="both"/>
        <w:rPr>
          <w:rFonts w:ascii="Times New Roman" w:hAnsi="Times New Roman"/>
          <w:sz w:val="24"/>
          <w:szCs w:val="24"/>
        </w:rPr>
      </w:pPr>
    </w:p>
    <w:p w14:paraId="493E68B3" w14:textId="3050DB62" w:rsidR="006905FC" w:rsidRDefault="5BC25BA9" w:rsidP="070BDBF9">
      <w:pPr>
        <w:spacing w:after="0" w:line="276" w:lineRule="auto"/>
        <w:ind w:firstLine="708"/>
        <w:jc w:val="both"/>
        <w:rPr>
          <w:rFonts w:ascii="Times New Roman" w:hAnsi="Times New Roman"/>
          <w:sz w:val="24"/>
          <w:szCs w:val="24"/>
        </w:rPr>
      </w:pPr>
      <w:r w:rsidRPr="070BDBF9">
        <w:rPr>
          <w:rFonts w:ascii="Times New Roman" w:hAnsi="Times New Roman"/>
          <w:sz w:val="24"/>
          <w:szCs w:val="24"/>
        </w:rPr>
        <w:t>Návrh zákona vypracovalo Ministerstvo vnútra Slovenskej republiky v spolupráci s Ministerstvom financií Slovenskej republiky, Ministerstvom spravodlivosti Slovenskej republiky a Národnou bankou Slovenska v súlade s bodom B.12 a B.13 uznesenia vlády Slovenskej republiky č. 589 z 2. októbra 2024 k návrhu na určenie gestorských ústredných orgánov štátnej správy a niektorých orgánov verejnej m</w:t>
      </w:r>
      <w:r w:rsidR="00CF0D13">
        <w:rPr>
          <w:rFonts w:ascii="Times New Roman" w:hAnsi="Times New Roman"/>
          <w:sz w:val="24"/>
          <w:szCs w:val="24"/>
        </w:rPr>
        <w:t>oci zodpovedných za prebratie a </w:t>
      </w:r>
      <w:r w:rsidRPr="070BDBF9">
        <w:rPr>
          <w:rFonts w:ascii="Times New Roman" w:hAnsi="Times New Roman"/>
          <w:sz w:val="24"/>
          <w:szCs w:val="24"/>
        </w:rPr>
        <w:t>aplikáciu smerníc, podľa ktorého bolo uložené ministrovi vnútra zabezpečiť prebratie smernice Európskeho parlamentu a Rady (EÚ) 2024/1640 z 31. mája 2024 o mechanizmoch, ktoré majú členské štáty zaviesť na predchádzanie využívaniu finančného systému na účely prania špinavých peňazí alebo financovania terorizmu, ktorou sa mení smernica (EÚ) 2019/1937 a mení a zrušuje smernica (EÚ) 2015/849 (ďalej len „smernica (EÚ) 2024/1640“) a smernice Európskeho parlamentu a Rady (EÚ) 2024/1654 z 31. mája 2024, ktorou sa mení smernica (EÚ) 2019/1153, pokiaľ ide o prístup príslušných orgánov k centralizovaným registrom bankových účtov prostredníctvom systému prepojenia a technické opatrenia na uľahčenie využívania záznamov o transakciách (ďalej len „smernica (EÚ) 2024/1654“).</w:t>
      </w:r>
    </w:p>
    <w:p w14:paraId="28FD1479" w14:textId="10071F95" w:rsidR="001644F9" w:rsidRDefault="001644F9" w:rsidP="070BDBF9">
      <w:pPr>
        <w:spacing w:after="0" w:line="276" w:lineRule="auto"/>
        <w:ind w:firstLine="708"/>
        <w:jc w:val="both"/>
        <w:rPr>
          <w:rFonts w:ascii="Times New Roman" w:hAnsi="Times New Roman"/>
          <w:sz w:val="24"/>
          <w:szCs w:val="24"/>
        </w:rPr>
      </w:pPr>
    </w:p>
    <w:p w14:paraId="7C533E63" w14:textId="783C24F7" w:rsidR="001644F9" w:rsidRDefault="001644F9" w:rsidP="070BDBF9">
      <w:pPr>
        <w:spacing w:after="0" w:line="276" w:lineRule="auto"/>
        <w:ind w:firstLine="708"/>
        <w:jc w:val="both"/>
      </w:pPr>
      <w:r>
        <w:rPr>
          <w:rFonts w:ascii="Times New Roman" w:hAnsi="Times New Roman"/>
          <w:sz w:val="24"/>
          <w:szCs w:val="24"/>
        </w:rPr>
        <w:t>Vzhľadom na špecifickosť úpravy v čl. 10 smernice</w:t>
      </w:r>
      <w:r w:rsidRPr="070BDBF9">
        <w:rPr>
          <w:rFonts w:ascii="Times New Roman" w:hAnsi="Times New Roman"/>
          <w:sz w:val="24"/>
          <w:szCs w:val="24"/>
        </w:rPr>
        <w:t xml:space="preserve"> (EÚ) 2024/1640</w:t>
      </w:r>
      <w:r>
        <w:rPr>
          <w:rFonts w:ascii="Times New Roman" w:hAnsi="Times New Roman"/>
          <w:sz w:val="24"/>
          <w:szCs w:val="24"/>
        </w:rPr>
        <w:t xml:space="preserve"> sa tento článok návrhom zákona netransponuje, ale bude transponovaný v samostatnom legislatívnom procese.</w:t>
      </w:r>
    </w:p>
    <w:p w14:paraId="7A437A55" w14:textId="77777777" w:rsidR="006905FC" w:rsidRDefault="006905FC" w:rsidP="070BDBF9">
      <w:pPr>
        <w:spacing w:after="0" w:line="276" w:lineRule="auto"/>
        <w:ind w:firstLine="708"/>
        <w:jc w:val="both"/>
      </w:pPr>
    </w:p>
    <w:p w14:paraId="09B910E2" w14:textId="77777777" w:rsidR="006905FC" w:rsidRDefault="5BC25BA9" w:rsidP="070BDBF9">
      <w:pPr>
        <w:spacing w:after="0" w:line="276" w:lineRule="auto"/>
        <w:ind w:firstLine="708"/>
        <w:jc w:val="both"/>
      </w:pPr>
      <w:r w:rsidRPr="070BDBF9">
        <w:rPr>
          <w:rFonts w:ascii="Times New Roman" w:hAnsi="Times New Roman"/>
          <w:sz w:val="24"/>
          <w:szCs w:val="24"/>
        </w:rPr>
        <w:t>Návrh zákona bol vypracovaný aj na základe Plánu legislatívnych úloh vlády Slovenskej republiky na rok 2026, schválený uznesením vlády č. 634 zo 17. decembra 2025.</w:t>
      </w:r>
    </w:p>
    <w:p w14:paraId="1BC96746" w14:textId="77777777" w:rsidR="006905FC" w:rsidRDefault="006905FC" w:rsidP="070BDBF9">
      <w:pPr>
        <w:spacing w:after="0" w:line="276" w:lineRule="auto"/>
        <w:ind w:firstLine="708"/>
        <w:jc w:val="both"/>
      </w:pPr>
    </w:p>
    <w:p w14:paraId="188BB29D" w14:textId="77777777" w:rsidR="006905FC" w:rsidRDefault="5BC25BA9" w:rsidP="070BDBF9">
      <w:pPr>
        <w:spacing w:after="0" w:line="276" w:lineRule="auto"/>
        <w:ind w:firstLine="709"/>
        <w:jc w:val="both"/>
        <w:rPr>
          <w:rFonts w:ascii="Times New Roman" w:hAnsi="Times New Roman"/>
          <w:sz w:val="24"/>
          <w:szCs w:val="24"/>
          <w:lang w:eastAsia="sk-SK"/>
        </w:rPr>
      </w:pPr>
      <w:r w:rsidRPr="070BDBF9">
        <w:rPr>
          <w:rFonts w:ascii="Times New Roman" w:hAnsi="Times New Roman"/>
          <w:sz w:val="24"/>
          <w:szCs w:val="24"/>
          <w:lang w:eastAsia="sk-SK"/>
        </w:rPr>
        <w:t>Návrh zákona obsahuje niektoré ustanovenia, ktoré sú nevyhnutné k harmonizácii slovenského právneho poriadku s nariadením Európskeho parlamentu a Rady (EÚ) 2024/1624 z 31. mája 2024 o predchádzaní využívaniu finančného systému na účely prania špinavých peňazí alebo financovania terorizmu (ďalej len „nariadenie (EÚ) 2024/1624“) a taktiež s nariadením Európskeho parlamentu a Rady (EÚ) 2024/1620 z 31. mája 2024, ktorým sa zriaďuje Úrad pre boj proti praniu špinavých peňazí a financovaniu terorizmu a ktorým sa menia nariadenia (EÚ) č. 1093/2010, (EÚ) č. 1095/2010 (ďalej len „nariadenie (EÚ) 2024/1620“).</w:t>
      </w:r>
    </w:p>
    <w:p w14:paraId="424FDDC4" w14:textId="77777777" w:rsidR="006905FC" w:rsidRDefault="5BC25BA9" w:rsidP="070BDBF9">
      <w:pPr>
        <w:spacing w:after="0" w:line="276" w:lineRule="auto"/>
        <w:ind w:firstLine="709"/>
        <w:jc w:val="both"/>
        <w:rPr>
          <w:rFonts w:ascii="Times New Roman" w:hAnsi="Times New Roman"/>
          <w:sz w:val="24"/>
          <w:szCs w:val="24"/>
          <w:lang w:eastAsia="sk-SK"/>
        </w:rPr>
      </w:pPr>
      <w:r w:rsidRPr="070BDBF9">
        <w:rPr>
          <w:rFonts w:ascii="Times New Roman" w:hAnsi="Times New Roman"/>
          <w:sz w:val="24"/>
          <w:szCs w:val="24"/>
          <w:lang w:eastAsia="sk-SK"/>
        </w:rPr>
        <w:t>Uvedené právne akty sú súčasťou nového európskeho legislatívneho rámca v oblasti boja proti legalizácii výnosov z trestnej činnosti a financovaniu terorizmu (AML/CFT), ktorého cieľom je zvýšiť jednotnosť pravidiel, odstrániť rozdiely medzi členskými štátmi a posilniť účinnosť prevencie a odhaľovania finančnej kriminality.</w:t>
      </w:r>
    </w:p>
    <w:p w14:paraId="0CFB92E8" w14:textId="77777777" w:rsidR="006905FC" w:rsidRDefault="006905FC" w:rsidP="070BDBF9">
      <w:pPr>
        <w:spacing w:after="0" w:line="276" w:lineRule="auto"/>
        <w:ind w:firstLine="709"/>
        <w:jc w:val="both"/>
        <w:rPr>
          <w:rFonts w:ascii="Times New Roman" w:hAnsi="Times New Roman"/>
          <w:sz w:val="24"/>
          <w:szCs w:val="24"/>
          <w:lang w:eastAsia="sk-SK"/>
        </w:rPr>
      </w:pPr>
    </w:p>
    <w:p w14:paraId="2A3F7492" w14:textId="77777777" w:rsidR="006905FC" w:rsidRDefault="5BC25BA9" w:rsidP="070BDBF9">
      <w:pPr>
        <w:spacing w:after="0" w:line="276" w:lineRule="auto"/>
        <w:ind w:firstLine="709"/>
        <w:jc w:val="both"/>
        <w:rPr>
          <w:rFonts w:ascii="Times New Roman" w:hAnsi="Times New Roman"/>
          <w:sz w:val="24"/>
          <w:szCs w:val="24"/>
          <w:lang w:eastAsia="sk-SK"/>
        </w:rPr>
      </w:pPr>
      <w:r w:rsidRPr="070BDBF9">
        <w:rPr>
          <w:rFonts w:ascii="Times New Roman" w:hAnsi="Times New Roman"/>
          <w:sz w:val="24"/>
          <w:szCs w:val="24"/>
          <w:lang w:eastAsia="sk-SK"/>
        </w:rPr>
        <w:t xml:space="preserve">Nariadenie (EÚ) 2024/1624 predstavuje jednotný a priamo uplatniteľný súbor pravidiel pre povinné osoby v celej Európskej únii. Reaguje na doterajšiu roztrieštenosť právnej úpravy, ktorá vznikala transpozíciou smerníc do vnútroštátnych právnych poriadkov, a presúva podstatnú časť povinností povinných osôb z národnej legislatívy priamo do európskeho nariadenia. Nariadenie upravuje najmä požiadavky na vnútorné kontrolné systémy, hodnotenie </w:t>
      </w:r>
      <w:r w:rsidRPr="070BDBF9">
        <w:rPr>
          <w:rFonts w:ascii="Times New Roman" w:hAnsi="Times New Roman"/>
          <w:sz w:val="24"/>
          <w:szCs w:val="24"/>
          <w:lang w:eastAsia="sk-SK"/>
        </w:rPr>
        <w:lastRenderedPageBreak/>
        <w:t>rizík, starostlivosť vo vzťahu ku klientovi, zisťovanie konečného užívateľa výhod, oznamovacie povinnosti, uchovávanie údajov a ďalšie preventívne opatrenia.</w:t>
      </w:r>
    </w:p>
    <w:p w14:paraId="5F67D7E8" w14:textId="77777777" w:rsidR="006905FC" w:rsidRDefault="006905FC" w:rsidP="070BDBF9">
      <w:pPr>
        <w:spacing w:after="0" w:line="276" w:lineRule="auto"/>
        <w:ind w:firstLine="709"/>
        <w:jc w:val="both"/>
        <w:rPr>
          <w:rFonts w:ascii="Times New Roman" w:hAnsi="Times New Roman"/>
          <w:sz w:val="24"/>
          <w:szCs w:val="24"/>
        </w:rPr>
      </w:pPr>
    </w:p>
    <w:p w14:paraId="2DD2DB70" w14:textId="21F30911" w:rsidR="006905FC" w:rsidRDefault="2C8F644C" w:rsidP="070BDBF9">
      <w:pPr>
        <w:ind w:firstLine="708"/>
        <w:jc w:val="both"/>
        <w:rPr>
          <w:rFonts w:ascii="Times New Roman" w:hAnsi="Times New Roman"/>
          <w:sz w:val="24"/>
          <w:szCs w:val="24"/>
          <w:lang w:eastAsia="sk-SK"/>
        </w:rPr>
      </w:pPr>
      <w:r w:rsidRPr="070BDBF9">
        <w:rPr>
          <w:rFonts w:ascii="Times New Roman" w:hAnsi="Times New Roman"/>
          <w:sz w:val="24"/>
          <w:szCs w:val="24"/>
          <w:lang w:eastAsia="sk-SK"/>
        </w:rPr>
        <w:t>Z uvedeného dôvodu je potrebné prijať nový zákon, ktorým sa nahradí zákon</w:t>
      </w:r>
      <w:r w:rsidR="6AC1EE19" w:rsidRPr="070BDBF9">
        <w:rPr>
          <w:rFonts w:ascii="Times New Roman" w:hAnsi="Times New Roman"/>
          <w:sz w:val="24"/>
          <w:szCs w:val="24"/>
          <w:lang w:eastAsia="sk-SK"/>
        </w:rPr>
        <w:t xml:space="preserve"> </w:t>
      </w:r>
      <w:r w:rsidR="00CF0D13">
        <w:rPr>
          <w:rFonts w:ascii="Times New Roman" w:hAnsi="Times New Roman"/>
          <w:sz w:val="24"/>
          <w:szCs w:val="24"/>
          <w:lang w:eastAsia="sk-SK"/>
        </w:rPr>
        <w:t>č. </w:t>
      </w:r>
      <w:r w:rsidRPr="070BDBF9">
        <w:rPr>
          <w:rFonts w:ascii="Times New Roman" w:hAnsi="Times New Roman"/>
          <w:sz w:val="24"/>
          <w:szCs w:val="24"/>
          <w:lang w:eastAsia="sk-SK"/>
        </w:rPr>
        <w:t>297/2008 Z. z. o ochrane pred legalizáciou príjmov z trestnej činnosti a o ochrane pred financovaním terorizmu a o zmene a doplnení niektorých zákonov, nakoľko prevažnú časť uvedeného zákona tvorili práve povinnosti povinných osôb, ktoré bude upravovať nariadenie (EÚ) 2024/1624 s účinnosťou od 10. júla 2027. Návrh zákona sa preto sústreďuje najmä na úpravu kompetencií vnútroštátnych orgánov, výkon dohľadu, spoluprácu príslušných orgánov, fungovanie registrov, ako aj na ďalšie oblasti, pri ktorých smernica (EÚ) 2024/1640 vyžaduje prijatie vnútroštátnych opatrení.</w:t>
      </w:r>
    </w:p>
    <w:p w14:paraId="0D3930B5" w14:textId="77777777" w:rsidR="006905FC" w:rsidRDefault="5BC25BA9" w:rsidP="070BDBF9">
      <w:pPr>
        <w:spacing w:after="0" w:line="276" w:lineRule="auto"/>
        <w:ind w:firstLine="709"/>
        <w:jc w:val="both"/>
        <w:rPr>
          <w:rFonts w:ascii="Times New Roman" w:hAnsi="Times New Roman"/>
          <w:sz w:val="24"/>
          <w:szCs w:val="24"/>
        </w:rPr>
      </w:pPr>
      <w:r w:rsidRPr="070BDBF9">
        <w:rPr>
          <w:rFonts w:ascii="Times New Roman" w:hAnsi="Times New Roman"/>
          <w:sz w:val="24"/>
          <w:szCs w:val="24"/>
        </w:rPr>
        <w:t>Návrh zákona upravuje postavenie, pôsobnosť a oprávnenia Finančnej spravodajskej jednotky (ďalej len „FSJ“), spoluprácu FSJ s inými finančnými spravodajskými  jednotkami, spoluprácu orgánov v AML/CFT oblasti a v neposlednom rade prináša zásadnú rekonštrukciu existujúceho systému dohľadu nad dodržiavaním povinností v oblasti opatrení AML/CFT s cieľom zvýšiť efektivitu, právnu istotu a koordináciu medzi jednotlivými orgánmi verejnej moci.</w:t>
      </w:r>
    </w:p>
    <w:p w14:paraId="660E3B23" w14:textId="77777777" w:rsidR="006905FC" w:rsidRPr="005253EA" w:rsidRDefault="5BC25BA9" w:rsidP="070BDBF9">
      <w:pPr>
        <w:spacing w:after="0" w:line="276" w:lineRule="auto"/>
        <w:ind w:firstLine="709"/>
        <w:jc w:val="both"/>
        <w:rPr>
          <w:rFonts w:ascii="Times New Roman" w:hAnsi="Times New Roman"/>
          <w:sz w:val="24"/>
          <w:szCs w:val="24"/>
        </w:rPr>
      </w:pPr>
      <w:r w:rsidRPr="070BDBF9">
        <w:rPr>
          <w:rFonts w:ascii="Times New Roman" w:hAnsi="Times New Roman"/>
          <w:sz w:val="24"/>
          <w:szCs w:val="24"/>
        </w:rPr>
        <w:t>Prijatím návrhu zákona sa zabezpečí súlad právneho poriadku Slovenskej republiky s novým AML/CFT rámcom Európskej únie. Očakáva sa zvýšenie právnej istoty, jednotnejšie uplatňovanie pravidiel v rámci vnútorného trhu, efektívnejšia výmena informácií medzi príslušnými orgánmi a zlepšenie schopnosti odhaľovať a predchádzať legalizácii výnosov z trestnej činnosti a financovaniu terorizmu.</w:t>
      </w:r>
    </w:p>
    <w:p w14:paraId="4AFF8E13" w14:textId="77777777" w:rsidR="006905FC" w:rsidRPr="005253EA" w:rsidRDefault="5BC25BA9" w:rsidP="070BDBF9">
      <w:pPr>
        <w:spacing w:after="0"/>
        <w:ind w:firstLine="708"/>
        <w:jc w:val="both"/>
      </w:pPr>
      <w:r w:rsidRPr="070BDBF9">
        <w:rPr>
          <w:rFonts w:ascii="Times New Roman" w:hAnsi="Times New Roman"/>
          <w:sz w:val="24"/>
          <w:szCs w:val="24"/>
        </w:rPr>
        <w:t xml:space="preserve"> </w:t>
      </w:r>
    </w:p>
    <w:p w14:paraId="48FA3902" w14:textId="201FE9C3" w:rsidR="006905FC" w:rsidRDefault="4F396049" w:rsidP="070BDBF9">
      <w:pPr>
        <w:spacing w:after="0" w:line="276" w:lineRule="auto"/>
        <w:ind w:firstLine="708"/>
        <w:jc w:val="both"/>
      </w:pPr>
      <w:r w:rsidRPr="23BE041E">
        <w:rPr>
          <w:rFonts w:ascii="Times New Roman" w:hAnsi="Times New Roman"/>
          <w:sz w:val="24"/>
          <w:szCs w:val="24"/>
        </w:rPr>
        <w:t>Vplyv návrhu zákona na povinné osoby bude spočívať predovšetkým v potrebe prispôsobiť svoje vnútorné procesy a postupy novému európskemu regulačnému rámcu. Keďže rozhodujúca časť povinností je ustanovená priamo nariadením (EÚ) 2024/1624 a bude sa uplatňovať jednotne vo všetkých členských štátoch, návrh zákona sám osebe nepredstavuje významné dodatočné administratívne zaťaženie nad rámec požiadaviek vyplývajúcich z práva Európskej únie. Naopak, harmonizácia pravidiel by mala z dlhodobého hľadiska znížiť regulačnú neistotu a náklady spojené s rozdielnou vnútroštátnou úpravou, najmä pre subjekty pôsobiace cezhranične.</w:t>
      </w:r>
    </w:p>
    <w:p w14:paraId="55F3DD66" w14:textId="010B921C" w:rsidR="773D4D3B" w:rsidRDefault="403E30A5"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 </w:t>
      </w:r>
    </w:p>
    <w:p w14:paraId="362CB1AA" w14:textId="399B19BC" w:rsidR="773D4D3B" w:rsidRDefault="403E30A5" w:rsidP="070BDBF9">
      <w:pPr>
        <w:spacing w:after="0" w:line="257" w:lineRule="auto"/>
        <w:ind w:firstLine="708"/>
        <w:jc w:val="both"/>
        <w:rPr>
          <w:rFonts w:ascii="Times New Roman" w:hAnsi="Times New Roman"/>
          <w:sz w:val="24"/>
          <w:szCs w:val="24"/>
        </w:rPr>
      </w:pPr>
      <w:r w:rsidRPr="070BDBF9">
        <w:rPr>
          <w:rFonts w:ascii="Times New Roman" w:hAnsi="Times New Roman"/>
          <w:sz w:val="24"/>
          <w:szCs w:val="24"/>
        </w:rPr>
        <w:t>Dôchodkové správcovské spoločnosti a doplnkové dôchodkové spoločnosti nie sú podľa článku 3 nariadenia (EÚ) 2024/1624 zaradené medzi povinné osoby tak, ako ich za povinné osoby považovala doterajšia slovenská právna úprava.</w:t>
      </w:r>
    </w:p>
    <w:p w14:paraId="6211CB20" w14:textId="0317003C" w:rsidR="773D4D3B" w:rsidRDefault="403E30A5"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 </w:t>
      </w:r>
    </w:p>
    <w:p w14:paraId="67FFEB91" w14:textId="320FFC03" w:rsidR="773D4D3B" w:rsidRDefault="403E30A5" w:rsidP="070BDBF9">
      <w:pPr>
        <w:spacing w:after="0" w:line="257" w:lineRule="auto"/>
        <w:ind w:firstLine="708"/>
        <w:jc w:val="both"/>
        <w:rPr>
          <w:rFonts w:ascii="Times New Roman" w:hAnsi="Times New Roman"/>
          <w:sz w:val="24"/>
          <w:szCs w:val="24"/>
        </w:rPr>
      </w:pPr>
      <w:r w:rsidRPr="070BDBF9">
        <w:rPr>
          <w:rFonts w:ascii="Times New Roman" w:hAnsi="Times New Roman"/>
          <w:sz w:val="24"/>
          <w:szCs w:val="24"/>
        </w:rPr>
        <w:t>Národná banka Slovenska vypracovala podľa článku 7 smernice</w:t>
      </w:r>
      <w:r w:rsidRPr="070BDBF9">
        <w:rPr>
          <w:rFonts w:ascii="Times New Roman" w:hAnsi="Times New Roman"/>
          <w:color w:val="333333"/>
          <w:sz w:val="24"/>
          <w:szCs w:val="24"/>
        </w:rPr>
        <w:t xml:space="preserve"> (EÚ) 2024/1640 </w:t>
      </w:r>
      <w:r w:rsidRPr="070BDBF9">
        <w:rPr>
          <w:rFonts w:ascii="Times New Roman" w:hAnsi="Times New Roman"/>
          <w:sz w:val="24"/>
          <w:szCs w:val="24"/>
        </w:rPr>
        <w:t>analýzu rizikovosti dôchodkového sektora, podľa ktorej vyšla celková rizikovosť tohto sektora ako nízka. Na základe tejto skutočnosti nie je dôvod klasifikovať dôchodkové správcovské spoločnosti a doplnkové dôchodkové spoločnosti ako povinné subjekty podľa novej európskej legislatívy v AML/CFT oblasti.</w:t>
      </w:r>
    </w:p>
    <w:p w14:paraId="0EB4772B" w14:textId="101DAB6E" w:rsidR="773D4D3B" w:rsidRDefault="403E30A5"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 </w:t>
      </w:r>
    </w:p>
    <w:p w14:paraId="00C9D9A3" w14:textId="449B8C8D" w:rsidR="773D4D3B" w:rsidRDefault="403E30A5" w:rsidP="070BDBF9">
      <w:pPr>
        <w:spacing w:after="0" w:line="257" w:lineRule="auto"/>
        <w:ind w:firstLine="708"/>
        <w:jc w:val="both"/>
        <w:rPr>
          <w:rFonts w:ascii="Times New Roman" w:hAnsi="Times New Roman"/>
          <w:sz w:val="24"/>
          <w:szCs w:val="24"/>
        </w:rPr>
      </w:pPr>
      <w:r w:rsidRPr="070BDBF9">
        <w:rPr>
          <w:rFonts w:ascii="Times New Roman" w:hAnsi="Times New Roman"/>
          <w:sz w:val="24"/>
          <w:szCs w:val="24"/>
        </w:rPr>
        <w:t xml:space="preserve">Vzhľadom na uvedené je potrebné pristúpiť k zmene zákona č. 43/2004 Z. z. o starobnom dôchodkovom sporení a o zmene a doplnení niektorých zákonov v znení neskorších predpisov, ako aj zákona č. 650/2004 Z. z. o doplnkovom dôchodkovom sporení a o zmene a </w:t>
      </w:r>
      <w:r w:rsidRPr="070BDBF9">
        <w:rPr>
          <w:rFonts w:ascii="Times New Roman" w:hAnsi="Times New Roman"/>
          <w:sz w:val="24"/>
          <w:szCs w:val="24"/>
        </w:rPr>
        <w:lastRenderedPageBreak/>
        <w:t>doplnení niektorých zákonov v znení neskorších predpisov, ktorá reflektuje skutočnosť, že subjekty dôchodkového sektora sa už nebudú považovať za povinné osoby v oblasti AML/CFT. Ustanovenia týkajúce sa povinností v tejto oblasti, ako aj príslušné odkazy je preto potrebné z oboch zákonov vypustiť.</w:t>
      </w:r>
    </w:p>
    <w:p w14:paraId="734E629D" w14:textId="23161EE8" w:rsidR="3F1B26A1" w:rsidRDefault="3F1B26A1" w:rsidP="070BDBF9">
      <w:pPr>
        <w:spacing w:after="0"/>
        <w:ind w:firstLine="708"/>
        <w:jc w:val="both"/>
        <w:rPr>
          <w:rFonts w:ascii="Times New Roman" w:hAnsi="Times New Roman"/>
          <w:sz w:val="24"/>
          <w:szCs w:val="24"/>
        </w:rPr>
      </w:pPr>
    </w:p>
    <w:p w14:paraId="303B0088" w14:textId="40A720C4" w:rsidR="006905FC" w:rsidRDefault="0CDDDA3B" w:rsidP="004E4256">
      <w:pPr>
        <w:spacing w:after="0"/>
        <w:ind w:firstLine="708"/>
        <w:jc w:val="both"/>
      </w:pPr>
      <w:r w:rsidRPr="004E4256">
        <w:rPr>
          <w:rFonts w:ascii="Times New Roman" w:hAnsi="Times New Roman"/>
          <w:sz w:val="24"/>
          <w:szCs w:val="24"/>
        </w:rPr>
        <w:t>Hlavným cieľom návrhu novely zákona č. 123/2022 Z. z. o centrálnom registri účtov je transpozícia čl. 16 smernice (EÚ) 2024/1640 a vykonanie niektorých ustanovení nariadenia (EÚ) 2024/1624</w:t>
      </w:r>
      <w:r w:rsidR="29140506" w:rsidRPr="004E4256">
        <w:rPr>
          <w:rFonts w:ascii="Times New Roman" w:hAnsi="Times New Roman"/>
          <w:sz w:val="24"/>
          <w:szCs w:val="24"/>
        </w:rPr>
        <w:t>.</w:t>
      </w:r>
    </w:p>
    <w:p w14:paraId="089E8830" w14:textId="2B56A6FC" w:rsidR="006905FC" w:rsidRDefault="0CDDDA3B" w:rsidP="004E4256">
      <w:pPr>
        <w:spacing w:after="0"/>
        <w:jc w:val="both"/>
      </w:pPr>
      <w:r w:rsidRPr="004E4256">
        <w:rPr>
          <w:rFonts w:ascii="Times New Roman" w:hAnsi="Times New Roman"/>
          <w:sz w:val="24"/>
          <w:szCs w:val="24"/>
        </w:rPr>
        <w:t xml:space="preserve"> </w:t>
      </w:r>
    </w:p>
    <w:p w14:paraId="7F5F28BC" w14:textId="35E02F02" w:rsidR="006905FC" w:rsidRDefault="0CDDDA3B" w:rsidP="004E4256">
      <w:pPr>
        <w:spacing w:after="0"/>
        <w:ind w:firstLine="708"/>
        <w:jc w:val="both"/>
      </w:pPr>
      <w:r w:rsidRPr="004E4256">
        <w:rPr>
          <w:rFonts w:ascii="Times New Roman" w:hAnsi="Times New Roman"/>
          <w:sz w:val="24"/>
          <w:szCs w:val="24"/>
        </w:rPr>
        <w:t xml:space="preserve">Smernica výrazným spôsobom upravuje rozsah údajov evidovaných v centrálnom registri účtov a poskytovaných oprávneným orgánom na účely predchádzania trestným činom, ich odhaľovania, vyšetrovania alebo stíhania. V rámci tohto rozšírenia sa predpokladá zapojenie viacerých subjektov s povinnosťou zasielania údajov (poskytovatelia služieb </w:t>
      </w:r>
      <w:proofErr w:type="spellStart"/>
      <w:r w:rsidRPr="004E4256">
        <w:rPr>
          <w:rFonts w:ascii="Times New Roman" w:hAnsi="Times New Roman"/>
          <w:sz w:val="24"/>
          <w:szCs w:val="24"/>
        </w:rPr>
        <w:t>kryptoaktív</w:t>
      </w:r>
      <w:proofErr w:type="spellEnd"/>
      <w:r w:rsidRPr="004E4256">
        <w:rPr>
          <w:rFonts w:ascii="Times New Roman" w:hAnsi="Times New Roman"/>
          <w:sz w:val="24"/>
          <w:szCs w:val="24"/>
        </w:rPr>
        <w:t xml:space="preserve"> a obchodníci s cennými papiermi) a taktiež sa rozšíri rozsah zbieraných údajov (napr. virtuálny IBAN, dátumy založenia a zrušenia účtov </w:t>
      </w:r>
      <w:proofErr w:type="spellStart"/>
      <w:r w:rsidRPr="004E4256">
        <w:rPr>
          <w:rFonts w:ascii="Times New Roman" w:hAnsi="Times New Roman"/>
          <w:sz w:val="24"/>
          <w:szCs w:val="24"/>
        </w:rPr>
        <w:t>kryptoaktív</w:t>
      </w:r>
      <w:proofErr w:type="spellEnd"/>
      <w:r w:rsidRPr="004E4256">
        <w:rPr>
          <w:rFonts w:ascii="Times New Roman" w:hAnsi="Times New Roman"/>
          <w:sz w:val="24"/>
          <w:szCs w:val="24"/>
        </w:rPr>
        <w:t xml:space="preserve"> a účtov cenných papierov, ale taktiež sa rozširujú aj zbierané identifikačné údaje fyzických a právnických osôb). Nariadenie nastavuje nový harmonizovaný systém pravidiel a postupov pre oblasť ochrany proti legalizácií príjmov z trestnej činnosti a ochrany pred financovaním terorizmu s prienikmi niektorých ustanovení na úpravu fungovania centrálnych registrov účtov v členských krajinách  Európskej únie.</w:t>
      </w:r>
    </w:p>
    <w:p w14:paraId="700B1303" w14:textId="53CA77B2" w:rsidR="006905FC" w:rsidRDefault="006905FC" w:rsidP="070BDBF9">
      <w:pPr>
        <w:spacing w:after="0"/>
        <w:ind w:firstLine="708"/>
        <w:jc w:val="both"/>
        <w:rPr>
          <w:rFonts w:ascii="Times New Roman" w:hAnsi="Times New Roman"/>
          <w:sz w:val="24"/>
          <w:szCs w:val="24"/>
        </w:rPr>
      </w:pPr>
    </w:p>
    <w:p w14:paraId="5863D5BB" w14:textId="572494D9" w:rsidR="02F65B1F" w:rsidRDefault="02F65B1F" w:rsidP="004E4256">
      <w:pPr>
        <w:ind w:firstLine="708"/>
        <w:jc w:val="both"/>
      </w:pPr>
      <w:r w:rsidRPr="004E4256">
        <w:rPr>
          <w:rFonts w:ascii="Times New Roman" w:hAnsi="Times New Roman"/>
          <w:sz w:val="24"/>
          <w:szCs w:val="24"/>
        </w:rPr>
        <w:t>Návrh zákona, ktorým sa mení a dopĺňa zákon č. 289/2016 Z. z. o vykonávaní medzinárodných sankcií a o doplnení zákona č. 566/2001 Z. z. o cenných papieroch a investičných službách a o zmene a doplnení niektorých zákonov (zákon o cenných papieroch) v znení neskorších predpisov („zákon č. 289/2016 Z. z.“), sa predkladá v nadväznosti na pripravovanú novú právnu úpravu v oblasti ochrany pred legalizáciou príjmov z trestnej činnosti a financovaním terorizmu a v súvislosti s potrebou zabezpečiť vzájomnú vecnú, systematickú a terminologickú previazanosť právnej úpravy v oblasti vykonávania medzinárodných sankcií s právnou úpravou v oblasti predchádzania legalizácii príjmov z trestnej činnosti a financovania terorizmu.</w:t>
      </w:r>
    </w:p>
    <w:p w14:paraId="3D215DCB" w14:textId="08CFD1B7" w:rsidR="02F65B1F" w:rsidRDefault="02F65B1F" w:rsidP="004E4256">
      <w:pPr>
        <w:ind w:firstLine="708"/>
        <w:jc w:val="both"/>
      </w:pPr>
      <w:r w:rsidRPr="004E4256">
        <w:rPr>
          <w:rFonts w:ascii="Times New Roman" w:hAnsi="Times New Roman"/>
          <w:sz w:val="24"/>
          <w:szCs w:val="24"/>
        </w:rPr>
        <w:t>Právna úprava vykonávania medzinárodných sankcií predstavuje významný nástroj na zabezpečenie plnenia medzinárodných záväzkov Slovenskej republiky a záväzkov vyplývajúcich z právne záväzných aktov Európskej únie. Účelom navrhovanej právnej úpravy je preto zároveň reagovať na aplikačné skúsenosti pri vykonávaní medzinárodných sankcií a precizovať ustanovenia, ktorých uplatňovanie v praxi môže vyvolávať interpretačné alebo aplikačné nejasnosti.</w:t>
      </w:r>
    </w:p>
    <w:p w14:paraId="220CDD98" w14:textId="36EF6814" w:rsidR="02F65B1F" w:rsidRDefault="2D56EEEC" w:rsidP="004E4256">
      <w:pPr>
        <w:ind w:firstLine="708"/>
        <w:jc w:val="both"/>
      </w:pPr>
      <w:r w:rsidRPr="23BE041E">
        <w:rPr>
          <w:rFonts w:ascii="Times New Roman" w:hAnsi="Times New Roman"/>
          <w:sz w:val="24"/>
          <w:szCs w:val="24"/>
        </w:rPr>
        <w:t xml:space="preserve">Jedným z hlavných cieľov návrhu zákona je jednoznačnejšie upraviť prípady nakladania s finančnými prostriedkami a hospodárskymi zdrojmi, ktoré sa za porušenie medzinárodnej sankcie nepovažujú. Navrhovaná právna úprava reaguje najmä na situácie, ktoré môžu vzniknúť v súvislosti so zmrazením finančných prostriedkov sankcionovanej osoby, keď na zmrazený účet môžu byť aj po uplatnení sankcie pripísané finančné prostriedky z dôvodov, ktoré samotná sankcionovaná osoba alebo finančná inštitúcia nemôžu ovplyvniť, prípadne ktoré vyplývajú z existujúcich právnych vzťahov alebo z právne záväzných aktov Európskej únie. Návrhom zákona sa ďalej precizujú ustanovenia upravujúce priestupky a iné správne delikty. Cieľom je zabezpečiť jednoznačné vymedzenie konaní, ktoré predstavujú porušenie povinností vyplývajúcich z právnej úpravy medzinárodných sankcií, a zároveň zabezpečiť primeraný a efektívny systém sankcionovania ich porušenia. Návrh zákona zároveň reaguje na potrebu </w:t>
      </w:r>
      <w:r w:rsidRPr="23BE041E">
        <w:rPr>
          <w:rFonts w:ascii="Times New Roman" w:hAnsi="Times New Roman"/>
          <w:sz w:val="24"/>
          <w:szCs w:val="24"/>
        </w:rPr>
        <w:lastRenderedPageBreak/>
        <w:t>efektívnejšieho doručovania písomností v konaniach podľa zákona č. 289/2016 Z. z. Zavádza sa preto osobitná úprava doručovania verejnou vyhláškou v prípadoch, ak sa účastník konania zdržiava v zahraničí alebo jeho pobyt nie je príslušnému orgánu známy. Navrhovaná úprava má zabrániť situáciám, v ktorých neúspešné doručovanie písomností znemožňuje alebo neprimerane predlžuje priebeh správneho konania.</w:t>
      </w:r>
    </w:p>
    <w:p w14:paraId="5EC703DA" w14:textId="3C9C4E03" w:rsidR="0F815C62" w:rsidRDefault="0F815C62" w:rsidP="23BE041E">
      <w:pPr>
        <w:spacing w:after="120"/>
        <w:ind w:firstLine="708"/>
        <w:jc w:val="both"/>
        <w:rPr>
          <w:rFonts w:ascii="Times New Roman" w:hAnsi="Times New Roman"/>
          <w:sz w:val="24"/>
          <w:szCs w:val="24"/>
        </w:rPr>
      </w:pPr>
      <w:r w:rsidRPr="23BE041E">
        <w:rPr>
          <w:rFonts w:ascii="Times New Roman" w:hAnsi="Times New Roman"/>
          <w:sz w:val="24"/>
          <w:szCs w:val="24"/>
        </w:rPr>
        <w:t>Hlavným cieľom návrhu nov</w:t>
      </w:r>
      <w:r w:rsidR="5CCD3D1D" w:rsidRPr="23BE041E">
        <w:rPr>
          <w:rFonts w:ascii="Times New Roman" w:hAnsi="Times New Roman"/>
          <w:sz w:val="24"/>
          <w:szCs w:val="24"/>
        </w:rPr>
        <w:t>ely</w:t>
      </w:r>
      <w:r w:rsidRPr="23BE041E">
        <w:rPr>
          <w:rFonts w:ascii="Times New Roman" w:hAnsi="Times New Roman"/>
          <w:sz w:val="24"/>
          <w:szCs w:val="24"/>
        </w:rPr>
        <w:t xml:space="preserve"> zákonov č. </w:t>
      </w:r>
      <w:r w:rsidR="4D4F0CC1" w:rsidRPr="23BE041E">
        <w:rPr>
          <w:rFonts w:ascii="Times New Roman" w:hAnsi="Times New Roman"/>
          <w:sz w:val="24"/>
          <w:szCs w:val="24"/>
        </w:rPr>
        <w:t xml:space="preserve">455/1991 Zb. o živnostenskom podnikaní (živnostenský zákon), č. 78/1992 Zb. </w:t>
      </w:r>
      <w:r w:rsidR="34942FA5" w:rsidRPr="23BE041E">
        <w:rPr>
          <w:rFonts w:ascii="Times New Roman" w:hAnsi="Times New Roman"/>
          <w:sz w:val="24"/>
          <w:szCs w:val="24"/>
        </w:rPr>
        <w:t>o</w:t>
      </w:r>
      <w:r w:rsidR="4D4F0CC1" w:rsidRPr="23BE041E">
        <w:rPr>
          <w:rFonts w:ascii="Times New Roman" w:hAnsi="Times New Roman"/>
          <w:sz w:val="24"/>
          <w:szCs w:val="24"/>
        </w:rPr>
        <w:t xml:space="preserve"> daňových poradcoch a komore daňových po</w:t>
      </w:r>
      <w:r w:rsidR="15793B2B" w:rsidRPr="23BE041E">
        <w:rPr>
          <w:rFonts w:ascii="Times New Roman" w:hAnsi="Times New Roman"/>
          <w:sz w:val="24"/>
          <w:szCs w:val="24"/>
        </w:rPr>
        <w:t xml:space="preserve">radcov, </w:t>
      </w:r>
      <w:r w:rsidR="2C6A7C67" w:rsidRPr="23BE041E">
        <w:rPr>
          <w:rFonts w:ascii="Times New Roman" w:hAnsi="Times New Roman"/>
          <w:sz w:val="24"/>
          <w:szCs w:val="24"/>
        </w:rPr>
        <w:t xml:space="preserve">č. 323/1992 Zb. </w:t>
      </w:r>
      <w:r w:rsidR="6F72EBBB" w:rsidRPr="23BE041E">
        <w:rPr>
          <w:rFonts w:ascii="Times New Roman" w:hAnsi="Times New Roman"/>
          <w:sz w:val="24"/>
          <w:szCs w:val="24"/>
        </w:rPr>
        <w:t>o</w:t>
      </w:r>
      <w:r w:rsidR="2C6A7C67" w:rsidRPr="23BE041E">
        <w:rPr>
          <w:rFonts w:ascii="Times New Roman" w:hAnsi="Times New Roman"/>
          <w:sz w:val="24"/>
          <w:szCs w:val="24"/>
        </w:rPr>
        <w:t xml:space="preserve"> notároch a notárskej činnosti (Notársky poriadok), </w:t>
      </w:r>
      <w:r w:rsidR="66346EC7" w:rsidRPr="23BE041E">
        <w:rPr>
          <w:rFonts w:ascii="Times New Roman" w:hAnsi="Times New Roman"/>
          <w:sz w:val="24"/>
          <w:szCs w:val="24"/>
        </w:rPr>
        <w:t xml:space="preserve">č. 233/1995 Z. z. o súdnych exekútoroch </w:t>
      </w:r>
      <w:r w:rsidR="10604071" w:rsidRPr="23BE041E">
        <w:rPr>
          <w:rFonts w:ascii="Times New Roman" w:hAnsi="Times New Roman"/>
          <w:sz w:val="24"/>
          <w:szCs w:val="24"/>
        </w:rPr>
        <w:t>a exekučnej činnosti (Exekučný poriadok), zákon č. 586/2003</w:t>
      </w:r>
      <w:r w:rsidR="0B4DA2BD" w:rsidRPr="23BE041E">
        <w:rPr>
          <w:rFonts w:ascii="Times New Roman" w:hAnsi="Times New Roman"/>
          <w:sz w:val="24"/>
          <w:szCs w:val="24"/>
        </w:rPr>
        <w:t xml:space="preserve"> Z. </w:t>
      </w:r>
      <w:r w:rsidR="61A7428E" w:rsidRPr="23BE041E">
        <w:rPr>
          <w:rFonts w:ascii="Times New Roman" w:hAnsi="Times New Roman"/>
          <w:sz w:val="24"/>
          <w:szCs w:val="24"/>
        </w:rPr>
        <w:t>z</w:t>
      </w:r>
      <w:r w:rsidR="0B4DA2BD" w:rsidRPr="23BE041E">
        <w:rPr>
          <w:rFonts w:ascii="Times New Roman" w:hAnsi="Times New Roman"/>
          <w:sz w:val="24"/>
          <w:szCs w:val="24"/>
        </w:rPr>
        <w:t>. o advokácii</w:t>
      </w:r>
      <w:r w:rsidR="13B13548" w:rsidRPr="23BE041E">
        <w:rPr>
          <w:rFonts w:ascii="Times New Roman" w:hAnsi="Times New Roman"/>
          <w:sz w:val="24"/>
          <w:szCs w:val="24"/>
        </w:rPr>
        <w:t>, zákon č. 8/2005 Z. z. o správcoch a zákon č. 423/2015 Z. z. o štatutárnom audite</w:t>
      </w:r>
      <w:r w:rsidR="6499F9B6" w:rsidRPr="23BE041E">
        <w:rPr>
          <w:rFonts w:ascii="Times New Roman" w:hAnsi="Times New Roman"/>
          <w:sz w:val="24"/>
          <w:szCs w:val="24"/>
        </w:rPr>
        <w:t>,</w:t>
      </w:r>
      <w:r w:rsidR="0B4DA2BD" w:rsidRPr="23BE041E">
        <w:rPr>
          <w:rFonts w:ascii="Times New Roman" w:hAnsi="Times New Roman"/>
          <w:sz w:val="24"/>
          <w:szCs w:val="24"/>
        </w:rPr>
        <w:t xml:space="preserve"> </w:t>
      </w:r>
      <w:r w:rsidR="248C5688" w:rsidRPr="23BE041E">
        <w:rPr>
          <w:rFonts w:ascii="Times New Roman" w:hAnsi="Times New Roman"/>
          <w:sz w:val="24"/>
          <w:szCs w:val="24"/>
        </w:rPr>
        <w:t>bola transpozícia čl. 56 ods. 2 písm. f) smernice (EÚ) 2024/1640, po</w:t>
      </w:r>
      <w:r w:rsidR="6C7EB5DC" w:rsidRPr="23BE041E">
        <w:rPr>
          <w:rFonts w:ascii="Times New Roman" w:hAnsi="Times New Roman"/>
          <w:sz w:val="24"/>
          <w:szCs w:val="24"/>
        </w:rPr>
        <w:t>dľa ktorého majú mať orgány dohľadu oprávnenie odňať povolenie na vykonávanie podnikateľskej činnosti.</w:t>
      </w:r>
      <w:r w:rsidR="05CBFF90" w:rsidRPr="23BE041E">
        <w:rPr>
          <w:rFonts w:ascii="Times New Roman" w:hAnsi="Times New Roman"/>
          <w:sz w:val="24"/>
          <w:szCs w:val="24"/>
        </w:rPr>
        <w:t xml:space="preserve"> Nakoľko orgánom dohľadu v AML/CFT oblasti bude aj naďalej FSJ, bolo potrebné v tejto súvislosti upraviť mechanizmus spolupráce medzi orgánom</w:t>
      </w:r>
      <w:r w:rsidR="20DDC594" w:rsidRPr="23BE041E">
        <w:rPr>
          <w:rFonts w:ascii="Times New Roman" w:hAnsi="Times New Roman"/>
          <w:sz w:val="24"/>
          <w:szCs w:val="24"/>
        </w:rPr>
        <w:t>, ktorý bude rozhodovať o odobratí oprávnenia,</w:t>
      </w:r>
      <w:r w:rsidR="657CCB46" w:rsidRPr="23BE041E">
        <w:rPr>
          <w:rFonts w:ascii="Times New Roman" w:hAnsi="Times New Roman"/>
          <w:sz w:val="24"/>
          <w:szCs w:val="24"/>
        </w:rPr>
        <w:t xml:space="preserve"> ktorým bude FSJ</w:t>
      </w:r>
      <w:r w:rsidR="20DDC594" w:rsidRPr="23BE041E">
        <w:rPr>
          <w:rFonts w:ascii="Times New Roman" w:hAnsi="Times New Roman"/>
          <w:sz w:val="24"/>
          <w:szCs w:val="24"/>
        </w:rPr>
        <w:t xml:space="preserve"> a orgánom, ktorý toto rozhodnutie vykoná, teda </w:t>
      </w:r>
      <w:r w:rsidR="60FB977B" w:rsidRPr="23BE041E">
        <w:rPr>
          <w:rFonts w:ascii="Times New Roman" w:hAnsi="Times New Roman"/>
          <w:sz w:val="24"/>
          <w:szCs w:val="24"/>
        </w:rPr>
        <w:t>konkrétnou komorou, resp. živnostenský</w:t>
      </w:r>
      <w:r w:rsidR="37FBD866" w:rsidRPr="23BE041E">
        <w:rPr>
          <w:rFonts w:ascii="Times New Roman" w:hAnsi="Times New Roman"/>
          <w:sz w:val="24"/>
          <w:szCs w:val="24"/>
        </w:rPr>
        <w:t>m</w:t>
      </w:r>
      <w:r w:rsidR="60FB977B" w:rsidRPr="23BE041E">
        <w:rPr>
          <w:rFonts w:ascii="Times New Roman" w:hAnsi="Times New Roman"/>
          <w:sz w:val="24"/>
          <w:szCs w:val="24"/>
        </w:rPr>
        <w:t xml:space="preserve"> </w:t>
      </w:r>
      <w:r w:rsidR="0A3CAAFD" w:rsidRPr="23BE041E">
        <w:rPr>
          <w:rFonts w:ascii="Times New Roman" w:hAnsi="Times New Roman"/>
          <w:sz w:val="24"/>
          <w:szCs w:val="24"/>
        </w:rPr>
        <w:t>úradom</w:t>
      </w:r>
      <w:r w:rsidR="60FB977B" w:rsidRPr="23BE041E">
        <w:rPr>
          <w:rFonts w:ascii="Times New Roman" w:hAnsi="Times New Roman"/>
          <w:sz w:val="24"/>
          <w:szCs w:val="24"/>
        </w:rPr>
        <w:t>.</w:t>
      </w:r>
    </w:p>
    <w:p w14:paraId="3AD206B9" w14:textId="42F47312" w:rsidR="33104015" w:rsidRDefault="33104015" w:rsidP="23BE041E">
      <w:pPr>
        <w:spacing w:after="120"/>
        <w:ind w:firstLine="708"/>
        <w:jc w:val="both"/>
      </w:pPr>
      <w:r w:rsidRPr="23BE041E">
        <w:rPr>
          <w:rFonts w:ascii="Times New Roman" w:hAnsi="Times New Roman"/>
          <w:sz w:val="24"/>
          <w:szCs w:val="24"/>
        </w:rPr>
        <w:t xml:space="preserve">Zákon č. 394/2012 Z. z. o obmedzení platieb v hotovosti bol vypracovaný na základe bodu B.1 uznesenia vlády SR č. 235/2012, ktorým vláda SR schválila Akčný plán boja proti daňovým podvodom na roky 2012 – 2016, v ktorom sa vymedzil podrobný harmonogram postupných krokov na prijatie účinných opatrení proti daňovým podvodom a únikom, stanovila zodpovednosť za ich plnenie s cieľom zabezpečiť vytvorenie nevyhnutných podmienok pre kreovanie stabilného, transparentného a spravodlivého ekonomického prostredia. </w:t>
      </w:r>
    </w:p>
    <w:p w14:paraId="497DE55D" w14:textId="5A012D72" w:rsidR="33104015" w:rsidRDefault="33104015" w:rsidP="23BE041E">
      <w:pPr>
        <w:spacing w:after="120"/>
        <w:ind w:firstLine="708"/>
        <w:jc w:val="both"/>
      </w:pPr>
      <w:r w:rsidRPr="23BE041E">
        <w:rPr>
          <w:rFonts w:ascii="Times New Roman" w:hAnsi="Times New Roman"/>
          <w:color w:val="252525"/>
          <w:sz w:val="24"/>
          <w:szCs w:val="24"/>
        </w:rPr>
        <w:t>Snahou zákona o obmedzení platieb v hotovosti bolo, aby sa zabránilo fiktívnemu vystavovaniu príjmových a výdavkových dokladov bez reálneho toku finančných prostriedkov, „kreatívnemu účtovníctvu“ na konci účtovného/zdaňovacieho obdobia podľa toho, aký základ dane daňový subjekt vykazuje. Prijatím zákona o obmedzení platieb v hotovosti získali zároveň daňové úrady lepší prehľad o aktivitách podnikateľov a vedia lepšie koncentrovať svoju pozornosť na podozrivé operácie.</w:t>
      </w:r>
    </w:p>
    <w:p w14:paraId="2556CD4F" w14:textId="26BFA407" w:rsidR="33104015" w:rsidRDefault="33104015" w:rsidP="23BE041E">
      <w:pPr>
        <w:spacing w:after="120"/>
        <w:ind w:firstLine="708"/>
        <w:jc w:val="both"/>
      </w:pPr>
      <w:r w:rsidRPr="23BE041E">
        <w:rPr>
          <w:rFonts w:ascii="Times New Roman" w:hAnsi="Times New Roman"/>
          <w:color w:val="252525"/>
          <w:sz w:val="24"/>
          <w:szCs w:val="24"/>
        </w:rPr>
        <w:t xml:space="preserve">Z dôvodu sprehľadnenia vzťahov medzi fyzickými osobami navzájom a medzi podnikateľmi a fyzickými osobami nepodnikateľmi sa do okruhu osôb, na ktoré sa zákon o obmedzení platieb v hotovosti vzťahuje, zahŕňajú jednak podnikatelia (právnické osoby a fyzické osoby) a zároveň aj fyzické osoby nepodnikatelia. Dôvodom bolo napríklad </w:t>
      </w:r>
      <w:proofErr w:type="spellStart"/>
      <w:r w:rsidRPr="23BE041E">
        <w:rPr>
          <w:rFonts w:ascii="Times New Roman" w:hAnsi="Times New Roman"/>
          <w:color w:val="252525"/>
          <w:sz w:val="24"/>
          <w:szCs w:val="24"/>
        </w:rPr>
        <w:t>stransparentnenie</w:t>
      </w:r>
      <w:proofErr w:type="spellEnd"/>
      <w:r w:rsidRPr="23BE041E">
        <w:rPr>
          <w:rFonts w:ascii="Times New Roman" w:hAnsi="Times New Roman"/>
          <w:color w:val="252525"/>
          <w:sz w:val="24"/>
          <w:szCs w:val="24"/>
        </w:rPr>
        <w:t xml:space="preserve"> príjmov plynúcich z prenájmu medzi fyzickými osobami alebo pri uľahčení dokazovania napr. na súde pri problémoch s uznaním pôžičiek medzi fyzickými osobami.</w:t>
      </w:r>
    </w:p>
    <w:p w14:paraId="277483BA" w14:textId="70D5FCCB" w:rsidR="33104015" w:rsidRDefault="33104015" w:rsidP="23BE041E">
      <w:pPr>
        <w:spacing w:after="120"/>
        <w:ind w:firstLine="708"/>
        <w:jc w:val="both"/>
      </w:pPr>
      <w:r w:rsidRPr="23BE041E">
        <w:rPr>
          <w:rFonts w:ascii="Times New Roman" w:hAnsi="Times New Roman"/>
          <w:sz w:val="24"/>
          <w:szCs w:val="24"/>
        </w:rPr>
        <w:t xml:space="preserve">Zákon č. 394/2012 Z. z. o obmedzení platieb v hotovosti bol dvakrát novelizovaný. Prvou novelou došlo k zvýšeniu a zjednoteniu limitu pre hotovostné platby na hodnotu 15 000 eur. Posledná novela reagovala na problémy aplikačnej praxe, najmä na problémy zistiteľnosti objemu príjmov, resp. odplatnosti zdaniteľných obchodov realizovaných daňovými subjektmi v hotovosti. Preto sa opätovne zaviedli pôvodné limity pre platby v hotovosti vo výške 5 000 eur, keď jednou zo strán je podnikateľský subjekt, a vo výške 15 000 eur, ak k platbe dochádza medzi dvoma fyzickými osobami nepodnikateľmi. </w:t>
      </w:r>
    </w:p>
    <w:p w14:paraId="1C78A974" w14:textId="7DDD25AD" w:rsidR="33104015" w:rsidRDefault="33104015" w:rsidP="23BE041E">
      <w:pPr>
        <w:spacing w:after="120"/>
        <w:ind w:firstLine="708"/>
        <w:jc w:val="both"/>
      </w:pPr>
      <w:r w:rsidRPr="23BE041E">
        <w:rPr>
          <w:rFonts w:ascii="Times New Roman" w:hAnsi="Times New Roman"/>
          <w:color w:val="252525"/>
          <w:sz w:val="24"/>
          <w:szCs w:val="24"/>
        </w:rPr>
        <w:t xml:space="preserve">Využívanie veľkých hotovostných platieb je taktiež ľahko zneužiteľné na pranie špinavých peňazí a financovanie terorizmu. Rozdiely v prístupoch medzi členskými štátmi Európskej únie zároveň oslabili rovnaké podmienky v rámci vnútorného trhu na úkor podnikov </w:t>
      </w:r>
      <w:r w:rsidRPr="23BE041E">
        <w:rPr>
          <w:rFonts w:ascii="Times New Roman" w:hAnsi="Times New Roman"/>
          <w:color w:val="252525"/>
          <w:sz w:val="24"/>
          <w:szCs w:val="24"/>
        </w:rPr>
        <w:lastRenderedPageBreak/>
        <w:t xml:space="preserve">nachádzajúcich sa v členských štátoch s prísnejšími kontrolami. S cieľom primerane zmierniť riziká vyplývajúce zo zneužívania veľkých hotovostí sa pre celú Európsku úniu </w:t>
      </w:r>
      <w:r w:rsidRPr="23BE041E">
        <w:rPr>
          <w:rFonts w:ascii="Times New Roman" w:hAnsi="Times New Roman"/>
          <w:sz w:val="24"/>
          <w:szCs w:val="24"/>
        </w:rPr>
        <w:t>nariadením (EÚ) 2024/1624</w:t>
      </w:r>
      <w:r w:rsidRPr="23BE041E">
        <w:rPr>
          <w:rFonts w:ascii="Times New Roman" w:hAnsi="Times New Roman"/>
          <w:color w:val="252525"/>
          <w:sz w:val="24"/>
          <w:szCs w:val="24"/>
        </w:rPr>
        <w:t xml:space="preserve">, ktoré sa bude uplatňovať od 10. júla 2027, zavedie limit vzťahujúci sa na veľké hotovostné platby nad 10 000 eur. To znamená, že platby nad 10 000 eur sa budú musieť po 10. júli 2027 vykonať bezhotovostne. </w:t>
      </w:r>
    </w:p>
    <w:p w14:paraId="12E4341B" w14:textId="4BB0B636" w:rsidR="33104015" w:rsidRDefault="33104015" w:rsidP="23BE041E">
      <w:pPr>
        <w:spacing w:after="120"/>
        <w:ind w:firstLine="708"/>
        <w:jc w:val="both"/>
      </w:pPr>
      <w:r w:rsidRPr="23BE041E">
        <w:rPr>
          <w:rFonts w:ascii="Times New Roman" w:hAnsi="Times New Roman"/>
          <w:color w:val="252525"/>
          <w:sz w:val="24"/>
          <w:szCs w:val="24"/>
        </w:rPr>
        <w:t xml:space="preserve">Zároveň je potrebné spomenúť, že čl. 80 ods. 2 tohto nariadenia umožňuje členským štátom po konzultácii s Európskou centrálnou bankou prijať aj nižšie limity a ďalšie prísnejšie ustanovenia, pokiaľ presadzujú legitímne ciele vo verejnom záujme. </w:t>
      </w:r>
    </w:p>
    <w:p w14:paraId="35CE982E" w14:textId="6763CB92" w:rsidR="33104015" w:rsidRDefault="33104015" w:rsidP="23BE041E">
      <w:pPr>
        <w:spacing w:after="120"/>
        <w:ind w:firstLine="708"/>
        <w:jc w:val="both"/>
      </w:pPr>
      <w:r w:rsidRPr="23BE041E">
        <w:rPr>
          <w:rFonts w:ascii="Times New Roman" w:hAnsi="Times New Roman"/>
          <w:color w:val="252525"/>
          <w:sz w:val="24"/>
          <w:szCs w:val="24"/>
        </w:rPr>
        <w:t xml:space="preserve">Z tohto dôvodu </w:t>
      </w:r>
      <w:r w:rsidRPr="23BE041E">
        <w:rPr>
          <w:rFonts w:ascii="Times New Roman" w:hAnsi="Times New Roman"/>
          <w:sz w:val="24"/>
          <w:szCs w:val="24"/>
        </w:rPr>
        <w:t>bol pripravený návrh zákona, ktorým sa mení zákon č. 394/2012 Z. z. o obmedzení platieb v hotovosti v znení neskorších predpisov, ktorý je dôslednou implementáciou článku 80 nariadenia. Hoci nariadenie je priamo účinné, návrh zákona obsahuje niektoré ustanovenia, ktoré sú nevyhnutné k harmonizácii slovenského právneho poriadku s týmto nariadením.</w:t>
      </w:r>
    </w:p>
    <w:p w14:paraId="3EBD787A" w14:textId="09FADD72" w:rsidR="006905FC" w:rsidRPr="00881727" w:rsidRDefault="385506C4" w:rsidP="070BDBF9">
      <w:pPr>
        <w:spacing w:after="0"/>
        <w:ind w:firstLine="708"/>
        <w:jc w:val="both"/>
        <w:rPr>
          <w:rFonts w:ascii="Times New Roman" w:hAnsi="Times New Roman"/>
          <w:sz w:val="24"/>
          <w:szCs w:val="24"/>
        </w:rPr>
      </w:pPr>
      <w:r w:rsidRPr="23BE041E">
        <w:rPr>
          <w:rFonts w:ascii="Times New Roman" w:hAnsi="Times New Roman"/>
          <w:sz w:val="24"/>
          <w:szCs w:val="24"/>
        </w:rPr>
        <w:t>Prijatie navrhovaného znenia zákona nebude mať vplyv na životné prostredie, sociálne vplyvy, na limit verejných výdavkov, manželstvo, rodičovstvo a rodinu  ani vplyv na služby verejnej správy pre občana. Návrh bude mať</w:t>
      </w:r>
      <w:r w:rsidR="6AAB0992" w:rsidRPr="23BE041E">
        <w:rPr>
          <w:rFonts w:ascii="Times New Roman" w:hAnsi="Times New Roman"/>
          <w:sz w:val="24"/>
          <w:szCs w:val="24"/>
        </w:rPr>
        <w:t xml:space="preserve"> pozitívne aj negatívne </w:t>
      </w:r>
      <w:r w:rsidRPr="23BE041E">
        <w:rPr>
          <w:rFonts w:ascii="Times New Roman" w:hAnsi="Times New Roman"/>
          <w:sz w:val="24"/>
          <w:szCs w:val="24"/>
        </w:rPr>
        <w:t>vplyv</w:t>
      </w:r>
      <w:r w:rsidR="6396CEA2" w:rsidRPr="23BE041E">
        <w:rPr>
          <w:rFonts w:ascii="Times New Roman" w:hAnsi="Times New Roman"/>
          <w:sz w:val="24"/>
          <w:szCs w:val="24"/>
        </w:rPr>
        <w:t>y</w:t>
      </w:r>
      <w:r w:rsidRPr="23BE041E">
        <w:rPr>
          <w:rFonts w:ascii="Times New Roman" w:hAnsi="Times New Roman"/>
          <w:sz w:val="24"/>
          <w:szCs w:val="24"/>
        </w:rPr>
        <w:t xml:space="preserve"> na rozpočet verejnej správy a pozitívne aj negatívne vplyvy na podnikateľské prostredie</w:t>
      </w:r>
      <w:r w:rsidR="6D95427F" w:rsidRPr="23BE041E">
        <w:rPr>
          <w:rFonts w:ascii="Times New Roman" w:hAnsi="Times New Roman"/>
          <w:sz w:val="24"/>
          <w:szCs w:val="24"/>
        </w:rPr>
        <w:t xml:space="preserve"> a pozitívne vplyvy na informatizáciu spoločnosti</w:t>
      </w:r>
      <w:r w:rsidRPr="23BE041E">
        <w:rPr>
          <w:rFonts w:ascii="Times New Roman" w:hAnsi="Times New Roman"/>
          <w:sz w:val="24"/>
          <w:szCs w:val="24"/>
        </w:rPr>
        <w:t>; uvedené vplyvy sú detailne popísané v doložke vybraných vplyvov.</w:t>
      </w:r>
    </w:p>
    <w:p w14:paraId="05C3B25F" w14:textId="77777777" w:rsidR="006905FC" w:rsidRDefault="006905FC" w:rsidP="070BDBF9">
      <w:pPr>
        <w:spacing w:after="0"/>
        <w:jc w:val="both"/>
        <w:rPr>
          <w:rFonts w:ascii="Times New Roman" w:hAnsi="Times New Roman"/>
          <w:sz w:val="24"/>
          <w:szCs w:val="24"/>
        </w:rPr>
      </w:pPr>
    </w:p>
    <w:p w14:paraId="41EDF770" w14:textId="507E7693" w:rsidR="006905FC" w:rsidRDefault="00CF0D13" w:rsidP="070BDBF9">
      <w:pPr>
        <w:spacing w:after="0"/>
        <w:ind w:firstLine="708"/>
        <w:jc w:val="both"/>
        <w:rPr>
          <w:rFonts w:ascii="Times New Roman" w:hAnsi="Times New Roman"/>
          <w:sz w:val="24"/>
          <w:szCs w:val="24"/>
        </w:rPr>
      </w:pPr>
      <w:r w:rsidRPr="00CF0D13">
        <w:rPr>
          <w:rFonts w:ascii="Times New Roman" w:hAnsi="Times New Roman"/>
          <w:sz w:val="24"/>
          <w:szCs w:val="24"/>
        </w:rPr>
        <w:t>Návrh zákona je v súlade s Ústavou Slovenskej republiky, ústavnými zákonmi a nálezmi Ústavného súdu Slovenskej republiky, ostatnými všeobecne záväznými právnymi predpismi Slovenskej republiky, medzinárodnými zmluvami a inými medzinárodnými dokumentmi, ktorými je Slovenská republika viazaná, ako aj s právom Európskej únie.</w:t>
      </w:r>
    </w:p>
    <w:p w14:paraId="1E97B9A0" w14:textId="3DB8E8E5" w:rsidR="00DF1AD7" w:rsidRDefault="00DF1AD7" w:rsidP="070BDBF9">
      <w:pPr>
        <w:spacing w:after="0"/>
        <w:ind w:firstLine="708"/>
        <w:jc w:val="both"/>
        <w:rPr>
          <w:rFonts w:ascii="Times New Roman" w:hAnsi="Times New Roman"/>
          <w:sz w:val="24"/>
          <w:szCs w:val="24"/>
        </w:rPr>
      </w:pPr>
    </w:p>
    <w:p w14:paraId="069514B4" w14:textId="07738D56" w:rsidR="00DF1AD7" w:rsidRDefault="00DF1AD7" w:rsidP="00DF1AD7">
      <w:pPr>
        <w:spacing w:after="0"/>
        <w:ind w:firstLine="708"/>
        <w:rPr>
          <w:rFonts w:ascii="Times New Roman" w:hAnsi="Times New Roman"/>
          <w:sz w:val="24"/>
          <w:szCs w:val="24"/>
        </w:rPr>
      </w:pPr>
      <w:r w:rsidRPr="00DF1AD7">
        <w:rPr>
          <w:rFonts w:ascii="Times New Roman" w:hAnsi="Times New Roman"/>
          <w:sz w:val="24"/>
          <w:szCs w:val="24"/>
        </w:rPr>
        <w:t xml:space="preserve">Návrh zákona nie je predmetom </w:t>
      </w:r>
      <w:proofErr w:type="spellStart"/>
      <w:r w:rsidRPr="00DF1AD7">
        <w:rPr>
          <w:rFonts w:ascii="Times New Roman" w:hAnsi="Times New Roman"/>
          <w:sz w:val="24"/>
          <w:szCs w:val="24"/>
        </w:rPr>
        <w:t>vnútrokomunitárneho</w:t>
      </w:r>
      <w:proofErr w:type="spellEnd"/>
      <w:r w:rsidRPr="00DF1AD7">
        <w:rPr>
          <w:rFonts w:ascii="Times New Roman" w:hAnsi="Times New Roman"/>
          <w:sz w:val="24"/>
          <w:szCs w:val="24"/>
        </w:rPr>
        <w:t xml:space="preserve"> pripomienkového konania.</w:t>
      </w:r>
    </w:p>
    <w:p w14:paraId="7701D2B6" w14:textId="77777777" w:rsidR="00DF1AD7" w:rsidRPr="00DF1AD7" w:rsidRDefault="00DF1AD7" w:rsidP="00DF1AD7">
      <w:pPr>
        <w:spacing w:after="0"/>
        <w:ind w:firstLine="708"/>
        <w:rPr>
          <w:rFonts w:ascii="Times New Roman" w:hAnsi="Times New Roman"/>
          <w:sz w:val="24"/>
          <w:szCs w:val="24"/>
        </w:rPr>
      </w:pPr>
    </w:p>
    <w:p w14:paraId="5788C969" w14:textId="02A9C976" w:rsidR="00CF0D13" w:rsidRDefault="5BC25BA9" w:rsidP="00DF1AD7">
      <w:pPr>
        <w:spacing w:after="0" w:line="300" w:lineRule="auto"/>
        <w:ind w:firstLine="708"/>
        <w:jc w:val="both"/>
        <w:rPr>
          <w:rFonts w:ascii="Times New Roman" w:hAnsi="Times New Roman"/>
          <w:sz w:val="24"/>
          <w:szCs w:val="24"/>
        </w:rPr>
      </w:pPr>
      <w:r w:rsidRPr="070BDBF9">
        <w:rPr>
          <w:rFonts w:ascii="Times New Roman" w:hAnsi="Times New Roman"/>
          <w:sz w:val="24"/>
          <w:szCs w:val="24"/>
        </w:rPr>
        <w:t>Navrhovaná účinnosť zákona od 10. júla 2027 zohľadňuje termín transpozície smernice (EÚ) 2024/1640 a dátum uplatňovania nariadenia (EÚ) 2024/1624.</w:t>
      </w:r>
    </w:p>
    <w:p w14:paraId="46A275F4" w14:textId="6193F36C" w:rsidR="00DF1AD7" w:rsidRDefault="00DF1AD7" w:rsidP="00DF1AD7">
      <w:pPr>
        <w:spacing w:after="0" w:line="300" w:lineRule="auto"/>
        <w:ind w:firstLine="708"/>
        <w:jc w:val="both"/>
        <w:rPr>
          <w:rFonts w:ascii="Times New Roman" w:hAnsi="Times New Roman"/>
          <w:sz w:val="24"/>
          <w:szCs w:val="24"/>
        </w:rPr>
      </w:pPr>
    </w:p>
    <w:p w14:paraId="03EE68A7" w14:textId="77777777" w:rsidR="00DF1AD7" w:rsidRPr="00DF1AD7" w:rsidRDefault="00DF1AD7" w:rsidP="00DF1AD7">
      <w:pPr>
        <w:spacing w:after="0" w:line="300" w:lineRule="auto"/>
        <w:ind w:firstLine="708"/>
        <w:jc w:val="both"/>
        <w:rPr>
          <w:rFonts w:ascii="Times New Roman" w:hAnsi="Times New Roman"/>
          <w:sz w:val="24"/>
          <w:szCs w:val="24"/>
        </w:rPr>
      </w:pPr>
    </w:p>
    <w:p w14:paraId="56202FFA" w14:textId="77777777" w:rsidR="003B419D" w:rsidRDefault="003B419D" w:rsidP="070BDBF9">
      <w:pPr>
        <w:spacing w:after="0"/>
        <w:rPr>
          <w:rFonts w:ascii="Times New Roman" w:hAnsi="Times New Roman"/>
          <w:b/>
          <w:bCs/>
          <w:sz w:val="24"/>
          <w:szCs w:val="24"/>
        </w:rPr>
      </w:pPr>
    </w:p>
    <w:p w14:paraId="014DA62C" w14:textId="6646A760" w:rsidR="007C5D04" w:rsidRDefault="007C5D04" w:rsidP="070BDBF9">
      <w:pPr>
        <w:spacing w:after="0"/>
        <w:rPr>
          <w:rFonts w:ascii="Times New Roman" w:hAnsi="Times New Roman"/>
          <w:b/>
          <w:bCs/>
          <w:sz w:val="24"/>
          <w:szCs w:val="24"/>
        </w:rPr>
      </w:pPr>
    </w:p>
    <w:p w14:paraId="4C1ABE27" w14:textId="590CEC4B" w:rsidR="11B4D04B" w:rsidRDefault="11B4D04B" w:rsidP="070BDBF9">
      <w:pPr>
        <w:spacing w:after="0"/>
        <w:rPr>
          <w:rFonts w:ascii="Times New Roman" w:hAnsi="Times New Roman"/>
          <w:b/>
          <w:bCs/>
          <w:sz w:val="24"/>
          <w:szCs w:val="24"/>
        </w:rPr>
      </w:pPr>
    </w:p>
    <w:p w14:paraId="11A6707A" w14:textId="07E43816" w:rsidR="11B4D04B" w:rsidRDefault="11B4D04B" w:rsidP="070BDBF9">
      <w:pPr>
        <w:spacing w:after="0"/>
        <w:rPr>
          <w:rFonts w:ascii="Times New Roman" w:hAnsi="Times New Roman"/>
          <w:b/>
          <w:bCs/>
          <w:sz w:val="24"/>
          <w:szCs w:val="24"/>
        </w:rPr>
      </w:pPr>
    </w:p>
    <w:p w14:paraId="03CCF469" w14:textId="47C041C9" w:rsidR="11B4D04B" w:rsidRDefault="11B4D04B" w:rsidP="070BDBF9">
      <w:pPr>
        <w:spacing w:after="0"/>
        <w:rPr>
          <w:rFonts w:ascii="Times New Roman" w:hAnsi="Times New Roman"/>
          <w:b/>
          <w:bCs/>
          <w:sz w:val="24"/>
          <w:szCs w:val="24"/>
        </w:rPr>
      </w:pPr>
    </w:p>
    <w:p w14:paraId="314DA64B" w14:textId="3FD26954" w:rsidR="11B4D04B" w:rsidRDefault="11B4D04B" w:rsidP="070BDBF9">
      <w:pPr>
        <w:spacing w:after="0"/>
        <w:rPr>
          <w:rFonts w:ascii="Times New Roman" w:hAnsi="Times New Roman"/>
          <w:b/>
          <w:bCs/>
          <w:sz w:val="24"/>
          <w:szCs w:val="24"/>
        </w:rPr>
      </w:pPr>
    </w:p>
    <w:p w14:paraId="2260006E" w14:textId="4692C382" w:rsidR="11B4D04B" w:rsidRDefault="11B4D04B" w:rsidP="070BDBF9">
      <w:pPr>
        <w:spacing w:after="0"/>
        <w:rPr>
          <w:rFonts w:ascii="Times New Roman" w:hAnsi="Times New Roman"/>
          <w:b/>
          <w:bCs/>
          <w:sz w:val="24"/>
          <w:szCs w:val="24"/>
        </w:rPr>
      </w:pPr>
    </w:p>
    <w:p w14:paraId="37138FBB" w14:textId="44D58774" w:rsidR="11B4D04B" w:rsidRDefault="11B4D04B" w:rsidP="070BDBF9">
      <w:pPr>
        <w:spacing w:after="0"/>
        <w:rPr>
          <w:rFonts w:ascii="Times New Roman" w:hAnsi="Times New Roman"/>
          <w:b/>
          <w:bCs/>
          <w:sz w:val="24"/>
          <w:szCs w:val="24"/>
        </w:rPr>
      </w:pPr>
    </w:p>
    <w:p w14:paraId="1C79C083" w14:textId="6C1610AF" w:rsidR="11B4D04B" w:rsidRDefault="11B4D04B" w:rsidP="070BDBF9">
      <w:pPr>
        <w:spacing w:after="0"/>
        <w:rPr>
          <w:rFonts w:ascii="Times New Roman" w:hAnsi="Times New Roman"/>
          <w:b/>
          <w:bCs/>
          <w:sz w:val="24"/>
          <w:szCs w:val="24"/>
        </w:rPr>
      </w:pPr>
    </w:p>
    <w:p w14:paraId="4E3DEFD5" w14:textId="481327D7" w:rsidR="11B4D04B" w:rsidRDefault="11B4D04B" w:rsidP="070BDBF9">
      <w:pPr>
        <w:spacing w:after="0"/>
        <w:rPr>
          <w:rFonts w:ascii="Times New Roman" w:hAnsi="Times New Roman"/>
          <w:b/>
          <w:bCs/>
          <w:sz w:val="24"/>
          <w:szCs w:val="24"/>
        </w:rPr>
      </w:pPr>
    </w:p>
    <w:p w14:paraId="33070E34" w14:textId="73A9F622" w:rsidR="11B4D04B" w:rsidRDefault="11B4D04B" w:rsidP="070BDBF9">
      <w:pPr>
        <w:spacing w:after="0"/>
        <w:rPr>
          <w:rFonts w:ascii="Times New Roman" w:hAnsi="Times New Roman"/>
          <w:b/>
          <w:bCs/>
          <w:sz w:val="24"/>
          <w:szCs w:val="24"/>
        </w:rPr>
      </w:pPr>
    </w:p>
    <w:p w14:paraId="1104CFEB" w14:textId="5085F170" w:rsidR="11B4D04B" w:rsidRDefault="11B4D04B" w:rsidP="070BDBF9">
      <w:pPr>
        <w:spacing w:after="0"/>
        <w:rPr>
          <w:rFonts w:ascii="Times New Roman" w:hAnsi="Times New Roman"/>
          <w:b/>
          <w:bCs/>
          <w:sz w:val="24"/>
          <w:szCs w:val="24"/>
        </w:rPr>
      </w:pPr>
    </w:p>
    <w:p w14:paraId="02B1E0A1" w14:textId="2DAF5DB7" w:rsidR="004E4256" w:rsidRDefault="004E4256" w:rsidP="004E4256">
      <w:pPr>
        <w:spacing w:after="0"/>
        <w:rPr>
          <w:rFonts w:ascii="Times New Roman" w:hAnsi="Times New Roman"/>
          <w:b/>
          <w:bCs/>
          <w:sz w:val="24"/>
          <w:szCs w:val="24"/>
        </w:rPr>
      </w:pPr>
    </w:p>
    <w:p w14:paraId="0910FA94" w14:textId="78136AF1" w:rsidR="004E4256" w:rsidRDefault="004E4256" w:rsidP="004E4256">
      <w:pPr>
        <w:spacing w:after="0"/>
        <w:rPr>
          <w:rFonts w:ascii="Times New Roman" w:hAnsi="Times New Roman"/>
          <w:b/>
          <w:bCs/>
          <w:sz w:val="24"/>
          <w:szCs w:val="24"/>
        </w:rPr>
      </w:pPr>
    </w:p>
    <w:p w14:paraId="1337EDE5" w14:textId="0A02424B" w:rsidR="004E4256" w:rsidRDefault="004E4256" w:rsidP="004E4256">
      <w:pPr>
        <w:spacing w:after="0"/>
        <w:rPr>
          <w:rFonts w:ascii="Times New Roman" w:hAnsi="Times New Roman"/>
          <w:b/>
          <w:bCs/>
          <w:sz w:val="24"/>
          <w:szCs w:val="24"/>
        </w:rPr>
      </w:pPr>
    </w:p>
    <w:p w14:paraId="5011E5BF" w14:textId="251C9161" w:rsidR="004E4256" w:rsidRDefault="004E4256" w:rsidP="004E4256">
      <w:pPr>
        <w:spacing w:after="0"/>
        <w:rPr>
          <w:rFonts w:ascii="Times New Roman" w:hAnsi="Times New Roman"/>
          <w:b/>
          <w:bCs/>
          <w:sz w:val="24"/>
          <w:szCs w:val="24"/>
        </w:rPr>
      </w:pPr>
    </w:p>
    <w:p w14:paraId="5331F580" w14:textId="2B9EAE4B" w:rsidR="004E4256" w:rsidRDefault="004E4256" w:rsidP="004E4256">
      <w:pPr>
        <w:spacing w:after="0"/>
        <w:rPr>
          <w:rFonts w:ascii="Times New Roman" w:hAnsi="Times New Roman"/>
          <w:b/>
          <w:bCs/>
          <w:sz w:val="24"/>
          <w:szCs w:val="24"/>
        </w:rPr>
      </w:pPr>
    </w:p>
    <w:p w14:paraId="1AEC9D5C" w14:textId="77777777" w:rsidR="007F32D1" w:rsidRPr="00093503" w:rsidRDefault="4191AEA1" w:rsidP="070BDBF9">
      <w:pPr>
        <w:spacing w:after="0"/>
        <w:rPr>
          <w:rFonts w:ascii="Times New Roman" w:hAnsi="Times New Roman"/>
          <w:b/>
          <w:bCs/>
          <w:sz w:val="24"/>
          <w:szCs w:val="24"/>
        </w:rPr>
      </w:pPr>
      <w:r w:rsidRPr="070BDBF9">
        <w:rPr>
          <w:rFonts w:ascii="Times New Roman" w:hAnsi="Times New Roman"/>
          <w:b/>
          <w:bCs/>
          <w:sz w:val="24"/>
          <w:szCs w:val="24"/>
        </w:rPr>
        <w:t>B. Osobitná časť</w:t>
      </w:r>
    </w:p>
    <w:p w14:paraId="025D8ED2" w14:textId="77777777" w:rsidR="00334A96" w:rsidRDefault="00334A96" w:rsidP="070BDBF9">
      <w:pPr>
        <w:spacing w:after="0"/>
        <w:rPr>
          <w:rFonts w:ascii="Times New Roman" w:hAnsi="Times New Roman"/>
          <w:b/>
          <w:bCs/>
          <w:sz w:val="24"/>
          <w:szCs w:val="24"/>
          <w:u w:val="single"/>
        </w:rPr>
      </w:pPr>
    </w:p>
    <w:p w14:paraId="5A3CB656" w14:textId="77777777" w:rsidR="007F32D1" w:rsidRDefault="4191AEA1" w:rsidP="070BDBF9">
      <w:pPr>
        <w:spacing w:after="0"/>
        <w:jc w:val="center"/>
        <w:rPr>
          <w:rFonts w:ascii="Times New Roman" w:hAnsi="Times New Roman"/>
          <w:b/>
          <w:bCs/>
          <w:sz w:val="24"/>
          <w:szCs w:val="24"/>
          <w:u w:val="single"/>
        </w:rPr>
      </w:pPr>
      <w:r w:rsidRPr="070BDBF9">
        <w:rPr>
          <w:rFonts w:ascii="Times New Roman" w:hAnsi="Times New Roman"/>
          <w:b/>
          <w:bCs/>
          <w:sz w:val="24"/>
          <w:szCs w:val="24"/>
          <w:u w:val="single"/>
        </w:rPr>
        <w:t>Čl. I</w:t>
      </w:r>
    </w:p>
    <w:p w14:paraId="3EE06667" w14:textId="77777777" w:rsidR="00562AFB" w:rsidRPr="00093503" w:rsidRDefault="00562AFB" w:rsidP="070BDBF9">
      <w:pPr>
        <w:spacing w:after="0"/>
        <w:jc w:val="both"/>
        <w:rPr>
          <w:rFonts w:ascii="Times New Roman" w:hAnsi="Times New Roman"/>
          <w:b/>
          <w:bCs/>
          <w:sz w:val="24"/>
          <w:szCs w:val="24"/>
        </w:rPr>
      </w:pPr>
    </w:p>
    <w:p w14:paraId="14C7E95C" w14:textId="6A06CC3B" w:rsidR="00CD50A6" w:rsidRDefault="15DF3C16" w:rsidP="004E4256">
      <w:pPr>
        <w:pStyle w:val="Default"/>
        <w:jc w:val="center"/>
        <w:textAlignment w:val="baseline"/>
        <w:rPr>
          <w:rFonts w:eastAsia="Times New Roman"/>
          <w:b/>
          <w:bCs/>
        </w:rPr>
      </w:pPr>
      <w:r w:rsidRPr="23BE041E">
        <w:rPr>
          <w:rFonts w:eastAsia="Times New Roman"/>
          <w:b/>
          <w:bCs/>
        </w:rPr>
        <w:t>Návrh zákona o ochrane pred legalizáciou výnosov z trestnej činnosti, financovaním terorizmu</w:t>
      </w:r>
      <w:r w:rsidR="7C539B4D" w:rsidRPr="23BE041E">
        <w:rPr>
          <w:rFonts w:eastAsia="Times New Roman"/>
          <w:b/>
          <w:bCs/>
        </w:rPr>
        <w:t xml:space="preserve"> </w:t>
      </w:r>
      <w:r w:rsidR="7C539B4D" w:rsidRPr="23BE041E">
        <w:rPr>
          <w:rFonts w:eastAsia="Times New Roman"/>
          <w:b/>
          <w:bCs/>
          <w:color w:val="000000" w:themeColor="text1"/>
        </w:rPr>
        <w:t>a financovaním šírenia zbraní hromadného ničenia</w:t>
      </w:r>
      <w:r w:rsidR="7C539B4D" w:rsidRPr="23BE041E">
        <w:rPr>
          <w:b/>
          <w:bCs/>
        </w:rPr>
        <w:t xml:space="preserve"> </w:t>
      </w:r>
      <w:r w:rsidRPr="23BE041E">
        <w:rPr>
          <w:rFonts w:eastAsia="Times New Roman"/>
          <w:b/>
          <w:bCs/>
        </w:rPr>
        <w:t>a o zmene a doplnení niektorých zákonov</w:t>
      </w:r>
    </w:p>
    <w:p w14:paraId="732E3255"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1:</w:t>
      </w:r>
    </w:p>
    <w:p w14:paraId="4E4DD3C0" w14:textId="759040F4" w:rsidR="00146994" w:rsidRPr="00146994" w:rsidRDefault="00146994" w:rsidP="00146994">
      <w:pPr>
        <w:jc w:val="both"/>
        <w:rPr>
          <w:rFonts w:ascii="Times New Roman" w:hAnsi="Times New Roman"/>
          <w:sz w:val="24"/>
          <w:szCs w:val="24"/>
          <w:lang w:eastAsia="sk-SK"/>
        </w:rPr>
      </w:pPr>
      <w:r w:rsidRPr="00146994">
        <w:rPr>
          <w:rFonts w:ascii="Times New Roman" w:hAnsi="Times New Roman"/>
          <w:sz w:val="24"/>
          <w:szCs w:val="24"/>
        </w:rPr>
        <w:t xml:space="preserve">Ustanovenie vymedzuje predmet návrhu zákona a zároveň konkretizuje jednotlivé tematické oblasti úpravy, ktoré spolu tvoria komplexný rámec prevencie a dohľadu v oblasti </w:t>
      </w:r>
      <w:r w:rsidRPr="00146994">
        <w:rPr>
          <w:rFonts w:ascii="Times New Roman" w:hAnsi="Times New Roman"/>
          <w:sz w:val="24"/>
          <w:szCs w:val="24"/>
          <w:lang w:eastAsia="sk-SK"/>
        </w:rPr>
        <w:t>predchádzania legalizácii výnosov z trestnej činnosti, financovaniu terorizmu a financovaniu šírenia zbraní hromadného ničenia (ďalej len „</w:t>
      </w:r>
      <w:r w:rsidRPr="00146994">
        <w:rPr>
          <w:rFonts w:ascii="Times New Roman" w:hAnsi="Times New Roman"/>
          <w:sz w:val="24"/>
          <w:szCs w:val="24"/>
        </w:rPr>
        <w:t xml:space="preserve">AML/CFT/CPF“). </w:t>
      </w:r>
      <w:r w:rsidRPr="00146994">
        <w:rPr>
          <w:rFonts w:ascii="Times New Roman" w:hAnsi="Times New Roman"/>
          <w:sz w:val="24"/>
          <w:szCs w:val="24"/>
          <w:lang w:eastAsia="sk-SK"/>
        </w:rPr>
        <w:t xml:space="preserve">Právna úprava zohľadňuje nový regulačný a inštitucionálny rámec Únie, predovšetkým nariadenie (EÚ) 2024/1624, smernicu (EÚ) 2024/1640 a nariadenie (EÚ) 2024/1620. </w:t>
      </w:r>
    </w:p>
    <w:p w14:paraId="1AC143BF" w14:textId="5AB726D6" w:rsidR="00146994" w:rsidRPr="00146994" w:rsidRDefault="00146994" w:rsidP="00146994">
      <w:pPr>
        <w:jc w:val="both"/>
        <w:rPr>
          <w:rFonts w:ascii="Times New Roman" w:hAnsi="Times New Roman"/>
          <w:sz w:val="24"/>
          <w:szCs w:val="24"/>
        </w:rPr>
      </w:pPr>
      <w:r w:rsidRPr="00146994">
        <w:rPr>
          <w:rFonts w:ascii="Times New Roman" w:hAnsi="Times New Roman"/>
          <w:sz w:val="24"/>
          <w:szCs w:val="24"/>
        </w:rPr>
        <w:t>Návrh zákon</w:t>
      </w:r>
      <w:r w:rsidR="00677B06">
        <w:rPr>
          <w:rFonts w:ascii="Times New Roman" w:hAnsi="Times New Roman"/>
          <w:sz w:val="24"/>
          <w:szCs w:val="24"/>
        </w:rPr>
        <w:t>a</w:t>
      </w:r>
      <w:r w:rsidRPr="00146994">
        <w:rPr>
          <w:rFonts w:ascii="Times New Roman" w:hAnsi="Times New Roman"/>
          <w:sz w:val="24"/>
          <w:szCs w:val="24"/>
        </w:rPr>
        <w:t xml:space="preserve"> upravuje požiadavky súvisiace s registráciou povinných osôb v informačnom systéme ministerstva vnútra (</w:t>
      </w:r>
      <w:proofErr w:type="spellStart"/>
      <w:r w:rsidRPr="00146994">
        <w:rPr>
          <w:rFonts w:ascii="Times New Roman" w:hAnsi="Times New Roman"/>
          <w:sz w:val="24"/>
          <w:szCs w:val="24"/>
        </w:rPr>
        <w:t>GoAML</w:t>
      </w:r>
      <w:proofErr w:type="spellEnd"/>
      <w:r w:rsidRPr="00146994">
        <w:rPr>
          <w:rFonts w:ascii="Times New Roman" w:hAnsi="Times New Roman"/>
          <w:sz w:val="24"/>
          <w:szCs w:val="24"/>
        </w:rPr>
        <w:t>), ako aj mechanizmami overovania bezúhonnosti a dôveryhodnosti konečných užívateľov výhod a členov vrcholového manažmentu vybraných povinných osôb, ktorých cieľom je zabezpečiť transparentnosť vlastníckych a riadiacich štruktúr a znížiť riziko ich zneužívania na legalizáciu alebo financovanie terorizmu.</w:t>
      </w:r>
    </w:p>
    <w:p w14:paraId="0350A572" w14:textId="77777777" w:rsidR="00146994" w:rsidRPr="00146994" w:rsidRDefault="00146994" w:rsidP="00146994">
      <w:pPr>
        <w:jc w:val="both"/>
        <w:rPr>
          <w:rFonts w:ascii="Times New Roman" w:hAnsi="Times New Roman"/>
          <w:b/>
          <w:bCs/>
          <w:sz w:val="24"/>
          <w:szCs w:val="24"/>
          <w:highlight w:val="yellow"/>
          <w:u w:val="single"/>
        </w:rPr>
      </w:pPr>
      <w:r w:rsidRPr="00146994">
        <w:rPr>
          <w:rFonts w:ascii="Times New Roman" w:hAnsi="Times New Roman"/>
          <w:sz w:val="24"/>
          <w:szCs w:val="24"/>
        </w:rPr>
        <w:t>Ustanovuje sa povinnosť vypracovávať národné hodnotenie rizík legalizácie a financovania terorizmu, ktoré má slúžiť nielen na určovanie strategických priorít štátu v oblasti AML/CFT/CPF, ale aj na primerané prideľovanie zdrojov, nastavenie rizikovo orientovaného dohľadu, identifikáciu sektorov a oblastí s vyšším alebo nižším rizikom a na podporu povinných osôb pri vykonávaní ich vlastného hodnotenia rizík.</w:t>
      </w:r>
    </w:p>
    <w:p w14:paraId="47E7BC96"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Návrh zákona vymedzuje základné postavenie, pôsobnosť a zásady činnosti FSJ ako centrálnej národnej jednotky v oblasti </w:t>
      </w:r>
      <w:r w:rsidRPr="00146994">
        <w:rPr>
          <w:rFonts w:ascii="Times New Roman" w:hAnsi="Times New Roman"/>
          <w:sz w:val="24"/>
          <w:szCs w:val="24"/>
        </w:rPr>
        <w:t xml:space="preserve">AML/CFT/CPF, </w:t>
      </w:r>
      <w:r w:rsidRPr="00146994">
        <w:rPr>
          <w:rFonts w:ascii="Times New Roman" w:hAnsi="Times New Roman"/>
          <w:sz w:val="24"/>
          <w:szCs w:val="24"/>
          <w:lang w:eastAsia="sk-SK"/>
        </w:rPr>
        <w:t>hlavné oprávnenia pri výkone finančnej spravodajskej činnosti, pravidlá predchádzania konfliktom záujmov, ochrany informácií a bezpečnej výmeny informácií s príslušnými orgánmi a povinnými osobami.</w:t>
      </w:r>
    </w:p>
    <w:p w14:paraId="203AACD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Cieľom právnej úpravy je aj zabezpečiť jednoznačné rozdelenie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kompetencií medzi Národnú banku Slovenska, Úrad pre reguláciu hazardných hier a Finančnú spravodajskú jednotku podľa charakteru dohliadanej povinnej osoby, pričom sa súčasne vytvára rámec ich vzájomnej spolupráce, výmeny informácií a cezhraničného výkonu dohľadu. Zároveň sa návrh zákona zameriava na vzájomnú a efektívnu spoluprácu orgánov verejnej moci, zahraničných partnerských orgánov s poukazom na širšiu požiadavku európskeho AML/CFT rámca na koordinované postupy a výmenu informácií medzi príslušnými orgánmi.</w:t>
      </w:r>
    </w:p>
    <w:p w14:paraId="0605CFF6"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 xml:space="preserve">K  § 2: </w:t>
      </w:r>
    </w:p>
    <w:p w14:paraId="2807BCA7" w14:textId="6A72FD7B"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Navrhované ustanovenie vymedzuje základné pojmy používané v zákone s cieľom zabezpečiť ich jednotný výklad a uplatňovanie pri plnení povinností </w:t>
      </w:r>
      <w:r w:rsidRPr="00146994">
        <w:rPr>
          <w:rFonts w:ascii="Times New Roman" w:hAnsi="Times New Roman"/>
          <w:sz w:val="24"/>
          <w:szCs w:val="24"/>
        </w:rPr>
        <w:t>AML/CFT/CPF</w:t>
      </w:r>
      <w:r w:rsidRPr="00146994">
        <w:rPr>
          <w:rFonts w:ascii="Times New Roman" w:hAnsi="Times New Roman"/>
          <w:sz w:val="24"/>
          <w:szCs w:val="24"/>
          <w:lang w:eastAsia="sk-SK"/>
        </w:rPr>
        <w:t xml:space="preserve">. Právna úprava zohľadňuje nový regulačný a inštitucionálny rámec Únie, predovšetkým nariadenie (EÚ) 2024/1624, smernicu (EÚ) 2024/1640 a nariadenie (EÚ) 2024/1620. </w:t>
      </w:r>
      <w:r w:rsidRPr="00146994">
        <w:rPr>
          <w:rFonts w:ascii="Times New Roman" w:hAnsi="Times New Roman"/>
          <w:sz w:val="24"/>
          <w:szCs w:val="24"/>
        </w:rPr>
        <w:t xml:space="preserve">Primárnym zdrojom </w:t>
      </w:r>
      <w:r w:rsidRPr="00146994">
        <w:rPr>
          <w:rFonts w:ascii="Times New Roman" w:hAnsi="Times New Roman"/>
          <w:sz w:val="24"/>
          <w:szCs w:val="24"/>
        </w:rPr>
        <w:lastRenderedPageBreak/>
        <w:t xml:space="preserve">definícií je čl. 2 </w:t>
      </w:r>
      <w:r w:rsidRPr="00146994">
        <w:rPr>
          <w:rFonts w:ascii="Times New Roman" w:hAnsi="Times New Roman"/>
          <w:sz w:val="24"/>
          <w:szCs w:val="24"/>
          <w:lang w:eastAsia="sk-SK"/>
        </w:rPr>
        <w:t>nariadenia (EÚ) 2024/1624</w:t>
      </w:r>
      <w:r w:rsidRPr="00146994">
        <w:rPr>
          <w:rFonts w:ascii="Times New Roman" w:hAnsi="Times New Roman"/>
          <w:sz w:val="24"/>
          <w:szCs w:val="24"/>
        </w:rPr>
        <w:t xml:space="preserve">, avšak nie je možné sa obmedziť iba na definície v ňom obsiahnuté. </w:t>
      </w:r>
      <w:r w:rsidRPr="00146994">
        <w:rPr>
          <w:rFonts w:ascii="Times New Roman" w:hAnsi="Times New Roman"/>
          <w:sz w:val="24"/>
          <w:szCs w:val="24"/>
          <w:lang w:eastAsia="sk-SK"/>
        </w:rPr>
        <w:t xml:space="preserve">Vymedzenie základných pojmov nadväzuje na doterajšiu vnútroštátnu právnu úpravu a súčasne reaguje na zmeny vyplývajúce z harmonizácie pravidiel AML/CFT na úrovni Únie. Osobitný význam má určenie okruhu povinných osôb, ich rozdelenie na finančný a nefinančný sektor, vymedzenie príslušných orgánov dohľadu a zavedenie pojmov súvisiacich s cezhraničnou spoluprácou, finančnou spravodajskou činnosťou a posudzovaním bezúhonnosti a dôveryhodnosti osôb. Účelom ustanovenia je vytvoriť jednoznačný terminologický základ pre ďalšie ustanovenia zákona, pričom pojmy prevzaté z priamo uplatniteľných právnych aktov </w:t>
      </w:r>
      <w:r w:rsidR="00AC5950">
        <w:rPr>
          <w:rFonts w:ascii="Times New Roman" w:hAnsi="Times New Roman"/>
          <w:sz w:val="24"/>
          <w:szCs w:val="24"/>
          <w:lang w:eastAsia="sk-SK"/>
        </w:rPr>
        <w:t>Ú</w:t>
      </w:r>
      <w:r w:rsidRPr="00146994">
        <w:rPr>
          <w:rFonts w:ascii="Times New Roman" w:hAnsi="Times New Roman"/>
          <w:sz w:val="24"/>
          <w:szCs w:val="24"/>
          <w:lang w:eastAsia="sk-SK"/>
        </w:rPr>
        <w:t>nie sa vykladajú v súlade s ich obsahom a účelom.</w:t>
      </w:r>
    </w:p>
    <w:p w14:paraId="4BDD138E"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písmenu a)</w:t>
      </w:r>
    </w:p>
    <w:p w14:paraId="7B4413F6"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Definícia financovania šírenia zbraní hromadného ničenia zohľadňuje, že financovanie </w:t>
      </w:r>
      <w:proofErr w:type="spellStart"/>
      <w:r w:rsidRPr="00146994">
        <w:rPr>
          <w:rFonts w:ascii="Times New Roman" w:hAnsi="Times New Roman"/>
          <w:sz w:val="24"/>
          <w:szCs w:val="24"/>
          <w:lang w:eastAsia="sk-SK"/>
        </w:rPr>
        <w:t>proliferácie</w:t>
      </w:r>
      <w:proofErr w:type="spellEnd"/>
      <w:r w:rsidRPr="00146994">
        <w:rPr>
          <w:rFonts w:ascii="Times New Roman" w:hAnsi="Times New Roman"/>
          <w:sz w:val="24"/>
          <w:szCs w:val="24"/>
          <w:lang w:eastAsia="sk-SK"/>
        </w:rPr>
        <w:t xml:space="preserve"> sa nemusí obmedzovať na priame financovanie výroby zbraní hromadného ničenia, ale môže zahŕňať aj financovanie jednotlivých činností v dodávateľskom, technologickom alebo obchodnom reťazci. Osobitne sa zahŕňajú technológie a položky s dvojakým použitím, ktoré môžu slúžiť na legitímne civilné účely, ale za určitých okolností môžu byť zneužité na zakázané činnosti. Vymedzenie pojmu nadväzuje na medzinárodné záväzky Slovenskej republiky v oblasti nešírenia zbraní hromadného ničenia a zohľadňuje medzinárodné štandardy FATF v oblasti financovania </w:t>
      </w:r>
      <w:proofErr w:type="spellStart"/>
      <w:r w:rsidRPr="00146994">
        <w:rPr>
          <w:rFonts w:ascii="Times New Roman" w:hAnsi="Times New Roman"/>
          <w:sz w:val="24"/>
          <w:szCs w:val="24"/>
          <w:lang w:eastAsia="sk-SK"/>
        </w:rPr>
        <w:t>proliferácie</w:t>
      </w:r>
      <w:proofErr w:type="spellEnd"/>
      <w:r w:rsidRPr="00146994">
        <w:rPr>
          <w:rFonts w:ascii="Times New Roman" w:hAnsi="Times New Roman"/>
          <w:sz w:val="24"/>
          <w:szCs w:val="24"/>
          <w:lang w:eastAsia="sk-SK"/>
        </w:rPr>
        <w:t>.</w:t>
      </w:r>
    </w:p>
    <w:p w14:paraId="7DBEBB5A"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písmenu b)</w:t>
      </w:r>
    </w:p>
    <w:p w14:paraId="1926569F"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Vymedzuje sa pojem povinnej osoby prostredníctvom odkazu na povinné subjekty podľa článku 3 nariadenia (EÚ) 2024/1624. Navrhované ustanovenie zabezpečuje terminologické prepojenie vnútroštátnej právnej úpravy s priamo uplatniteľným európskym nariadením, ktoré určuje základný okruh subjektov podliehajúcich povinnostiam v oblasti </w:t>
      </w:r>
      <w:r w:rsidRPr="00146994">
        <w:rPr>
          <w:rFonts w:ascii="Times New Roman" w:hAnsi="Times New Roman"/>
          <w:sz w:val="24"/>
          <w:szCs w:val="24"/>
        </w:rPr>
        <w:t>AML/CFT/CPF</w:t>
      </w:r>
      <w:r w:rsidRPr="00146994">
        <w:rPr>
          <w:rFonts w:ascii="Times New Roman" w:hAnsi="Times New Roman"/>
          <w:sz w:val="24"/>
          <w:szCs w:val="24"/>
          <w:lang w:eastAsia="sk-SK"/>
        </w:rPr>
        <w:t>. Vymedzenie povinnej osoby predstavuje základný predpoklad na určenie osobnej pôsobnosti zákona, uplatňovanie jednotlivých povinností a výkon dohľadu. Pri posudzovaní postavenia konkrétneho subjektu je rozhodujúce splnenie podmienok ustanovených príslušným právnym predpisom, vrátane povahy a rozsahu vykonávanej činnosti.</w:t>
      </w:r>
    </w:p>
    <w:p w14:paraId="6ED5CD07" w14:textId="77777777" w:rsidR="00146994" w:rsidRPr="00146994" w:rsidRDefault="00146994" w:rsidP="00146994">
      <w:pPr>
        <w:spacing w:after="120" w:line="276" w:lineRule="auto"/>
        <w:jc w:val="both"/>
        <w:outlineLvl w:val="3"/>
        <w:rPr>
          <w:rFonts w:ascii="Times New Roman" w:hAnsi="Times New Roman"/>
          <w:sz w:val="24"/>
          <w:szCs w:val="24"/>
          <w:lang w:eastAsia="sk-SK"/>
        </w:rPr>
      </w:pPr>
      <w:r w:rsidRPr="00146994">
        <w:rPr>
          <w:rFonts w:ascii="Times New Roman" w:hAnsi="Times New Roman"/>
          <w:sz w:val="24"/>
          <w:szCs w:val="24"/>
          <w:lang w:eastAsia="sk-SK"/>
        </w:rPr>
        <w:t>K písmenu c)</w:t>
      </w:r>
    </w:p>
    <w:p w14:paraId="1B277962"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Vymedzuje sa finančný sektor prostredníctvom jednotlivých kategórií povinných osôb vykonávajúcich finančné činnosti alebo poskytujúcich finančné služby. Do finančného sektora patria predovšetkým banky, platobné inštitúcie, poskytovatelia platobných služieb v obmedzenom rozsahu, inštitúcie elektronických peňazí, obchodníci s cennými papiermi, centrálni depozitári cenných papierov, správcovské spoločnosti a správcovia alternatívnych investičných fondov. Ich zahrnutie zohľadňuje povahu činností súvisiacich s prijímaním, správou, investovaním a prevodom finančných prostriedkov alebo iných finančných aktív. Osobitne sa vymedzujú poisťovne vykonávajúce činnosť v oblasti životného poistenia a sprostredkovatelia poistenia v zákonom ustanovenom rozsahu. Pri sprostredkovateľoch sa prihliada na ich skutočné oprávnenia, nakladanie s finančnými prostriedkami a zodpovednosť príslušných poisťovní alebo ďalších sprostredkovateľov. Do finančného sektora sa zaraďujú aj sprostredkovatelia úverov, veritelia, devízové miesta a poskytovatelia služieb </w:t>
      </w:r>
      <w:proofErr w:type="spellStart"/>
      <w:r w:rsidRPr="00146994">
        <w:rPr>
          <w:rFonts w:ascii="Times New Roman" w:hAnsi="Times New Roman"/>
          <w:sz w:val="24"/>
          <w:szCs w:val="24"/>
          <w:lang w:eastAsia="sk-SK"/>
        </w:rPr>
        <w:t>kryptoaktív</w:t>
      </w:r>
      <w:proofErr w:type="spellEnd"/>
      <w:r w:rsidRPr="00146994">
        <w:rPr>
          <w:rFonts w:ascii="Times New Roman" w:hAnsi="Times New Roman"/>
          <w:sz w:val="24"/>
          <w:szCs w:val="24"/>
          <w:lang w:eastAsia="sk-SK"/>
        </w:rPr>
        <w:t xml:space="preserve">. Pri poskytovateľoch služieb </w:t>
      </w:r>
      <w:proofErr w:type="spellStart"/>
      <w:r w:rsidRPr="00146994">
        <w:rPr>
          <w:rFonts w:ascii="Times New Roman" w:hAnsi="Times New Roman"/>
          <w:sz w:val="24"/>
          <w:szCs w:val="24"/>
          <w:lang w:eastAsia="sk-SK"/>
        </w:rPr>
        <w:t>kryptoaktív</w:t>
      </w:r>
      <w:proofErr w:type="spellEnd"/>
      <w:r w:rsidRPr="00146994">
        <w:rPr>
          <w:rFonts w:ascii="Times New Roman" w:hAnsi="Times New Roman"/>
          <w:sz w:val="24"/>
          <w:szCs w:val="24"/>
          <w:lang w:eastAsia="sk-SK"/>
        </w:rPr>
        <w:t xml:space="preserve"> sa zohľadňuje osobitný regulačný rámec digitálnych aktív </w:t>
      </w:r>
      <w:r w:rsidRPr="00146994">
        <w:rPr>
          <w:rFonts w:ascii="Times New Roman" w:hAnsi="Times New Roman"/>
          <w:sz w:val="24"/>
          <w:szCs w:val="24"/>
          <w:lang w:eastAsia="sk-SK"/>
        </w:rPr>
        <w:lastRenderedPageBreak/>
        <w:t xml:space="preserve">a rozsah poskytovaných služieb, pričom samotné poskytovanie poradenstva v oblasti </w:t>
      </w:r>
      <w:proofErr w:type="spellStart"/>
      <w:r w:rsidRPr="00146994">
        <w:rPr>
          <w:rFonts w:ascii="Times New Roman" w:hAnsi="Times New Roman"/>
          <w:sz w:val="24"/>
          <w:szCs w:val="24"/>
          <w:lang w:eastAsia="sk-SK"/>
        </w:rPr>
        <w:t>kryptoaktív</w:t>
      </w:r>
      <w:proofErr w:type="spellEnd"/>
      <w:r w:rsidRPr="00146994">
        <w:rPr>
          <w:rFonts w:ascii="Times New Roman" w:hAnsi="Times New Roman"/>
          <w:sz w:val="24"/>
          <w:szCs w:val="24"/>
          <w:lang w:eastAsia="sk-SK"/>
        </w:rPr>
        <w:t xml:space="preserve"> je z príslušného vymedzenia vyňaté. Finančný sektor ďalej zahŕňa ustanovené kategórie finančných holdingových spoločností, osoby oprávnené vykonávať finančný lízing, </w:t>
      </w:r>
      <w:proofErr w:type="spellStart"/>
      <w:r w:rsidRPr="00146994">
        <w:rPr>
          <w:rFonts w:ascii="Times New Roman" w:hAnsi="Times New Roman"/>
          <w:sz w:val="24"/>
          <w:szCs w:val="24"/>
          <w:lang w:eastAsia="sk-SK"/>
        </w:rPr>
        <w:t>faktoring</w:t>
      </w:r>
      <w:proofErr w:type="spellEnd"/>
      <w:r w:rsidRPr="00146994">
        <w:rPr>
          <w:rFonts w:ascii="Times New Roman" w:hAnsi="Times New Roman"/>
          <w:sz w:val="24"/>
          <w:szCs w:val="24"/>
          <w:lang w:eastAsia="sk-SK"/>
        </w:rPr>
        <w:t xml:space="preserve"> alebo forfaiting a pobočky zahraničných finančných inštitúcií nachádzajúce sa na území Slovenskej republiky. Vymedzenie jednotlivých kategórií vychádza z ich právneho postavenia a povahy vykonávaných činností. Zároveň vytvára základ na určenie príslušnosti orgánov dohľadu a na uplatňovanie pravidiel cezhraničnej spolupráce.</w:t>
      </w:r>
    </w:p>
    <w:p w14:paraId="5468778C"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písmenu d)</w:t>
      </w:r>
    </w:p>
    <w:p w14:paraId="46BF129F"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Vymedzuje sa nefinančný sektor, ktorý zahŕňa profesijné, podnikateľské a ďalšie činnosti vystavené riziku zneužitia na legalizáciu alebo financovanie terorizmu. Do nefinančného sektora patria audítori, účtovníci, daňoví poradcovia a ďalšie osoby poskytujúce poradenské služby v daňových záležitostiach. Ich zahrnutie vychádza z povahy poskytovaných služieb, ktoré môžu súvisieť so správou majetku, účtovnými a finančnými operáciami alebo vytváraním podnikateľských a vlastníckych štruktúr. Medzi povinné osoby sa zaraďujú aj advokáti, notári, správcovia konkurznej podstaty a súdni exekútori, a to v rozsahu činností ustanovených nariadením (EÚ) 2024/1624. Rozhodujúcim kritériom je povaha konkrétnej vykonávanej činnosti, nie samotné profesijné postavenie osoby. Pri uplatňovaní povinností sa zároveň rešpektujú osobitosti jednotlivých regulovaných profesií a zákonom chránená dôvernosť právnych služieb. Osobitnú kategóriu predstavujú poskytovatelia služieb správy majetku a služieb pre obchodné spoločnosti alebo zahraničné zverenecké fondy. Ide o činnosti, ktoré môžu zahŕňať zakladanie, správu alebo organizačné zabezpečenie právnických osôb a právnych usporiadaní, vrátane poskytovania sídla alebo výkonu vybraných funkcií. Ich zahrnutie sleduje predchádzanie zneužívaniu neprehľadných vlastníckych a kontrolných štruktúr.</w:t>
      </w:r>
    </w:p>
    <w:p w14:paraId="2B3A32A8"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Do nefinančného sektora patria aj osoby obchodujúce s nehnuteľnosťami alebo sprostredkúvajúce ich predaj, kúpu a prenájom. Pri prenájme nehnuteľností sa ustanovuje hranica mesačného nájomného najmenej 10 000 eur. Právna úprava zohľadňuje riziká spojené s vysokou hodnotou nehnuteľností a možnosťou využitia realitných transakcií na umiestňovanie alebo zakrývanie pôvodu finančných prostriedkov. Medzi povinné osoby sa zaraďujú aj obchodníci s drahými kovmi, drahými kameňmi a tovarom vysokej hodnoty. Pri obchodovaní s drahými kovmi a drahými kameňmi nie je postavenie povinnej osoby podmienené všeobecnou hranicou hodnoty jednotlivého obchodu. Rozhodujúca je povaha a rozsah vykonávanej profesionálnej činnosti podľa príslušného európskeho predpisu.</w:t>
      </w:r>
    </w:p>
    <w:p w14:paraId="72B62926"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Osobitne sa vymedzujú prevádzkovatelia hazardných hier, ktorých činnosť zahŕňa prijímanie vkladov, vyplácanie výhier a ďalšie finančné operácie súvisiace s účasťou na hazardných hrách. Ich zahrnutie vychádza z potreby predchádzať zneužívaniu herných mechanizmov a súvisiacich finančných tokov na legalizáciu. Rozsah konkrétnych povinností a ich uplatňovanie sa posudzujú podľa príslušných ustanovení európskeho a vnútroštátneho práva, pri zohľadnení rizík jednotlivých druhov hazardných hier.</w:t>
      </w:r>
    </w:p>
    <w:p w14:paraId="51559A01"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Do nefinančného sektora patria aj osoby obchodujúce s umeleckými dielami, zberateľskými predmetmi, starožitnosťami a kultúrnymi predmetmi, ako aj osoby vykonávajúce ustanovené činnosti v slobodných pásmach a colných skladoch. Pri príslušných kategóriách sa uplatňuje hranica hodnoty transakcie alebo prepojených transakcií najmenej 10 000 eur. Zahrnutie týchto </w:t>
      </w:r>
      <w:r w:rsidRPr="00146994">
        <w:rPr>
          <w:rFonts w:ascii="Times New Roman" w:hAnsi="Times New Roman"/>
          <w:sz w:val="24"/>
          <w:szCs w:val="24"/>
          <w:lang w:eastAsia="sk-SK"/>
        </w:rPr>
        <w:lastRenderedPageBreak/>
        <w:t>subjektov zohľadňuje osobitosti obchodovania s predmetmi vysokej hodnoty, najmä ich oceňovanie, vlastnícke vzťahy a cezhraničný pohyb. Navrhované ustanovenie ďalej zahŕňa osoby vykonávajúce dražby mimo exekúcií, prevádzkovateľov záložní a nefinančné holdingové spoločnosti so zmiešanou činnosťou.</w:t>
      </w:r>
    </w:p>
    <w:p w14:paraId="5C01F44D"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V súlade s novým európskym regulačným rámcom sa medzi povinné osoby zaraďujú aj profesionálne futbalové kluby za ustanovených podmienok, futbaloví agenti, poskytovatelia a sprostredkovatelia služieb hromadného financovania, vybraní sprostredkovatelia hypotekárnych a spotrebiteľských úverov a poskytovatelia investičných služieb v súvislosti s migráciou.</w:t>
      </w:r>
    </w:p>
    <w:p w14:paraId="520602F1"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Pri profesionálnych futbalových kluboch sa postavenie povinnej osoby viaže na ustanovené druhy transakcií, najmä na vzťahy s investormi, sponzormi, futbalovými agentmi a na prestupy hráčov. Pri hromadnom financovaní sa zohľadňuje osobitný spôsob získavania a sprostredkovania finančných prostriedkov. Pri investičnej migrácii sa sledujú riziká spojené so získavaním pobytových oprávnení prostredníctvom investícií.</w:t>
      </w:r>
    </w:p>
    <w:p w14:paraId="4BABB0A4"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Navrhované vymedzenie nefinančného sektora zohľadňuje rozšírenie európskeho regulačného rámca a potrebu uplatňovať preventívne opatrenia aj na činnosti, ktoré môžu predstavovať významné riziko zneužitia na legalizáciu alebo financovanie terorizmu. </w:t>
      </w:r>
    </w:p>
    <w:p w14:paraId="14A45C4C"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písmenu e)</w:t>
      </w:r>
    </w:p>
    <w:p w14:paraId="0075857D"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Vymedzuje sa zahraničná finančná inštitúcia ako finančná inštitúcia so sídlom mimo územia Slovenskej republiky, ktorá vykonáva ustanovené finančné činnosti na základe oprávnenia udeleného v inom členskom štáte alebo v tretej krajine. Definícia zabezpečuje jednotné rozlišovanie domácich a zahraničných finančných inštitúcií a vytvára terminologický základ na uplatňovanie pravidiel cezhraničného pôsobenia a spolupráce príslušných orgánov.</w:t>
      </w:r>
    </w:p>
    <w:p w14:paraId="378EB087"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písmenám f) až h)</w:t>
      </w:r>
    </w:p>
    <w:p w14:paraId="7816F3A6"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Vymedzujú sa pojmy členský štát, domovský členský štát a hostiteľský členský štát. Členským štátom sa na účely zákona rozumie členský štát Európskej únie alebo zmluvná strana Dohody o Európskom hospodárskom priestore. Domovský členský štát sa určuje podľa sídla alebo ústredia povinnej osoby, zatiaľ čo hostiteľský členský štát predstavuje štát, v ktorom povinná osoba vykonáva činnosť prostredníctvom organizačnej jednotky, prevádzkarne alebo ustanovenej infraštruktúry. Uvedené pojmy majú význam najmä pri určovaní príslušnosti orgánov dohľadu, uplatňovaní pravidiel cezhraničného poskytovania služieb a zabezpečovaní spolupráce medzi príslušnými orgánmi jednotlivých členských štátov.</w:t>
      </w:r>
    </w:p>
    <w:p w14:paraId="238E0CFC"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písmenu i)</w:t>
      </w:r>
    </w:p>
    <w:p w14:paraId="1B94E5C2"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Vymedzuje sa európsky Úrad pre boj proti praniu špinavých peňazí a financovaniu terorizmu (AMLA), zriadený nariadením (EÚ) 2024/1620. Úrad AMLA predstavuje súčasť nového európskeho inštitucionálneho rámca, ktorého cieľom je posilniť jednotné uplatňovanie pravidiel AML/CFT, koordináciu dohľadu a spoluprácu medzi príslušnými orgánmi členských štátov. Definícia zabezpečuje jednoznačné používanie označenia úradu v ďalších ustanoveniach zákona a jeho odlíšenie od vnútroštátnych orgánov dohľadu.</w:t>
      </w:r>
    </w:p>
    <w:p w14:paraId="3A3EFE85"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písmenu j)</w:t>
      </w:r>
    </w:p>
    <w:p w14:paraId="1DB71341"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lastRenderedPageBreak/>
        <w:t>Vymedzujú sa vnútroštátne orgány dohľadu, ktorými sú Národná banka Slovenska, Finančná spravodajská jednotka a Úrad pre reguláciu hazardných hier. Účelom je identifikovať orgány poverené dohľadom nad dodržiavaním povinností povinných osôb podľa tohto zákona a príslušných osobitných predpisov. Konkrétne rozdelenie ich právomocí a pôsobnosti upravujú ďalšie ustanovenia zákona. Vymedzenie pojmu vytvára základ na zabezpečenie koordinovaného výkonu dohľadu, výmeny informácií a spolupráce medzi príslušnými vnútroštátnymi a európskymi orgánmi.</w:t>
      </w:r>
    </w:p>
    <w:p w14:paraId="136A5D69"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písmenám k) až m)</w:t>
      </w:r>
    </w:p>
    <w:p w14:paraId="728E52D8"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Vymedzujú sa jednotlivé kategórie zahraničných orgánov dohľadu s prihliadnutím na rozdiely v ich vecnej pôsobnosti. Rozlišuje sa zahraničný orgán dohľadu vo všeobecnosti, zahraničný orgán dohľadu v oblasti finančného trhu a zahraničný orgán dohľadu nad povinnými osobami vo finančnom sektore v oblasti AML/CFT. Takéto rozlíšenie zohľadňuje skutočnosť, že v jednotlivých členských štátoch môžu byť právomoci </w:t>
      </w:r>
      <w:proofErr w:type="spellStart"/>
      <w:r w:rsidRPr="00146994">
        <w:rPr>
          <w:rFonts w:ascii="Times New Roman" w:hAnsi="Times New Roman"/>
          <w:sz w:val="24"/>
          <w:szCs w:val="24"/>
          <w:lang w:eastAsia="sk-SK"/>
        </w:rPr>
        <w:t>prudenciálneho</w:t>
      </w:r>
      <w:proofErr w:type="spellEnd"/>
      <w:r w:rsidRPr="00146994">
        <w:rPr>
          <w:rFonts w:ascii="Times New Roman" w:hAnsi="Times New Roman"/>
          <w:sz w:val="24"/>
          <w:szCs w:val="24"/>
          <w:lang w:eastAsia="sk-SK"/>
        </w:rPr>
        <w:t xml:space="preserve"> dohľadu a dohľadu nad plnením povinností AML/CFT zverené odlišným orgánom. Účelom je zabezpečiť jednoznačné určenie príslušných zahraničných partnerov pri cezhraničnej spolupráci, poskytovaní informácií a koordinácii </w:t>
      </w:r>
      <w:proofErr w:type="spellStart"/>
      <w:r w:rsidRPr="00146994">
        <w:rPr>
          <w:rFonts w:ascii="Times New Roman" w:hAnsi="Times New Roman"/>
          <w:sz w:val="24"/>
          <w:szCs w:val="24"/>
          <w:lang w:eastAsia="sk-SK"/>
        </w:rPr>
        <w:t>dohľadovej</w:t>
      </w:r>
      <w:proofErr w:type="spellEnd"/>
      <w:r w:rsidRPr="00146994">
        <w:rPr>
          <w:rFonts w:ascii="Times New Roman" w:hAnsi="Times New Roman"/>
          <w:sz w:val="24"/>
          <w:szCs w:val="24"/>
          <w:lang w:eastAsia="sk-SK"/>
        </w:rPr>
        <w:t xml:space="preserve"> činnosti.</w:t>
      </w:r>
    </w:p>
    <w:p w14:paraId="590D102B"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písmenu n)</w:t>
      </w:r>
    </w:p>
    <w:p w14:paraId="65322A72"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Vymedzuje sa kolégium orgánov dohľadu v oblasti AML/CFT ako stála štruktúra spolupráce a výmeny informácií pri dohľade nad skupinami alebo subjektmi pôsobiacimi vo viacerých štátoch. Kolégiá umožňujú koordináciu </w:t>
      </w:r>
      <w:proofErr w:type="spellStart"/>
      <w:r w:rsidRPr="00146994">
        <w:rPr>
          <w:rFonts w:ascii="Times New Roman" w:hAnsi="Times New Roman"/>
          <w:sz w:val="24"/>
          <w:szCs w:val="24"/>
          <w:lang w:eastAsia="sk-SK"/>
        </w:rPr>
        <w:t>dohľadových</w:t>
      </w:r>
      <w:proofErr w:type="spellEnd"/>
      <w:r w:rsidRPr="00146994">
        <w:rPr>
          <w:rFonts w:ascii="Times New Roman" w:hAnsi="Times New Roman"/>
          <w:sz w:val="24"/>
          <w:szCs w:val="24"/>
          <w:lang w:eastAsia="sk-SK"/>
        </w:rPr>
        <w:t xml:space="preserve"> postupov, výmenu relevantných informácií a spoločné posudzovanie rizík súvisiacich s cezhraničnou činnosťou povinných osôb. Definícia vytvára terminologický základ na uplatňovanie príslušných ustanovení zákona upravujúcich medzinárodnú </w:t>
      </w:r>
      <w:proofErr w:type="spellStart"/>
      <w:r w:rsidRPr="00146994">
        <w:rPr>
          <w:rFonts w:ascii="Times New Roman" w:hAnsi="Times New Roman"/>
          <w:sz w:val="24"/>
          <w:szCs w:val="24"/>
          <w:lang w:eastAsia="sk-SK"/>
        </w:rPr>
        <w:t>dohľadovú</w:t>
      </w:r>
      <w:proofErr w:type="spellEnd"/>
      <w:r w:rsidRPr="00146994">
        <w:rPr>
          <w:rFonts w:ascii="Times New Roman" w:hAnsi="Times New Roman"/>
          <w:sz w:val="24"/>
          <w:szCs w:val="24"/>
          <w:lang w:eastAsia="sk-SK"/>
        </w:rPr>
        <w:t xml:space="preserve"> spoluprácu.</w:t>
      </w:r>
    </w:p>
    <w:p w14:paraId="509335AC"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písmenu o) a p)</w:t>
      </w:r>
    </w:p>
    <w:p w14:paraId="3A7EF4A8"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Vymedzuje sa bezúhonná osoba prostredníctvom podmienky absencie právoplatného odsúdenia za zákonom ustanovené trestné činy, najmä hospodárske a majetkové trestné činy, legalizáciu výnosov z trestnej činnosti, súvisiace predikatívne trestné činy, porušenie reštriktívnych opatrení, financovanie terorizmu a ďalšie úmyselné trestné činy súvisiace s predmetom podnikania. Navrhovaná úprava ustanovuje prísnejšie kritériá bezúhonnosti tým, že prihliada aj na odsúdenia, ktoré boli zahladené alebo pri ktorých nastali zákonné účinky, podľa ktorých sa na osobu hľadí, akoby nebola odsúdená. Účelom je zabezpečiť, aby osoby vykonávajúce relevantné funkcie alebo uplatňujúce zákonom ustanovené oprávnenia spĺňali požiadavky osobnej integrity a aby sa pri posudzovaní ich spôsobilosti zohľadňovali aj závažné skutočnosti z predchádzajúcej trestnej činnosti. Takisto sa vymedzuje sa dôveryhodná osoba prostredníctvom kritérií, ktoré zohľadňujú predchádzajúce pôsobenie fyzickej osoby v regulovaných subjektoch, jej účasť na ich riadení alebo kontrole, právoplatne uložené správne sankcie a celkovú spoľahlivosť a poctivosť pri výkone funkcií alebo podnikateľskej činnosti.</w:t>
      </w:r>
    </w:p>
    <w:p w14:paraId="337C9D76"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písmenu q)</w:t>
      </w:r>
    </w:p>
    <w:p w14:paraId="4EB175D5"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Vymedzuje sa spriaznená osoba prostredníctvom ustanovených personálnych, majetkových alebo iných relevantných väzieb na osobu právoplatne odsúdenú za vybrané trestné činy. Definícia zahŕňa osoby pôsobiace alebo v minulosti pôsobiace vo vrcholovom manažmente </w:t>
      </w:r>
      <w:r w:rsidRPr="00146994">
        <w:rPr>
          <w:rFonts w:ascii="Times New Roman" w:hAnsi="Times New Roman"/>
          <w:sz w:val="24"/>
          <w:szCs w:val="24"/>
          <w:lang w:eastAsia="sk-SK"/>
        </w:rPr>
        <w:lastRenderedPageBreak/>
        <w:t>odsúdenej osoby, osoby s priamou alebo nepriamou majetkovou účasťou, ako aj osoby, ktoré sú alebo boli s odsúdenou osobou majetkovo prepojené a v dôsledku tohto prepojenia získali majetkový prospech. Za spriaznenú osobu sa považuje aj osoba konajúca alebo v minulosti konajúca podľa pokynov alebo v prospech právoplatne odsúdenej osoby, ak sú splnené podmienky ustanovené zákonom. Účelom definície je umožniť identifikáciu relevantných personálnych a majetkových väzieb, ktoré môžu byť významné pri posudzovaní rizík súvisiacich s riadením, vlastníctvom alebo kontrolou povinných osôb.</w:t>
      </w:r>
    </w:p>
    <w:p w14:paraId="09024E8A"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písmenu r)</w:t>
      </w:r>
    </w:p>
    <w:p w14:paraId="388BB5A9"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Vymedzuje sa finančná informácia ako informácia alebo údaj, ktorý má Finančná spravodajská jednotka k dispozícii na účely </w:t>
      </w:r>
      <w:r w:rsidRPr="00146994">
        <w:rPr>
          <w:rFonts w:ascii="Times New Roman" w:hAnsi="Times New Roman"/>
          <w:sz w:val="24"/>
          <w:szCs w:val="24"/>
        </w:rPr>
        <w:t>AML/CFT/CPF</w:t>
      </w:r>
      <w:r w:rsidRPr="00146994">
        <w:rPr>
          <w:rFonts w:ascii="Times New Roman" w:hAnsi="Times New Roman"/>
          <w:sz w:val="24"/>
          <w:szCs w:val="24"/>
          <w:lang w:eastAsia="sk-SK"/>
        </w:rPr>
        <w:t>. Definícia zahŕňa najmä údaje o finančných aktívach, pohyboch finančných prostriedkov a obchodných vzťahoch. Účelom je vytvoriť jednotný terminologický základ na získavanie, spracúvanie, analýzu a poskytovanie finančných informácií v rozsahu ustanovenom zákonom. Samotná definícia finančnej informácie nezakladá nové oprávnenie na prístup k údajom; rozsah takýchto oprávnení upravujú príslušné ustanovenia zákona.</w:t>
      </w:r>
    </w:p>
    <w:p w14:paraId="62C4F0B4"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písmenu s)</w:t>
      </w:r>
    </w:p>
    <w:p w14:paraId="38532134"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Vymedzuje sa zahraničná finančná spravodajská jednotka ako orgán iného štátu vykonávajúci úlohy obdobné úlohám Finančnej spravodajskej jednotky, bez ohľadu na jeho organizačné začlenenie. Definícia zohľadňuje rozdielne organizačné modely finančných spravodajských jednotiek v jednotlivých štátoch a zabezpečuje, aby ich vzájomná spolupráca nebola podmienená totožným právnym alebo organizačným postavením.</w:t>
      </w:r>
    </w:p>
    <w:p w14:paraId="682D8C5F" w14:textId="77777777" w:rsidR="00146994" w:rsidRPr="00146994" w:rsidRDefault="00146994" w:rsidP="00146994">
      <w:pPr>
        <w:spacing w:after="120" w:line="276" w:lineRule="auto"/>
        <w:jc w:val="both"/>
        <w:outlineLvl w:val="3"/>
        <w:rPr>
          <w:rFonts w:ascii="Times New Roman" w:hAnsi="Times New Roman"/>
          <w:bCs/>
          <w:sz w:val="24"/>
          <w:szCs w:val="24"/>
          <w:lang w:eastAsia="sk-SK"/>
        </w:rPr>
      </w:pPr>
      <w:r w:rsidRPr="00146994">
        <w:rPr>
          <w:rFonts w:ascii="Times New Roman" w:hAnsi="Times New Roman"/>
          <w:bCs/>
          <w:sz w:val="24"/>
          <w:szCs w:val="24"/>
          <w:lang w:eastAsia="sk-SK"/>
        </w:rPr>
        <w:t>K písmenám t) a u)</w:t>
      </w:r>
    </w:p>
    <w:p w14:paraId="366F1977"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Rozlišujú sa finančné spravodajské jednotky členských štátov a finančné spravodajské jednotky tretích krajín. Toto rozlíšenie má význam pri uplatňovaní pravidiel cezhraničnej spolupráce a výmeny informácií, najmä vzhľadom na osobitný právny rámec spolupráce medzi finančnými spravodajskými jednotkami členských štátov </w:t>
      </w:r>
      <w:proofErr w:type="spellStart"/>
      <w:r w:rsidRPr="00146994">
        <w:rPr>
          <w:rFonts w:ascii="Times New Roman" w:hAnsi="Times New Roman"/>
          <w:sz w:val="24"/>
          <w:szCs w:val="24"/>
          <w:lang w:eastAsia="sk-SK"/>
        </w:rPr>
        <w:t>Unie</w:t>
      </w:r>
      <w:proofErr w:type="spellEnd"/>
      <w:r w:rsidRPr="00146994">
        <w:rPr>
          <w:rFonts w:ascii="Times New Roman" w:hAnsi="Times New Roman"/>
          <w:sz w:val="24"/>
          <w:szCs w:val="24"/>
          <w:lang w:eastAsia="sk-SK"/>
        </w:rPr>
        <w:t xml:space="preserve"> a podmienky spolupráce s orgánmi tretích krajín.</w:t>
      </w:r>
    </w:p>
    <w:p w14:paraId="5F30B4DC"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3:</w:t>
      </w:r>
    </w:p>
    <w:p w14:paraId="6A97327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Povinnosť registrácie v informačnom systéme </w:t>
      </w:r>
      <w:r w:rsidRPr="00146994">
        <w:rPr>
          <w:rFonts w:ascii="Times New Roman" w:hAnsi="Times New Roman"/>
          <w:sz w:val="24"/>
          <w:szCs w:val="24"/>
          <w:lang w:eastAsia="sk-SK"/>
        </w:rPr>
        <w:t xml:space="preserve">Ministerstva vnútra Slovenskej republiky (ďalej len „ministerstvo vnútra“) </w:t>
      </w:r>
      <w:r w:rsidRPr="00146994">
        <w:rPr>
          <w:rFonts w:ascii="Times New Roman" w:hAnsi="Times New Roman"/>
          <w:sz w:val="24"/>
          <w:szCs w:val="24"/>
        </w:rPr>
        <w:t xml:space="preserve">určenom na prijímanie a analýzu hlásení vyplýva zo zavedenia systému </w:t>
      </w:r>
      <w:proofErr w:type="spellStart"/>
      <w:r w:rsidRPr="00146994">
        <w:rPr>
          <w:rFonts w:ascii="Times New Roman" w:hAnsi="Times New Roman"/>
          <w:sz w:val="24"/>
          <w:szCs w:val="24"/>
        </w:rPr>
        <w:t>GoAML</w:t>
      </w:r>
      <w:proofErr w:type="spellEnd"/>
      <w:r w:rsidRPr="00146994">
        <w:rPr>
          <w:rFonts w:ascii="Times New Roman" w:hAnsi="Times New Roman"/>
          <w:sz w:val="24"/>
          <w:szCs w:val="24"/>
        </w:rPr>
        <w:t>, ktorý ako jediný systém využíva FSJ na prijímanie a evidenciu hlásení zaslaných od povinných osôb. V zmysle § 15 návrhu zákona, povinné osoby zasielajú hlásenia výhradne prostredníctvom tohto systému. Povinnosť registrácie zároveň prináša pre povinné osoby viaceré výhody, nakoľko umožňuje účinne a efektívne komunikovať s FSJ.</w:t>
      </w:r>
    </w:p>
    <w:p w14:paraId="4577D13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Povinnosť efektívnej komunikácie s povinnými subjektmi vyplýva pre FSJ aj z odporúčania FATF č. 26 a 28, ktoré v rámci rizikovo orientovaného dohľadu vo vzťahu k povinným osobám požaduje, aby orgány vykonávajúce dohľad mali účinné mechanizmy a postupy umožňujúce efektívny spôsob komunikácie s povinnými subjektmi. Zo strany FSJ sa požaduje, aby rýchlym a efektívnym spôsobom dokázala informovať povinné subjekty o nových rizikách v AML/CTF oblasti, o nových zákonných požiadavkách kladených na povinné osoby, atď. </w:t>
      </w:r>
    </w:p>
    <w:p w14:paraId="20A186C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 xml:space="preserve">Systém </w:t>
      </w:r>
      <w:proofErr w:type="spellStart"/>
      <w:r w:rsidRPr="00146994">
        <w:rPr>
          <w:rFonts w:ascii="Times New Roman" w:hAnsi="Times New Roman"/>
          <w:sz w:val="24"/>
          <w:szCs w:val="24"/>
        </w:rPr>
        <w:t>GoAML</w:t>
      </w:r>
      <w:proofErr w:type="spellEnd"/>
      <w:r w:rsidRPr="00146994">
        <w:rPr>
          <w:rFonts w:ascii="Times New Roman" w:hAnsi="Times New Roman"/>
          <w:sz w:val="24"/>
          <w:szCs w:val="24"/>
        </w:rPr>
        <w:t xml:space="preserve"> takúto požiadavku spĺňa, je však potrebné, aby povinné osoby boli v systéme registrované. Následne budú môcť povinné osoby prijímať zo strany FSJ nové informácie, trendy v AML/CFT oblasti, čo im zároveň umožní lepšie si plniť povinnosti vyplývajúce im zo zákona v tejto oblasti.</w:t>
      </w:r>
    </w:p>
    <w:p w14:paraId="6FBCD77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Ustanovená lehota 30 dní sa považuje za primeranú, keďže poskytuje povinným osobám dostatočný časový priestor na splnenie registračnej povinnosti vrátane oboznámenia sa s technickými a organizačnými požiadavkami informačného systému. Súčasne táto lehota zohľadňuje potrebu, aby registrácia prebehla bez zbytočného odkladu po vzniku postavenia povinnej osoby.</w:t>
      </w:r>
    </w:p>
    <w:p w14:paraId="3AA3A3A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tejto súvislosti je tiež potrebné uviesť, že sa nejedná o novú povinnosť, nakoľko povinnosť registrácie v systéme </w:t>
      </w:r>
      <w:proofErr w:type="spellStart"/>
      <w:r w:rsidRPr="00146994">
        <w:rPr>
          <w:rFonts w:ascii="Times New Roman" w:hAnsi="Times New Roman"/>
          <w:sz w:val="24"/>
          <w:szCs w:val="24"/>
        </w:rPr>
        <w:t>GoAML</w:t>
      </w:r>
      <w:proofErr w:type="spellEnd"/>
      <w:r w:rsidRPr="00146994">
        <w:rPr>
          <w:rFonts w:ascii="Times New Roman" w:hAnsi="Times New Roman"/>
          <w:sz w:val="24"/>
          <w:szCs w:val="24"/>
        </w:rPr>
        <w:t xml:space="preserve"> vyplýva pre povinné osoby aj so súčasného AML zákona.</w:t>
      </w:r>
    </w:p>
    <w:p w14:paraId="32CA6EBA"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4:</w:t>
      </w:r>
    </w:p>
    <w:p w14:paraId="1B06915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transponuje článok 6 smernice (EÚ) 2024/1640 a upravuje požiadavky na bezúhonnosť, dôveryhodnosť a v určených prípadoch aj odbornú spôsobilosť konečných užívateľov výhod a členov vrcholového manažmentu vybraných povinných osôb, ako aj mechanizmy ich priebežného overovania a opatrenia uplatniteľné pri strate požadovaných predpokladov. Ustanovenie nesmeruje k stanoveniu ďalších všeobecných podmienok činnosti povinných osôb, ale upravuje osobitné požiadavky na osoby, ktoré majú rozhodujúci vlastnícky alebo riadiaci vplyv na ich činnosť. Cieľom je zabezpečiť, aby takéto osoby spĺňali základné osobnostné, právne a v prípade vrcholového manažmentu aj odborné predpoklady potrebné na dôveryhodné pôsobenie povinnej osoby v systéme AML/CFT a aby povinné osoby neboli ovládané alebo riadené osobami predstavujúcimi neprijateľné riziko ich zneužitia na legalizáciu alebo financovanie terorizmu. Osobitný význam má úprava vo vzťahu ku konečným užívateľom výhod, keďže tí môžu prostredníctvom priameho alebo nepriameho vlastníctva alebo kontroly vykonávať rozhodujúci vplyv na činnosť povinnej osoby bez toho, aby boli formálne členmi jej riadiacich orgánov. </w:t>
      </w:r>
    </w:p>
    <w:p w14:paraId="660374A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transponuje článok 6 ods. 2 smernice (EÚ) 2024/1640 a ustanovuje základné osobnostné predpoklady konečného užívateľa výhod a člena vrcholového manažmentu povinných osôb uvedených v čl. 3 bod 3 písm. a), b), d), e), f) a i) až  o) nariadenia (EU) č. 2024/1624, </w:t>
      </w:r>
      <w:proofErr w:type="spellStart"/>
      <w:r w:rsidRPr="00146994">
        <w:rPr>
          <w:rFonts w:ascii="Times New Roman" w:hAnsi="Times New Roman"/>
          <w:sz w:val="24"/>
          <w:szCs w:val="24"/>
        </w:rPr>
        <w:t>t.j</w:t>
      </w:r>
      <w:proofErr w:type="spellEnd"/>
      <w:r w:rsidRPr="00146994">
        <w:rPr>
          <w:rFonts w:ascii="Times New Roman" w:hAnsi="Times New Roman"/>
          <w:sz w:val="24"/>
          <w:szCs w:val="24"/>
        </w:rPr>
        <w:t>. povinné osoby uvedené v § 2 písm. d) bod 1 až 4,  až 8, 10 až 15, 18 a 19 návrhu zákona. Konečným užívateľom výhod ani členom vrcholového manažmentu takejto povinnej osoby nemôže byť osoba, ktorá nie je bezúhonná alebo ktorá je spriaznenou osobou osoby právoplatne odsúdenej za trestný čin legalizácie výnosu z trestnej činnosti, súvisiaci predikatívny trestný čin alebo trestný čin financovania terorizmu (§ 2 písm. q) návrhu zákona). Ustanovenie sleduje požiadavku smernice zabrániť tomu, aby osoby odsúdené za uvedené trestné činy zastávali funkcie vo vrcholovom manažmente alebo boli konečnými užívateľmi výhod vybraných povinných osôb. Okruh dotknutých povinných osôb je vymedzený odkazom na príslušné ustanovenia nariadenia (EÚ) 2024/1624, čím sa zabezpečuje priama väzba vnútroštátnej úpravy na rozsah povinných subjektov stanovený právom Európskej únie.</w:t>
      </w:r>
    </w:p>
    <w:p w14:paraId="2D9FED2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transponuje článok 6 ods. 1 smernice (EÚ) 2024/1640 a ustanovuje zvýšené požiadavky na konečných užívateľov výhod a členov vrcholového manažmentu poskytovateľa </w:t>
      </w:r>
      <w:r w:rsidRPr="00146994">
        <w:rPr>
          <w:rFonts w:ascii="Times New Roman" w:hAnsi="Times New Roman"/>
          <w:sz w:val="24"/>
          <w:szCs w:val="24"/>
        </w:rPr>
        <w:lastRenderedPageBreak/>
        <w:t>služieb správy majetku alebo služieb pre obchodné spoločnosti alebo zahraničný zverenecký fond, prevádzkovateľa hazardnej hry a miesta na vyplatenie šekov. Pri týchto povinných osobách musí byť konečný užívateľ výhod aj člen vrcholového manažmentu bezúhonný a dôveryhodný. Funkciu člena vrcholového manažmentu môže zároveň vykonávať iba osoba, ktorá má odbornú spôsobilosť zodpovedajúcu jej funkcii a predmetu činnosti povinnej osoby. Ide o vyšší štandard osobnej vhodnosti ako podľa odseku 1. Jeho účelom je zabezpečiť, aby podnikanie v osobitne vymedzených oblastiach nebolo vlastnícky ovládané alebo riadené osobami, ktorých osobné vlastnosti, predchádzajúce konanie alebo nedostatočná odborná pripravenosť môžu ohroziť riadne plnenie AML/CFT povinností. Odborná spôsobilosť sa vyžaduje iba vo vzťahu k členovi vrcholového manažmentu, nie vo vzťahu ku konečnému užívateľovi výhod. Rozdiel vyplýva z odlišného postavenia týchto osôb. Kým pri konečnom užívateľovi výhod je rozhodujúca jeho osobná integrita a dôveryhodnosť vzhľadom na vlastnícky alebo kontrolný vplyv, člen vrcholového manažmentu sa priamo podieľa na riadení povinnej osoby a musí byť schopný zabezpečiť riadne plnenie povinností, ktoré sa na jej činnosť vzťahujú.</w:t>
      </w:r>
    </w:p>
    <w:p w14:paraId="6B5A0F5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transponuje článok 6 ods. 3 smernice (EÚ) 2024/1640 a zavádza priebežné, rizikovo orientované overovanie splnenia požiadaviek podľa odsekov 1 a 2. Orgán dohľadu overuje, či sú ustanovené podmienky naďalej splnené, pričom rozsah a intenzitu overovania prispôsobuje miere rizika legalizácie a financovania terorizmu konkrétnej povinnej osoby. Splnenie podmienok sa preveruje predovšetkým v prípade zvýšeného rizika alebo ak existuje dôvodné podozrenie, že dochádza, došlo alebo môže dôjsť k legalizácii alebo financovaniu terorizmu. Kontrola osobnej vhodnosti tak nemá charakter výlučne jednorazového preverenia pri vzniku funkcie alebo nadobudnutí vlastníckeho postavenia. Ide o priebežnú požiadavku, ktorej splnenie musí byť zachované počas celého obdobia, v ktorom osoba vykonáva príslušnú funkciu alebo má postavenie konečného užívateľa výhod. Rizikovo orientovaný charakter overovania zároveň umožňuje orgánom dohľadu primerane sústrediť </w:t>
      </w:r>
      <w:proofErr w:type="spellStart"/>
      <w:r w:rsidRPr="00146994">
        <w:rPr>
          <w:rFonts w:ascii="Times New Roman" w:hAnsi="Times New Roman"/>
          <w:sz w:val="24"/>
          <w:szCs w:val="24"/>
        </w:rPr>
        <w:t>dohľadové</w:t>
      </w:r>
      <w:proofErr w:type="spellEnd"/>
      <w:r w:rsidRPr="00146994">
        <w:rPr>
          <w:rFonts w:ascii="Times New Roman" w:hAnsi="Times New Roman"/>
          <w:sz w:val="24"/>
          <w:szCs w:val="24"/>
        </w:rPr>
        <w:t xml:space="preserve"> kapacity na povinné osoby a situácie vykazujúce vyššiu mieru rizika a zabraňuje tomu, aby sa overovanie vykonávalo mechanicky v rovnakom rozsahu vo vzťahu ku všetkým povinným osobám.</w:t>
      </w:r>
    </w:p>
    <w:p w14:paraId="790B677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4 upravuje informačné a preverovacie oprávnenia potrebné na praktické vykonávanie dohľadu podľa odseku 3. Povinná osoba je na žiadosť orgánu dohľadu povinná predložiť všetky doklady a informácie potrebné na preukázanie splnenia ustanovených podmienok. Orgán dohľadu zároveň preverí povinnú osobu v centrálnej databáze v oblasti ochrany pred legalizáciou a financovaním terorizmu vedenej podľa nariadenia (EÚ) 2024/1620. Ustanovenie zabezpečuje praktickú vykonateľnosť kontroly osobnej vhodnosti. Orgán dohľadu musí disponovať dostatočnými informáciami na to, aby mohol posúdiť, či konečný užívateľ výhod alebo člen vrcholového manažmentu zákonom ustanovené požiadavky naďalej spĺňa.</w:t>
      </w:r>
    </w:p>
    <w:p w14:paraId="458CA7E1" w14:textId="37807C30"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5 upravuje postup pri dodatočnej strate bezúhonnosti, dôveryhodnosti alebo odbornej spôsobilosti konečného užívateľa výhod alebo člena vrcholového manažmentu. Ak niektorá z uvedených osôb prestane spĺňať požiadavky podľa odsekov 1 alebo 2, primárna zodpovednosť za odstránenie protiprávneho stavu spočíva na povinnej osobe. Povinná osoba je povinná nedostatok bezodkladne odstrániť. Až ak sa jej napriek prijatým opatreniam nepodarí zabezpečiť nápravu, je povinná informovať orgán dohľadu do 30 kalendárnych dní odo dňa straty príslušn</w:t>
      </w:r>
      <w:r w:rsidR="00022808">
        <w:rPr>
          <w:rFonts w:ascii="Times New Roman" w:hAnsi="Times New Roman"/>
          <w:sz w:val="24"/>
          <w:szCs w:val="24"/>
        </w:rPr>
        <w:t>ej podmienky</w:t>
      </w:r>
      <w:r w:rsidRPr="00146994">
        <w:rPr>
          <w:rFonts w:ascii="Times New Roman" w:hAnsi="Times New Roman"/>
          <w:sz w:val="24"/>
          <w:szCs w:val="24"/>
        </w:rPr>
        <w:t xml:space="preserve">. Náprava môže podľa okolností spočívať najmä v zmene </w:t>
      </w:r>
      <w:r w:rsidRPr="00146994">
        <w:rPr>
          <w:rFonts w:ascii="Times New Roman" w:hAnsi="Times New Roman"/>
          <w:sz w:val="24"/>
          <w:szCs w:val="24"/>
        </w:rPr>
        <w:lastRenderedPageBreak/>
        <w:t xml:space="preserve">personálneho obsadenia príslušnej funkcie, odstránení nedostatku v odbornej spôsobilosti alebo v prijatí iného opatrenia, ktorým sa zabezpečí súlad so zákonnými požiadavkami. Oznamovacia povinnosť umožňuje orgánu dohľadu včas reagovať na situáciu, ktorú povinná osoba nedokázala odstrániť vlastnými opatreniami, a podľa okolností využiť nápravné právomoci podľa odsekov 7 a 8. Ustanovenie tým vytvára rovnováhu medzi primárnou zodpovednosťou povinnej osoby za vlastnú vlastnícku a riadiacu štruktúru a </w:t>
      </w:r>
      <w:proofErr w:type="spellStart"/>
      <w:r w:rsidRPr="00146994">
        <w:rPr>
          <w:rFonts w:ascii="Times New Roman" w:hAnsi="Times New Roman"/>
          <w:sz w:val="24"/>
          <w:szCs w:val="24"/>
        </w:rPr>
        <w:t>dohľadovou</w:t>
      </w:r>
      <w:proofErr w:type="spellEnd"/>
      <w:r w:rsidRPr="00146994">
        <w:rPr>
          <w:rFonts w:ascii="Times New Roman" w:hAnsi="Times New Roman"/>
          <w:sz w:val="24"/>
          <w:szCs w:val="24"/>
        </w:rPr>
        <w:t xml:space="preserve"> právomocou štátu. </w:t>
      </w:r>
    </w:p>
    <w:p w14:paraId="40113B6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6 ustanovuje primerané použitie odsekov 1 až 5 aj na osobu zabezpečujúcu plnenie úloh pri ochrane pred legalizáciou a financovaním terorizmu podľa článku 11 ods. 2 nariadenia (EÚ) 2024/1624, označenú na účely zákona ako „určená osoba“. Dôvodom je významné postavenie určenej osoby vo vnútornom systéme AML/CFT povinnej osoby. Vzhľadom na povahu jej úloh je potrebné zabezpečiť, aby aj táto osoba spĺňala zodpovedajúce požiadavky osobnej integrity a odbornej spôsobilosti a aby splnenie týchto podmienok mohlo byť predmetom priebežného dohľadu.</w:t>
      </w:r>
    </w:p>
    <w:p w14:paraId="701FCD8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7 transponuje najmä článok 6 ods. 4 smernice (EÚ) 2024/1640 a upravuje nápravné právomoci orgánu dohľadu voči členovi vrcholového manažmentu alebo určenej osobe, ktorá nespĺňa požiadavky na bezúhonnosť, dôveryhodnosť alebo odbornú spôsobilosť. Orgán dohľadu môže povinnej osobe uložiť povinnosť takúto osobu odvolať alebo dočasne pozastaviť výkon jej funkcie až do obnovenia splnenia zákonom ustanovených podmienok. Ustanovenie zabezpečuje, aby požiadavky na osobnú vhodnosť neboli iba deklaratórne, ale aby orgán dohľadu disponoval účinným nástrojom na odstránenie nevyhovujúceho stavu. Rozlišuje sa pritom medzi odvolaním osoby a dočasným pozastavením výkonu funkcie. Dočasné pozastavenie možno uplatniť najmä v prípadoch, keď je nedostatok odstrániteľný a možno dôvodne predpokladať, že osoba bude následne schopná opätovne splniť zákonom ustanovené podmienky. Takým prípadom môže byť predovšetkým odstrániteľný nedostatok odbornej spôsobilosti. Účelom opatrenia nie je primárne sankcionovať povinnú osobu, ale odstrániť stav, pri ktorom významnú funkciu vykonáva osoba nespĺňajúca zákonné požiadavky, a tým znížiť riziko zneužitia povinnej osoby alebo zlyhania jej vnútorného AML/CFT systému.</w:t>
      </w:r>
    </w:p>
    <w:p w14:paraId="0F1BC2D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8 transponuje článok 6 ods. 5 smernice (EÚ) 2024/1640 a upravuje osobitné opatrenia voči konečnému užívateľovi výhod, ktorý nespĺňa požiadavku bezúhonnosti. Orgán dohľadu najskôr vyzve konečného užívateľa výhod, aby v lehote 120 kalendárnych dní zabezpečil prevod alebo odpredaj svojho podielu. Ak konečný užívateľ výhod túto povinnosť nesplní, orgán dohľadu môže rozhodnutím obmedziť výkon práv spojených s jeho vlastníckym postavením, najmä zakázať výkon hlasovacích práv, odobrať právo na podiel na zisku a iných vlastných zdrojoch alebo nariadiť povinnej osobe, aby mu neposkytovala finančné plnenie. Smernica vyžaduje, aby orgány dohľadu mali právomoc oddeliť osoby odsúdené za legalizáciu, súvisiace predikatívne trestné činy alebo financovanie terorizmu, ktoré sú konečnými užívateľmi výhod dotknutých povinných subjektov, od týchto subjektov, a výslovne uvádza možnosť požadovať odpredaj ich podielu. Navrhovaná úprava tento požadovaný výsledok konkretizuje prostredníctvom postupnej sústavy opatrení. Primárnym riešením je dobrovoľný prevod alebo odpredaj podielu v určenej lehote. Až pri nesplnení tejto povinnosti môže orgán dohľadu pristúpiť k obmedzeniu práv spojených s podielom. Takýto postup rešpektuje zásadu proporcionality, keďže do vlastníckych a majetkových práv konečného užívateľa výhod sa zasahuje v rozsahu potrebnom na to, aby osoba nespĺňajúca zákonné požiadavky nemohla </w:t>
      </w:r>
      <w:r w:rsidRPr="00146994">
        <w:rPr>
          <w:rFonts w:ascii="Times New Roman" w:hAnsi="Times New Roman"/>
          <w:sz w:val="24"/>
          <w:szCs w:val="24"/>
        </w:rPr>
        <w:lastRenderedPageBreak/>
        <w:t>prostredníctvom vlastníckeho podielu vykonávať rozhodujúci vplyv na povinnú osobu ani z tohto postavenia ekonomicky profitovať.</w:t>
      </w:r>
    </w:p>
    <w:p w14:paraId="370E0753"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5:</w:t>
      </w:r>
    </w:p>
    <w:p w14:paraId="303BB97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upravuje spôsob preukazovania bezúhonnosti fyzických a právnických osôb na účely plnenia povinností podľa tohto zákona. Základným prostriedkom preukazovania bezúhonnosti je špecializovaný výpis z registra trestov, pričom sa súčasne ustanovuje povinnosť povinnej osoby poskytnúť orgánu dohľadu údaje potrebné na jeho vyžiadanie podľa osobitného predpisu. Ustanovenie reflektuje potrebu centralizovaného a spoľahlivého overovania bezúhonnosti prostredníctvom príslušných orgánov verejnej moci.</w:t>
      </w:r>
    </w:p>
    <w:p w14:paraId="7E47F56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S cieľom zabezpečiť komplexné posúdenie bezúhonnosti sa zavádza aj povinnosť predkladať doklady obdobné výpisu z registra trestov vydané cudzími štátmi, v ktorých sa dotknutá osoba zdržiavala, má štátnu príslušnosť alebo v ktorých právnická osoba pôsobila. Ustanovenie tým zohľadňuje cezhraničný charakter činností povinných osôb a potrebu preverovania ich minulosti aj mimo územia Slovenskej republiky. Zároveň sa umožňuje nahradiť tieto doklady čestným vyhlásením v prípadoch, keď príslušný štát takéto doklady nevydáva, čím sa zachováva primeranosť požiadaviek.</w:t>
      </w:r>
    </w:p>
    <w:p w14:paraId="299E806F"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Navrhovaná právna úprava ďalej ustanovuje časovú aktuálnosť predkladaných dokladov a požiadavku úradne osvedčeného prekladu do slovenského jazyka, čím sa zabezpečuje ich relevantnosť a použiteľnosť na účely výkonu dohľadu. Upravuje sa aj postup orgánov dohľadu pri elektronickom zasielaní údajov Generálnej prokuratúre Slovenskej republiky na účely vydania špecializovaného výpisu z registra trestov.</w:t>
      </w:r>
    </w:p>
    <w:p w14:paraId="40B1DA4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Cieľom ustanovenia je vytvoriť jednotný, transparentný a efektívny mechanizmus overovania bezúhonnosti, ktorý prispeje k posilneniu dôveryhodnosti subjektov pôsobiacich v regulovanom prostredí a k účinnejšej prevencii legalizácie výnosov z trestnej činnosti a financovania terorizmu.</w:t>
      </w:r>
    </w:p>
    <w:p w14:paraId="02106364"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6:</w:t>
      </w:r>
    </w:p>
    <w:p w14:paraId="49C1954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upravuje postavenie určenej osoby ako osoby zabezpečujúcej kontakt povinnej osoby s Finančnou spravodajskou jednotkou. Ustanovenie nadväzuje najmä na článok 11 ods. 2 a článok 69 ods. 6 nariadenia (EÚ) 2024/1624, ktoré upravujú postavenie pracovníka na dodržiavanie predpisov (</w:t>
      </w:r>
      <w:proofErr w:type="spellStart"/>
      <w:r w:rsidRPr="00146994">
        <w:rPr>
          <w:rFonts w:ascii="Times New Roman" w:hAnsi="Times New Roman"/>
          <w:sz w:val="24"/>
          <w:szCs w:val="24"/>
        </w:rPr>
        <w:t>compliance</w:t>
      </w:r>
      <w:proofErr w:type="spellEnd"/>
      <w:r w:rsidRPr="00146994">
        <w:rPr>
          <w:rFonts w:ascii="Times New Roman" w:hAnsi="Times New Roman"/>
          <w:sz w:val="24"/>
          <w:szCs w:val="24"/>
        </w:rPr>
        <w:t xml:space="preserve"> </w:t>
      </w:r>
      <w:proofErr w:type="spellStart"/>
      <w:r w:rsidRPr="00146994">
        <w:rPr>
          <w:rFonts w:ascii="Times New Roman" w:hAnsi="Times New Roman"/>
          <w:sz w:val="24"/>
          <w:szCs w:val="24"/>
        </w:rPr>
        <w:t>officer</w:t>
      </w:r>
      <w:proofErr w:type="spellEnd"/>
      <w:r w:rsidRPr="00146994">
        <w:rPr>
          <w:rFonts w:ascii="Times New Roman" w:hAnsi="Times New Roman"/>
          <w:sz w:val="24"/>
          <w:szCs w:val="24"/>
        </w:rPr>
        <w:t>) a jeho zodpovednosť za každodenné plnenie AML/CFT povinností a podávanie hlásení FSJ. Podľa článku 11 ods. 2 nariadenia (EÚ) 2024/1624 musí mať pracovník na dodržiavanie predpisov dostatočne vysoké hierarchické postavenie a zodpovedá za politiky, postupy a kontroly pri každodennom plnení AML/CFT požiadaviek povinnej osoby vrátane povinností súvisiacich s vykonávaním cielených finančných sankcií. Súčasne plní funkciu kontaktného miesta pre príslušné orgány. Účelom navrhovaného ustanovenia je vytvoriť na vnútroštátnej úrovni funkčný komunikačný mechanizmus medzi povinnou osobou a FSJ tak, aby bola FSJ v rozhodnom čase dostupná osoba, ktorá pozná AML/CFT procesy povinnej osoby, má prístup k potrebným informáciám a je schopná bez zbytočného odkladu zabezpečiť požadovanú súčinnosť</w:t>
      </w:r>
    </w:p>
    <w:p w14:paraId="22885CC6" w14:textId="1DDEA10B"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ustanovuje povinnosť určenej osoby zabezpečovať priebežný kontakt povinnej osoby s FSJ najmenej počas prevádzkovej doby povinnej osoby. Ustanovenie vnútroštátne </w:t>
      </w:r>
      <w:r w:rsidRPr="00146994">
        <w:rPr>
          <w:rFonts w:ascii="Times New Roman" w:hAnsi="Times New Roman"/>
          <w:sz w:val="24"/>
          <w:szCs w:val="24"/>
        </w:rPr>
        <w:lastRenderedPageBreak/>
        <w:t>konkretizuje funkciu kontaktného miesta pre príslušné orgány, ktorú pracovníkovi na dodržiavanie predpisov priznáva článok 11 ods. 2 nariadenia (EÚ) 2024/1624. Požiadavka priebežného kontaktu znamená, že určená osoba musí byť v čase relevantnom pre činnosť povinnej osoby reálne dostupná a schopná operatívne komunikovať s FSJ. Nestačí preto iba formálne určenie osoby bez vytvorenia podmienok umožňujúcich jej vykonávať túto funkciu. Určená osoba má mať v rámci povinnej osoby také postavenie, prístup k informáciám a interné oprávnenia, aby mohla bez neprimeraného časového oneskorenia reagovať na požiadavky FSJ, zabezpečiť potrebné podklady a koordinovať plnenie AML/CFT povinností. Cieľom požiadavky dostupnosti najmenej počas prevádzkovej doby je zabezpečiť funkčnosť tohto mechanizmu najmä v čase, keď povinná osoba vykonáva svoju podnikateľskú alebo inú činnosť a môže dochádzať k transakciám alebo iným skutočnostiam relevantným z pohľadu legalizácie alebo financovania terorizmu. Ustanovenie má preto nielen organizačný, ale aj praktický preventívny význam. Umožňuje FSJ komunikovať priamo s osobou, ktorá je zodpovedná za každodenné plnenie AML/CFT požiadaviek a ktorá môže zabezpečiť okamžitú reakciu povinnej osoby.</w:t>
      </w:r>
    </w:p>
    <w:p w14:paraId="645BE73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ustanovuje povinnosť povinnej osoby oznámiť FSJ údaje o určenej osobe prostredníctvom informačného systému ministerstva vnútra určeného na prijímanie a analýzu hlásení (tzv. systém „GO AML“). Oznamovacia povinnosť vytvára podmienky na to, aby FSJ vedela jednoznačne identifikovať osobu zodpovednú za komunikáciu s konkrétnou povinnou osobou a mala k dispozícii jej aktuálne kontaktné údaje. Rozsah údajov sleduje účel jednoznačnej identifikácie určenej osoby a zabezpečenia efektívneho komunikačného spojenia medzi povinnou osobou a FSJ. Ustanovenie zároveň určuje 15-dňovú lehotu na splnenie oznamovacej povinnosti odo dňa vzniku oprávnenia určenej osoby vykonávať túto činnosť. Jej účelom je vytvoriť jednoznačný okamih, dokedy musí byť FSJ o určenej osobe informovaná, a predchádzať stavu, keď povinná osoba síce určenú osobu ustanovila, ale FSJ nemá k dispozícii jej aktuálne identifikačné a kontaktné údaje. </w:t>
      </w:r>
    </w:p>
    <w:p w14:paraId="34C1967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3 ustanovuje povinnosť povinnej osoby bezodkladne oznámiť FSJ každú zmenu údajov podľa odseku 2. Účelom tejto povinnosti je zabezpečiť, aby údaje zostávali aktuálne počas celého obdobia výkonu funkcie určenej osoby. Povinnosť sa vzťahuje nielen na prípad zmeny samotnej určenej osoby, ale aj na zmenu ktoréhokoľvek z údajov významných pre jej identifikáciu alebo kontaktovanie. Bezodkladná aktualizácia údajov je nevyhnutná pre zachovanie kontinuity komunikačného mechanizmu. Neaktuálne kontaktné údaje by mohli v konkrétnom prípade spôsobiť oneskorenie pri získavaní informácií, plnení požiadaviek FSJ alebo pri riešení podozrivej transakcie.</w:t>
      </w:r>
    </w:p>
    <w:p w14:paraId="01B67EF8"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7:</w:t>
      </w:r>
    </w:p>
    <w:p w14:paraId="5131AFD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upravuje osobitný postup povinnej osoby pri vykonávaní starostlivosti vo vzťahu ku klientovi v prípadoch, keď by jej okamžité vykonanie mohlo odhaliť, že klient pripravuje alebo vykonáva podozrivú transakciu. Návrh ustanovenia je reakciou na štandardy FATF (odporúčanie č. 10 bod 10.20), podľa ktorého v prípadoch, kedy majú finančné inštitúcie podozrenie na pranie špinavých peňazí alebo financovanie terorizmu a oprávnene veria, že vykonanie procesu CDD bude pre zákazníka výstrahou, malo by im byť povolené neuskutočniť </w:t>
      </w:r>
      <w:r w:rsidRPr="00146994">
        <w:rPr>
          <w:rFonts w:ascii="Times New Roman" w:hAnsi="Times New Roman"/>
          <w:sz w:val="24"/>
          <w:szCs w:val="24"/>
        </w:rPr>
        <w:lastRenderedPageBreak/>
        <w:t>proces CDD, ale mali by byť povinné podať hlásenie (STR). Návrh zákona zároveň preberá § 10 ods. 9 súčasného AML zákona.</w:t>
      </w:r>
    </w:p>
    <w:p w14:paraId="7A34548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Účelom právnej úpravy je vyriešiť konflikt medzi dvoma legitímnymi požiadavkami AML/CFT systému. Na jednej strane má povinná osoba vykonávať zákonom a nariadením požadovanú starostlivosť vo vzťahu ku klientovi, na druhej strane však samotné vykonávanie niektorých opatrení starostlivosti môže za určitých okolností upozorniť klienta na prebiehajúce preverovanie. Takáto situácia môže vzniknúť napríklad vtedy, ak by povinná osoba začala od klienta neobvykle vyžadovať dodatočné dokumenty, vysvetlenia, informácie o zdroji finančných prostriedkov alebo vykonala iný úkon, ktorý sa odlišuje od dovtedajšieho priebehu obchodného vzťahu. Klient by z takejto zmeny postupu mohol odvodiť existenciu podozrenia a následne zmeniť svoje konanie, presunúť finančné prostriedky, zatajiť majetok alebo inak sťažiť ďalšie zisťovanie. Povinná osoba môže odložiť aj jednotlivú časť starostlivosti v prípade, ak sledovaný účel možno dosiahnuť odložením iba konkrétneho opatrenia. V takom prípade nie je potrebné odkladať vykonanie všetkých ostatných opatrení starostlivosti vo vzťahu ku klientovi. Po pominutí dôvodov na odloženie vykonania starostlivosti sa obnovuje všeobecná povinnosť vykonať starostlivosť vo vzťahu ku klientovi v požadovanom rozsahu. </w:t>
      </w:r>
    </w:p>
    <w:p w14:paraId="449AB19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Povinná osoba je zároveň povinná podať hlásenie o podozrivej transakcii, v ktorom uvedie aj okolnosti a dôvody nevykonania starostlivosti v rozsahu, ktorý umožňuje posúdenie vhodnosti tohto postupu a rozsah starostlivosti, ktorý nevykonala. Takéto riešenie zabezpečuje kontrolovateľnosť použitia výnimky a umožňuje FSJ posúdiť, či bol postup povinnej osoby opodstatnený.</w:t>
      </w:r>
    </w:p>
    <w:p w14:paraId="7D9B5700"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8:</w:t>
      </w:r>
    </w:p>
    <w:p w14:paraId="4B658BD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upravuje možnosť uplatnenia výnimky z plnenia niektorých povinností podľa nariadenia (EÚ) 2024/1624 a tohto zákona v prípadoch, v ktorých to umožňuje priamo uplatniteľná právna úprava Európskej únie.</w:t>
      </w:r>
    </w:p>
    <w:p w14:paraId="11B2A63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Ustanovenie nadväzuje najmä na články 4 až 6 nariadenia (EÚ) 2024/1624, ktoré umožňujú členským štátom za presne stanovených podmienok vyňať úplne alebo čiastočne z požiadaviek nariadenia určité kategórie poskytovateľov služieb v oblasti hazardných hier, profesionálne futbalové kluby a osoby vykonávajúce určité finančné činnosti príležitostne alebo vo veľmi obmedzenom rozsahu. Základným predpokladom udelenia výnimky je preukázanie nízkeho rizika legalizácie a financovania terorizmu, pričom samotná príslušnosť osoby k určitej kategórii povinných osôb nepostačuje na vznik nároku na výnimku. Výnimka môže byť uplatnená iba vtedy, ak sú splnené materiálne podmienky ustanovené nariadením (EÚ) 2024/1624 a nízke riziko je podložené výsledkami relevantného hodnotenia rizík. Výnimka však nepredstavuje všeobecné oprávnenie orgánu dohľadu odpustiť povinnej osobe plnenie povinností podľa vlastného uváženia. Rozhodnutie musí zostať v medziach prípadov, podmienok a rozsahu, ktoré pripúšťa nariadenie (EÚ) 2024/1624. Rozsah výnimky sa určuje individuálne v rozhodnutí príslušného orgánu dohľadu. Z toho vyplýva, že výnimka môže byť úplná alebo čiastočná podľa toho, aký rozsah umožňuje príslušné ustanovenie nariadenia a aký rozsah je odôvodnený výsledkami hodnotenia rizík. Povinná osoba je naďalej povinná plniť všetky povinnosti, ktoré rozhodnutím príslušného orgánu dohľadu neboli dotknuté. Takéto riešenie zodpovedá zásade proporcionality a zároveň zabraňuje tomu, aby výnimka vo vzťahu </w:t>
      </w:r>
      <w:r w:rsidRPr="00146994">
        <w:rPr>
          <w:rFonts w:ascii="Times New Roman" w:hAnsi="Times New Roman"/>
          <w:sz w:val="24"/>
          <w:szCs w:val="24"/>
        </w:rPr>
        <w:lastRenderedPageBreak/>
        <w:t xml:space="preserve">k jednej činnosti alebo jednému segmentu činnosti automaticky viedla k vyňatiu povinnej osoby aj vo vzťahu k ďalším činnostiam, pri ktorých podmienky na uplatnenie výnimky splnené nie sú. </w:t>
      </w:r>
    </w:p>
    <w:p w14:paraId="0D9FC0D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b/>
          <w:bCs/>
          <w:sz w:val="24"/>
          <w:szCs w:val="24"/>
        </w:rPr>
        <w:t xml:space="preserve">Výnimky podľa článku 4 nariadenia (EÚ) 2024/1624: </w:t>
      </w:r>
      <w:r w:rsidRPr="00146994">
        <w:rPr>
          <w:rFonts w:ascii="Times New Roman" w:hAnsi="Times New Roman"/>
          <w:sz w:val="24"/>
          <w:szCs w:val="24"/>
        </w:rPr>
        <w:t xml:space="preserve">Predmetný článok umožňuje členským štátom úplne alebo čiastočne vyňať určitých poskytovateľov služieb v oblasti hazardných hier z požiadaviek nariadenia, ak bolo preukázané nízke riziko vyplývajúce z povahy a prípadne aj rozsahu ich činnosti. Pri hodnotení rizika sa zohľadňujú najmä hrozby a zraniteľnosti súvisiace s legalizáciou a financovaním terorizmu, existujúce zmierňujúce faktory, riziká spojené s výškou transakcií a používanými platobnými metódami, ako aj geografický rozsah činnosti vrátane jej cezhraničného charakteru a dostupnosti z iných členských štátov alebo tretích krajín. Výnimku nemožno uplatniť na kasína a v zásade ani na poskytovateľov, ktorých hlavnou činnosťou je poskytovanie online hazardných hier alebo stávkových služieb, okrem osobitných prípadov výslovne ustanovených nariadením. </w:t>
      </w:r>
    </w:p>
    <w:p w14:paraId="44B67DD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b/>
          <w:bCs/>
          <w:sz w:val="24"/>
          <w:szCs w:val="24"/>
        </w:rPr>
        <w:t xml:space="preserve">Výnimky podľa článku 5 nariadenia (EÚ) 2024/1624: </w:t>
      </w:r>
      <w:r w:rsidRPr="00146994">
        <w:rPr>
          <w:rFonts w:ascii="Times New Roman" w:hAnsi="Times New Roman"/>
          <w:sz w:val="24"/>
          <w:szCs w:val="24"/>
        </w:rPr>
        <w:t>Uvedený článok umožňuje členským štátom úplne alebo čiastočne vyňať za stanovených podmienok určité profesionálne futbalové kluby. Aj v tomto prípade je rozhodujúcim predpokladom preukázané nízke riziko vyplývajúce z povahy a rozsahu ich činnosti. Pri hodnotení sa zohľadňujú najmä AML/CFT hrozby a zraniteľnosti profesionálnych futbalových klubov, existujúce zmierňujúce faktory a riziká vyplývajúce z objemu a cezhraničnej povahy transakcií. Právna úprava Únie rozlišuje kluby pôsobiace v najvyššej národnej súťaži a kluby pôsobiace v nižších súťažiach a pre jednotlivé prípady ustanovuje ďalšie podmienky, ktoré musia byť pri rozhodovaní o výnimke rešpektované.</w:t>
      </w:r>
    </w:p>
    <w:p w14:paraId="280619E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b/>
          <w:bCs/>
          <w:sz w:val="24"/>
          <w:szCs w:val="24"/>
        </w:rPr>
        <w:t xml:space="preserve">Výnimky podľa článku 6 nariadenia (EÚ) 2024/1624: </w:t>
      </w:r>
      <w:r w:rsidRPr="00146994">
        <w:rPr>
          <w:rFonts w:ascii="Times New Roman" w:hAnsi="Times New Roman"/>
          <w:sz w:val="24"/>
          <w:szCs w:val="24"/>
        </w:rPr>
        <w:t>Tento článok upravuje možnosť vyňať z požiadaviek nariadenia určité fyzické alebo právnické osoby, ktoré vykonávajú taxatívne vymedzené finančné činnosti iba príležitostne alebo vo veľmi obmedzenom rozsahu a pri ktorých existuje nízke riziko legalizácie alebo financovania terorizmu. Výnimka sa neuplatňuje na osoby vykonávajúce poukazovanie peňazí a je podmienená splnením všetkých kritérií ustanovených nariadením. Pri posudzovaní sa zohľadňuje najmä obmedzený rozsah finančnej činnosti, jej vedľajší charakter vo vzťahu k hlavnej činnosti osoby a ďalšie kvantitatívne a kvalitatívne kritériá ustanovené nariadením. Osobitná pozornosť sa musí venovať finančným činnostiam, ktoré môžu byť vzhľadom na svoju povahu osobitne náchylné na zneužitie na účely legalizácie alebo financovania terorizmu.</w:t>
      </w:r>
    </w:p>
    <w:p w14:paraId="0D1CEF1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Nariadenie pri vyššie uvedených výnimkách zároveň vyžaduje zaviesť rizikovo orientované monitorovanie alebo iné primerané opatrenia, ktorými sa zabezpečí, aby udelené výnimky neboli zneužívané. Rozhodnutie o výnimke je zároveň potrebné vnímať v kontexte mechanizmu ustanoveného nariadením (EÚ) 2024/1624 pre oznamovanie a preskúmavanie výnimiek na úrovni </w:t>
      </w:r>
      <w:proofErr w:type="spellStart"/>
      <w:r w:rsidRPr="00146994">
        <w:rPr>
          <w:rFonts w:ascii="Times New Roman" w:hAnsi="Times New Roman"/>
          <w:sz w:val="24"/>
          <w:szCs w:val="24"/>
        </w:rPr>
        <w:t>Unie</w:t>
      </w:r>
      <w:proofErr w:type="spellEnd"/>
      <w:r w:rsidRPr="00146994">
        <w:rPr>
          <w:rFonts w:ascii="Times New Roman" w:hAnsi="Times New Roman"/>
          <w:sz w:val="24"/>
          <w:szCs w:val="24"/>
        </w:rPr>
        <w:t>. Nariadenie vyžaduje, aby zamýšľaná výnimka podľa článkov 4 až 6 bola oznámená Európskej komisii spolu s odôvodnením založeným na príslušnom hodnotení rizík. Výnimka môže byť následne udelená až v súlade s postupom ustanoveným nariadením. Udelené výnimky podliehajú ďalšiemu preskúmavaniu a musia byť prehodnocované najmä v nadväznosti na zmeny rizikového prostredia a aktualizáciu národného hodnotenia rizík. Výnimku preto nemožno chápať ako trvalé a nemenné vyňatie z AML/CFT režimu.</w:t>
      </w:r>
    </w:p>
    <w:p w14:paraId="2A0C167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b/>
          <w:bCs/>
          <w:sz w:val="24"/>
          <w:szCs w:val="24"/>
        </w:rPr>
        <w:lastRenderedPageBreak/>
        <w:t xml:space="preserve">K výnimke podľa článku 19 ods. 7 nariadenia (EÚ) 2024/1624: </w:t>
      </w:r>
      <w:r w:rsidRPr="00146994">
        <w:rPr>
          <w:rFonts w:ascii="Times New Roman" w:hAnsi="Times New Roman"/>
          <w:sz w:val="24"/>
          <w:szCs w:val="24"/>
        </w:rPr>
        <w:t xml:space="preserve">Osobitný charakter má výnimka podľa článku 19 ods. 7 nariadenia (EÚ) 2024/1624. Na rozdiel od článkov 4 až 6 nejde o vyňatie určitej osoby alebo činnosti z požiadaviek nariadenia ako celku. Ide o možnosť orgánu dohľadu oslobodiť povinnú osobu v plnom alebo čiastočnom rozsahu od vykonania konkrétnych opatrení starostlivosti vo vzťahu ku klientovi pri určitých produktoch elektronických peňazí (§ 11a súčasného AML zákona). Výnimka sa môže týkať opatrení podľa článku 20 ods. 1 písm. a) až c) nariadenia, teda najmä identifikácie a overenia klienta, identifikácie a overenia konečného užívateľa výhod a zisťovania účelu a zamýšľanej povahy obchodného vzťahu alebo príležitostnej transakcie. Predpokladom jej uplatnenia je takisto preukázané nízke riziko vyplývajúce z povahy konkrétneho produktu elektronických peňazí a súčasné splnenie všetkých podmienok znižujúcich riziko ustanovených v článku 19 ods. 7 nariadenia (EÚ) 2024/1624. Ide najmä o obmedzenie hodnoty uloženej na platobnom nástroji, obmedzený spôsob jeho použitia, nemožnosť zameniť uloženú hodnotu za hotovosť alebo </w:t>
      </w:r>
      <w:proofErr w:type="spellStart"/>
      <w:r w:rsidRPr="00146994">
        <w:rPr>
          <w:rFonts w:ascii="Times New Roman" w:hAnsi="Times New Roman"/>
          <w:sz w:val="24"/>
          <w:szCs w:val="24"/>
        </w:rPr>
        <w:t>kryptoaktíva</w:t>
      </w:r>
      <w:proofErr w:type="spellEnd"/>
      <w:r w:rsidRPr="00146994">
        <w:rPr>
          <w:rFonts w:ascii="Times New Roman" w:hAnsi="Times New Roman"/>
          <w:sz w:val="24"/>
          <w:szCs w:val="24"/>
        </w:rPr>
        <w:t xml:space="preserve"> a povinnosť povinnej osoby zabezpečiť dostatočné monitorovanie transakcií alebo obchodného vzťahu umožňujúce identifikovať neobvyklé alebo podozrivé transakcie. Výnimka preto neznamená úplné vylúčenie príslušného produktu z AML/CFT režimu. Najmä povinnosť monitorovania zostáva zachovaná a samotná výnimka sa môže týkať len tých opatrení starostlivosti, ktoré výslovne uvádza nariadenie.</w:t>
      </w:r>
    </w:p>
    <w:p w14:paraId="2CC6FBBF"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9:</w:t>
      </w:r>
    </w:p>
    <w:p w14:paraId="68B4956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upravuje osobitné postavenie Národnej banky Slovenska, vnútroštátneho správcu a združení majetku v systéme ochrany pred legalizáciou a financovaním terorizmu. Ide o subjekty, na ktoré sa vzhľadom na osobitnú povahu ich činnosti nevzťahuje všeobecný režim povinných osôb v plnom rozsahu. Ustanovenie preto osobitne vymedzuje rozsah ich AML/CFT povinností a v prípade vnútroštátneho správcu a združení majetku aj pôsobnosť FSJ pri výkone dohľadu. Navrhovaná právna úprava v podstatnej časti nadväzuje na doterajšie ustanovenia § 24, § 25 a § 25a súčasného AML zákona, pričom ich obsah prispôsobuje novej systematike zákona a novému právnemu rámcu Únie v oblasti AML/CFT/CPF.</w:t>
      </w:r>
    </w:p>
    <w:p w14:paraId="72D50B3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1 upravuje osobitné postavenie Národnej banky Slovenska pri vykonávaní obchodov podľa § 17b ods. 4, § 27 ods. 2, § 27a zákona o Národnej banke Slovenska, pričom práva a povinnosti ustanovené pre banky sa na Národnú banku Slovenska vzťahujú iba pri vykonávaní týchto obchodov. Účelom je zabezpečiť, aby sa pri činnostiach Národnej banky Slovenska, ktoré sú svojou povahou porovnateľné s činnosťami vykonávanými bankami, uplatňovali zodpovedajúce pravidlá v oblasti AML/CFT. Nejde teda o všeobecné postavenie Národnej banky Slovenska ako banky alebo povinnej osoby pri všetkých činnostiach, ktoré vykonáva. Rozsah jej AML/CFT práv a povinností je viazaný na vykonávanie obchodov podľa osobitného predpisu. Navrhovaná úprava obsahovo nadväzuje na doterajší § 24 súčasného AML zákona a zabezpečuje kontinuitu osobitného AML/CFT režimu Národnej banky Slovenska, pričom ho prispôsobuje novej právnej úprave a priamo uplatniteľnému nariadeniu (EÚ) 2024/1624.</w:t>
      </w:r>
    </w:p>
    <w:p w14:paraId="721BA1D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upravuje osobitné postavenie vnútroštátneho správcu registra Únie a rozsah jeho povinností v oblasti AML/CFT. Vnútroštátny správca vykonáva činnosti súvisiace s fungovaním registra Únie v systéme obchodovania s emisnými kvótami. Vzhľadom na </w:t>
      </w:r>
      <w:r w:rsidRPr="00146994">
        <w:rPr>
          <w:rFonts w:ascii="Times New Roman" w:hAnsi="Times New Roman"/>
          <w:sz w:val="24"/>
          <w:szCs w:val="24"/>
        </w:rPr>
        <w:lastRenderedPageBreak/>
        <w:t xml:space="preserve">charakter týchto činností a možnosť nakladania s emisnými kvótami prostredníctvom účtov vedených v registri je potrebné zabezpečiť primerané opatrenia na predchádzanie zneužitiu tohto systému na účely legalizácie alebo financovania terorizmu. Jedná sa najmä o implementáciu článku 67 Delegovaného nariadenia Komisie (EÚ) 2019/1122 z 12. marca 2019. Navrhované ustanovenie preto určuje, že vnútroštátny správca v rozsahu predmetu svojej činnosti plní vybrané povinnosti podľa tohto zákona a povinnosti vyplývajúce z príslušných ustanovení nariadenia (EÚ) 2024/1624 (napr. ohlasovanie podozrivých transakcií, uchovávanie údajov a pod.). Rozsah týchto povinností je viazaný na osobitné postavenie a činnosť vnútroštátneho správcu. Nejde o jeho všeobecné zaradenie medzi povinné osoby v rovnakom rozsahu ako pri subjektoch, ktoré sú povinnými osobami priamo podľa nariadenia (EÚ) 2024/1624. Ustanovenie obsahovo nadväzuje na § 25a súčasného AML zákona, podľa ktorého bol vnútroštátny správca povinný v rozsahu predmetu svojej činnosti plniť vybrané AML/CFT povinnosti. Nová právna úprava zachováva jeho osobitné AML/CFT postavenie a zároveň rozsah jeho povinností zosúlaďuje s novým právnym rámcom Európskej únie. Súčasne sa ako doposiaľ ustanovuje oprávnenie FSJ vykonávať u vnútroštátneho správcu dohľad podľa § 32, ako aj možnosť uložiť pokutu v prípade nesplnenia alebo porušenia AML/CFT povinností. Tým sa zabezpečuje možnosť overovať plnenie a dodržiavanie AML/CFT povinností, ktoré sa na vnútroštátneho správcu vzťahujú vzhľadom na predmet jeho činnosti. </w:t>
      </w:r>
    </w:p>
    <w:p w14:paraId="291D31F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preberá doterajšiu osobitnú právnu úpravu združení majetku a zachováva povinnosť identifikovať osoby na oboch stranách toku finančných prostriedkov. Združenie majetku je povinné vykonať identifikáciu darcu, ako aj fyzickej osoby alebo právnickej osoby, ktorej poskytlo finančné prostriedky, ak hodnota daru alebo výška poskytnutých finančných prostriedkov dosiahne najmenej 1 000 eur. Účelom tejto povinnosti je zabezpečiť primeranú transparentnosť finančných tokov a dostupnosť základných identifikačných údajov o osobách, od ktorých združenie majetku prijíma finančné prostriedky alebo ktorým ich poskytuje. Tieto informácie môžu byť následne využité pri preverovaní pôvodu, účelu a smerovania finančných prostriedkov, ak vzniknú skutočnosti nasvedčujúce ich možnému zneužitiu. Navrhovaná úprava obsahovo nadväzuje na § 25 ods. 1 súčasného AML zákona a zachováva aj hranicu 1 000 eur, od ktorej vzniká identifikačná povinnosť. Doterajšia právna úprava bola prijatá aj v reakcii na medzinárodné štandardy a hodnotenia FATF a MONEYVAL týkajúce sa potreby chrániť neziskový sektor pred jeho možným zneužitím, najmä na účely financovania terorizmu. Navrhovaná právna úprava túto existujúcu vnútroštátnu povinnosť zachováva v súlade s odporúčaním č. 8 FATF. Identifikačná povinnosť predstavuje preventívne opatrenie, ktorého účelom je zabezpečiť dostupnosť údajov potrebných na prípadné preverenie finančných tokov. Sama osebe neznamená, že darca alebo príjemca finančných prostriedkov predstavuje zvýšené riziko legalizácie alebo financovania terorizmu. </w:t>
      </w:r>
    </w:p>
    <w:p w14:paraId="6013923F"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4 upravuje oprávnenie FSJ vykonávať dohľad v združení majetku a vymedzuje jeho účel a spôsob vykonávania. Dohľad možno vykonať na účel identifikácie konečného užívateľa výhod a overenia pravdivosti a úplnosti údajov o konečnom užívateľovi výhod, identifikácie darcov a príjemcov finančných prostriedkov podľa odseku 3 alebo na účel preverenia nakladania s majetkom. Ide o osobitne vymedzenú </w:t>
      </w:r>
      <w:proofErr w:type="spellStart"/>
      <w:r w:rsidRPr="00146994">
        <w:rPr>
          <w:rFonts w:ascii="Times New Roman" w:hAnsi="Times New Roman"/>
          <w:sz w:val="24"/>
          <w:szCs w:val="24"/>
        </w:rPr>
        <w:t>dohľadovú</w:t>
      </w:r>
      <w:proofErr w:type="spellEnd"/>
      <w:r w:rsidRPr="00146994">
        <w:rPr>
          <w:rFonts w:ascii="Times New Roman" w:hAnsi="Times New Roman"/>
          <w:sz w:val="24"/>
          <w:szCs w:val="24"/>
        </w:rPr>
        <w:t xml:space="preserve"> právomoc zodpovedajúcu postaveniu združení majetku. Jej účelom je najmä overenie transparentnosti vlastníckych a finančných vzťahov a preverenie spôsobu nakladania s majetkom v rozsahu relevantnom z </w:t>
      </w:r>
      <w:r w:rsidRPr="00146994">
        <w:rPr>
          <w:rFonts w:ascii="Times New Roman" w:hAnsi="Times New Roman"/>
          <w:sz w:val="24"/>
          <w:szCs w:val="24"/>
        </w:rPr>
        <w:lastRenderedPageBreak/>
        <w:t>hľadiska predchádzania legalizácii a financovaniu terorizmu. Dohľad sa vykonáva na základe analýzy rizík. Dohľad preto nemá byť vykonávaný mechanicky alebo bez zohľadnenia rizikového profilu dotknutého subjektu alebo sektora. FSJ analýzu rizík priebežne aktualizuje v závislosti od vývoja rizík. Tým sa umožňuje reagovať na zmeny spôsobov a foriem možného zneužívania združení majetku, nové typológie financovania terorizmu a ďalšie relevantné vnútroštátne alebo cezhraničné riziká. Pri výkone dohľadu má združenie majetku rovnaké povinnosti súčinnosti ako povinná osoba podľa § 34. FSJ sa tým ako doteraz zabezpečuje prístup k údajom, informáciám a dokladom potrebným na riadne vykonanie dohľadu. Navrhovaná úprava preberá § 25 ods. 2 súčasného AML zákona.</w:t>
      </w:r>
    </w:p>
    <w:p w14:paraId="69DE64D5"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10:</w:t>
      </w:r>
    </w:p>
    <w:p w14:paraId="13CF397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Návrh zákona ustanovuje, že na povinné osoby sa uplatňujú rovnaké povinnosti v oblasti boja proti financovaniu šírenia zbraní hromadného ničenia, ako vo vzťahu k ochrane pred legalizáciou a financovaním terorizmu. Cieľom právnej úpravy je zabezpečiť jednotný a konzistentný rámec povinností, ktorý reflektuje úzku vecnú prepojenosť týchto oblastí a potrebu komplexného prístupu k riadeniu rizík. Toto ustanovenie zároveň prispieva k zjednodušeniu aplikácie právnej úpravy zo strany povinných osôb, keďže nevyžaduje vytváranie osobitných mechanizmov pre jednotlivé oblasti, ale umožňuje využitie existujúcich systémov a kontrolných postupov. Navrhovaná úprava sleduje posilnenie účinnosti prevencie a odhaľovania finančných tokov súvisiacich so šírením zbraní hromadného ničenia a je v súlade s medzinárodnými štandardmi v tejto oblasti.</w:t>
      </w:r>
    </w:p>
    <w:p w14:paraId="0FDB5369"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11:</w:t>
      </w:r>
    </w:p>
    <w:p w14:paraId="6C1B8ED3"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Navrhované ustanovenie vymedzuje základné postavenie, pôsobnosť a zásady činnosti FSJ ako centrálnej národnej jednotky v oblasti </w:t>
      </w:r>
      <w:r w:rsidRPr="00146994">
        <w:rPr>
          <w:rFonts w:ascii="Times New Roman" w:hAnsi="Times New Roman"/>
          <w:sz w:val="24"/>
          <w:szCs w:val="24"/>
        </w:rPr>
        <w:t>AML/CFT/CPF</w:t>
      </w:r>
      <w:r w:rsidRPr="00146994">
        <w:rPr>
          <w:rFonts w:ascii="Times New Roman" w:hAnsi="Times New Roman"/>
          <w:sz w:val="24"/>
          <w:szCs w:val="24"/>
          <w:lang w:eastAsia="sk-SK"/>
        </w:rPr>
        <w:t>. Súčasne ustanovuje jej operačnú a funkčnú nezávislosť, základné oprávnenia pri výkone finančnej spravodajskej činnosti, pravidlá predchádzania konfliktom záujmov, ochrany informácií a bezpečnej výmeny informácií s príslušnými orgánmi a povinnými osobami. Ustanovenie nadväzuje na článok 19 smernice (EÚ) 2024/1640, ktorý upravuje zriadenie, základné úlohy, nezávislosť a podmienky fungovania finančných spravodajských jednotiek. Cieľom právnej úpravy je zabezpečiť, aby FSJ mohla vykonávať svoje zákonné úlohy samostatne, nestranne a bez neoprávneného vonkajšieho ovplyvňovania, najmä pri získavaní a analýze informácií a rozhodovaní o poskytovaní výsledkov finančných analýz oprávneným subjektom.</w:t>
      </w:r>
    </w:p>
    <w:p w14:paraId="784330E1"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Základným predpokladom účinného fungovania FSJ je nielen existencia zákonom ustanovených oprávnení, ale aj vytvorenie takých organizačných, personálnych a technických podmienok, ktoré umožňujú ich nezávislý výkon. Navrhovaná úprava preto kladie dôraz na ochranu samostatnosti analytických a rozhodovacích procesov, predchádzanie konfliktom záujmov, dôvernosť spracúvaných informácií a bezpečnosť komunikácie.</w:t>
      </w:r>
    </w:p>
    <w:p w14:paraId="44B72E3C"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K odseku 1: Ustanovenie nadväzuje na článok 19 ods. 1 a 2 smernice (EÚ) 2024/1640, podľa ktorého má každý členský štát zriadiť jednu centrálnu finančnú spravodajskú jednotku zodpovednú za prijímanie a analýzu oznámení povinných osôb a ďalších informácií významných pre predchádzanie a odhaľovanie legalizácie a financovania terorizmu. FSJ predstavuje ústredný článok vnútroštátneho systému finančného spravodajstva, ktorého úlohou </w:t>
      </w:r>
      <w:r w:rsidRPr="00146994">
        <w:rPr>
          <w:rFonts w:ascii="Times New Roman" w:hAnsi="Times New Roman"/>
          <w:sz w:val="24"/>
          <w:szCs w:val="24"/>
          <w:lang w:eastAsia="sk-SK"/>
        </w:rPr>
        <w:lastRenderedPageBreak/>
        <w:t xml:space="preserve">je získavať, sústreďovať a analyticky vyhodnocovať informácie o finančných operáciách a ďalších skutočnostiach, ktoré môžu súvisieť s uvedenými protiprávnymi činnosťami. Jej činnosť zahŕňa nielen preverovanie konkrétnych podozrivých operácií, ale aj identifikáciu širších finančných súvislostí, rizikových mechanizmov a spôsobov zneužívania finančného systému. Výslovné zahrnutie financovania šírenia zbraní hromadného ničenia do pôsobnosti FSJ zohľadňuje potrebu identifikovať a preverovať finančné toky, ktoré môžu súvisieť s touto činnosťou, vrátane možného obchádzania príslušných reštriktívnych opatrení. </w:t>
      </w:r>
    </w:p>
    <w:p w14:paraId="42758F6F"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2 výslovne ustanovuje operačnú a funkčnú nezávislosť FSJ pri plnení jej zákonných úloh a zákaz politického, vládneho alebo sektorového ovplyvňovania či zasahovania do jej činnosti. Ustanovenie nadväzuje na článok 19 ods. 4 smernice (EÚ) 2024/1640, ktorý vyžaduje, aby finančné spravodajské jednotky boli operačne nezávislé a autonómne a disponovali právomocami a schopnosťou samostatne vykonávať svoje základné úlohy. Operačná a funkčná nezávislosť znamená predovšetkým samostatnosť FSJ pri rozhodovaní o získavaní informácií, vykonávaní finančných analýz a poskytovaní ich výsledkov príslušným orgánom. Rozhodovanie o týchto činnostiach musí vychádzať z odborného posúdenia relevantných skutočností a zo zákonom ustanovených podmienok, nie z neoprávnených pokynov alebo záujmov iných subjektov. Zákaz vonkajšieho ovplyvňovania smeruje proti zásahom politických predstaviteľov, orgánov verejnej moci alebo subjektov z jednotlivých sektorov, ktoré by mohli narušiť nestrannosť FSJ, ovplyvniť obsah alebo výsledky finančných analýz, prípadne rozhodovanie o ich ďalšom poskytovaní. Osobitný význam má uvedená požiadavka v prípade, keď FSJ pôsobí v rámci organizačnej štruktúry iného štátneho orgánu. Takéto organizačné začlenenie samo osebe nevylučuje nezávislosť FSJ, avšak nesmie viesť k podriadeniu jej základných analytických a rozhodovacích činností pokynom alebo zásahom, ktoré by odporovali požiadavkám článku 19 ods. 4 smernice (EÚ) 2024/1640. Operačná a funkčná nezávislosť sa preto musí prejavovať aj v reálnom usporiadaní vnútorných riadiacich a rozhodovacích vzťahov. Základné finančné spravodajské činnosti FSJ musia byť vykonávané nezávisle od ostatných funkcií orgánu, v ktorého organizačnej štruktúre pôsobí. Nezávislosť FSJ zároveň neznamená vylúčenie zákonom ustanovených mechanizmov zodpovednosti, kontroly alebo hospodárenia s verejnými prostriedkami. Tieto mechanizmy sa však musia uplatňovať spôsobom, ktorý neohrozuje nezávislosť jej rozhodovania, dôvernosť spracúvaných informácií a účinnosť finančnej spravodajskej činnosti.</w:t>
      </w:r>
    </w:p>
    <w:p w14:paraId="330C74C9"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3 konkretizuje základné oprávnenia FSJ, prostredníctvom ktorých sa zabezpečuje jej operačná a funkčná nezávislosť. Ustanovenie nadväzuje na článok 19 ods. 4 smernice (EÚ) 2024/1640, ktorý medzi základné prejavy nezávislosti FSJ zaraďuje schopnosť samostatne rozhodovať o vykonávaní analýz, vyžadovaní informácií a poskytovaní výsledkov analytickej činnosti príslušným orgánom. Výpočet oprávnení má demonštratívny charakter a nepredstavuje úplný rozsah pôsobnosti FSJ. Konkrétne podmienky výkonu jednotlivých oprávnení ustanovujú ďalšie ustanovenia zákona.</w:t>
      </w:r>
    </w:p>
    <w:p w14:paraId="7FE9063A"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a) ustanovuje oprávnenie FSJ samostatne vykonávať finančnú analýzu podľa § 16. Samostatnosť analytickej činnosti predstavuje základný predpoklad nezávislého výkonu finančnej spravodajskej pôsobnosti. FSJ musí mať možnosť nezávisle vyhodnocovať získané informácie, identifikovať relevantné finančné súvislosti, určovať analytické priority a formulovať odborné závery bez neoprávneného ovplyvňovania inými orgánmi alebo subjektmi.</w:t>
      </w:r>
    </w:p>
    <w:p w14:paraId="29A0DCA7"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lastRenderedPageBreak/>
        <w:t>Písmeno b) ustanovuje oprávnenie FSJ vyžadovať informácie potrebné na plnenie jej zákonných úloh. Cieľom je zabezpečiť, aby FSJ mohla samostatne posudzovať potrebu získania ďalších informácií a rozhodovať o ich vyžiadaní bez neoprávnenej závislosti od rozhodovania iných orgánov. Oprávnenie sa vykonáva v rozsahu a za podmienok ustanovených týmto zákonom a osobitnými právnymi predpismi. Nezakladá preto neobmedzený prístup k informáciám, ale zabezpečuje nezávislosť rozhodovania FSJ pri využívaní jej zákonných informačných oprávnení.</w:t>
      </w:r>
    </w:p>
    <w:p w14:paraId="1B3DB6A1"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c) ustanovuje oprávnenie FSJ samostatne rozhodovať o poskytovaní finančných informácií alebo finančných analýz oprávneným subjektom. Ustanovenie predstavuje významnú záruku nezávislosti FSJ, keďže rozhodovanie o poskytnutí výsledkov analytickej činnosti musí vychádzať z jej vlastného odborného posúdenia a zo splnenia zákonom ustanovených podmienok. FSJ samostatne posudzuje existenciu dôvodov na poskytnutie informácií, ich relevantnosť pre príslušný orgán a prípadné zákonné obmedzenia ich sprístupnenia. Takto ustanovené oprávnenie zároveň chráni dôvernosť získaných informácií a nezávislosť analytických záverov pred neoprávneným vonkajším ovplyvňovaním.</w:t>
      </w:r>
    </w:p>
    <w:p w14:paraId="29940EAA"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4 ustanovuje povinnosť FSJ zaviesť účinné postupy na predchádzanie konfliktom záujmov, ich identifikáciu a riadenie. Súčasne ukladá príslušníkom zaradeným na FSJ a jej zamestnancom povinnosť bezodkladne oznámiť skutočnosti, ktoré môžu viesť ku konfliktu záujmov. Ustanovenie nadväzuje na článok 19 ods. 6 smernice (EÚ) 2024/1640, ktorý vyžaduje zavedenie postupov na predchádzanie konfliktom záujmov a ich riadenie. Cieľom je zabezpečiť nestrannosť, objektivitu a dôveryhodnosť činnosti FSJ, najmä pri spracúvaní citlivých informácií, vykonávaní finančných analýz a rozhodovaní o ich poskytovaní. Konflikt záujmov môže vzniknúť najmä v prípadoch, keď osobné, majetkové, profesijné alebo iné záujmy príslušníka FSJ alebo jej zamestnanca môžu ovplyvniť, prípadne vyvolať dôvodné pochybnosti o nestrannom výkone jeho služobných alebo pracovných úloh. Vnútorné postupy musia umožňovať nielen identifikáciu konfliktov záujmov, ale aj ich účinné riešenie a predchádzanie ich negatívnym dôsledkom. V závislosti od povahy konkrétnej situácie môže ísť najmä o organizačné opatrenia, obmedzenie prístupu k určitým informáciám alebo vylúčenie dotknutej osoby z konkrétnej analytickej či rozhodovacej činnosti.</w:t>
      </w:r>
    </w:p>
    <w:p w14:paraId="300350DF"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5 ustanovuje povinnosť FSJ zaviesť vnútorné pravidlá na zabezpečenie bezpečnosti a dôvernosti informácií a ochrany osobných údajov. Ustanovenie nadväzuje na článok 19 ods. 7 smernice (EÚ) 2024/1640, ktorý vyžaduje, aby finančné spravodajské jednotky mali zavedené pravidlá upravujúce bezpečnosť a dôvernosť informácií. Osobitný význam má ochrana informácií získaných od povinných osôb a ďalších subjektov, keďže ich neoprávnené sprístupnenie môže ohroziť priebeh finančných analýz, súvisiace konania, ako aj bezpečnosť osôb zapojených do oznamovania podozrivých skutočností.</w:t>
      </w:r>
    </w:p>
    <w:p w14:paraId="0A424EEF"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a) ustanovuje povinnosť zabezpečiť ochranu informácií a osobných údajov pred neoprávneným prístupom, zverejnením, zmenou alebo zničením. Cieľom je zabezpečiť, aby sa s informáciami spracúvanými FSJ nakladalo výlučne v rozsahu zákonných oprávnení a aby boli chránené pred neoprávnenými zásahmi a bezpečnostnými incidentmi.</w:t>
      </w:r>
    </w:p>
    <w:p w14:paraId="2CDAEB16"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Písmeno b) upravuje ochranu totožnosti povinnej osoby a jej zamestnancov alebo osôb v obdobnom vzťahu vrátane agentov a distribútorov, ktorí ohlasujú podozrenia podľa článku 69 </w:t>
      </w:r>
      <w:r w:rsidRPr="00146994">
        <w:rPr>
          <w:rFonts w:ascii="Times New Roman" w:hAnsi="Times New Roman"/>
          <w:sz w:val="24"/>
          <w:szCs w:val="24"/>
          <w:lang w:eastAsia="sk-SK"/>
        </w:rPr>
        <w:lastRenderedPageBreak/>
        <w:t xml:space="preserve">ods. 1 prvého </w:t>
      </w:r>
      <w:proofErr w:type="spellStart"/>
      <w:r w:rsidRPr="00146994">
        <w:rPr>
          <w:rFonts w:ascii="Times New Roman" w:hAnsi="Times New Roman"/>
          <w:sz w:val="24"/>
          <w:szCs w:val="24"/>
          <w:lang w:eastAsia="sk-SK"/>
        </w:rPr>
        <w:t>pododseku</w:t>
      </w:r>
      <w:proofErr w:type="spellEnd"/>
      <w:r w:rsidRPr="00146994">
        <w:rPr>
          <w:rFonts w:ascii="Times New Roman" w:hAnsi="Times New Roman"/>
          <w:sz w:val="24"/>
          <w:szCs w:val="24"/>
          <w:lang w:eastAsia="sk-SK"/>
        </w:rPr>
        <w:t xml:space="preserve"> písm. a) nariadenia (EÚ) 2024/1624. Cieľom je zabezpečiť dôvernosť identity subjektov a osôb zapojených do oznamovania podozrivých skutočností a predchádzať ich neoprávnenému odhaleniu.</w:t>
      </w:r>
    </w:p>
    <w:p w14:paraId="657970AC"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c) ustanovuje povinnosť upraviť rozsah a spôsob udeľovania prístupových oprávnení k informáciám. Účelom je zabezpečiť, aby prístup k informáciám mali iba osoby, ktoré ho potrebujú na plnenie svojich služobných alebo pracovných úloh, a to v rozsahu zodpovedajúcom ich oprávneniam. Takto nastavené pravidlá umožňujú predchádzať neoprávnenému prístupu k citlivým informáciám a vytvárajú predpoklady na kontrolovateľné a bezpečné nakladanie s nimi.</w:t>
      </w:r>
    </w:p>
    <w:p w14:paraId="7EE473D6"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d) ustanovuje povinnosť prijímať primerané technické a organizačné opatrenia na zabezpečenie integrity, dôvernosti a dostupnosti informácií. Tieto opatrenia majú zabezpečiť, aby informácie neboli neoprávnene menené alebo sprístupňované a aby zostali dostupné oprávneným osobám pri plnení zákonných úloh FSJ. Rozsah opatrení musí zohľadňovať povahu spracúvaných informácií, riziká ich spracúvania a potrebu zachovania bezpečnosti a kontinuity činnosti FSJ.</w:t>
      </w:r>
    </w:p>
    <w:p w14:paraId="1D3CD487"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6 upravuje spôsob poskytovania a výmeny informácií medzi FSJ, príslušnými orgánmi a povinnými osobami podľa tohto zákona, </w:t>
      </w:r>
      <w:r w:rsidRPr="00146994">
        <w:rPr>
          <w:rFonts w:ascii="Times New Roman" w:hAnsi="Times New Roman"/>
          <w:sz w:val="24"/>
          <w:szCs w:val="24"/>
        </w:rPr>
        <w:t>a to prostredníctvom informačného systému ministerstva vnútra určeného na ich prijímanie a analýzu (tzv. GO AML).</w:t>
      </w:r>
      <w:r w:rsidRPr="00146994">
        <w:rPr>
          <w:rFonts w:ascii="Times New Roman" w:hAnsi="Times New Roman"/>
          <w:sz w:val="24"/>
          <w:szCs w:val="24"/>
          <w:lang w:eastAsia="sk-SK"/>
        </w:rPr>
        <w:t xml:space="preserve"> Ustanovenie nadväzuje na článok 19 ods. 8 smernice (EÚ) 2024/1640, ktorý vyžaduje zabezpečenie bezpečných a chránených kanálov na elektronickú komunikáciu a výmenu informácií. Navrhuje sa, aby sa poskytovanie a výmena informácií uskutočňovali prostredníctvom informačného systému ministerstva vnútra, čím sa vytvára jednotný technický rámec na bezpečnú elektronickú komunikáciu. Cieľom je zabezpečiť dôvernosť, integritu a bezpečnosť prenášaných informácií a minimalizovať riziko ich neoprávneného sprístupnenia. Súčasne sa upravuje náhradný spôsob komunikácie pre prípad nefunkčnosti uvedeného informačného systému. V takom prípade možno informácie poskytnúť inou elektronickou formou, ktorá zabezpečuje ich ochranu pred nepovolanou osobou. Ustanovenie tým zabezpečuje kontinuitu výmeny informácií aj pri technických výpadkoch informačného systému, pričom zachováva požiadavku ich ochrany. Použitie náhradného spôsobu komunikácie nepredstavuje výnimku z povinnosti zachovávať dôvernosť poskytovaných informácií. Aj pri jeho využití musia byť zabezpečené primerané opatrenia zodpovedajúce citlivosti prenášaných údajov.</w:t>
      </w:r>
    </w:p>
    <w:p w14:paraId="41B1F537"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7 ustanovuje oprávnenie FSJ uzatvárať s orgánmi dohľadu písomné dohody o vzájomnej spolupráci, ktorých predmetom môže byť najmä rozsah a spôsob výmeny informácií potrebných na plnenie zákonných úloh. Ustanovenie nadväzuje na článok 19 ods. 9 smernice (EÚ) 2024/1640, ktorý predpokladá možnosť uzatvárania dohôd o výmene informácií s príslušnými vnútroštátnymi orgánmi, a na článok 46 uvedenej smernice upravujúci spoluprácu medzi finančnými spravodajskými jednotkami a orgánmi dohľadu. Cieľom je vytvoriť organizačný a procesný rámec na účinnú spoluprácu medzi FSJ a orgánmi dohľadu, predovšetkým pri výmene relevantných poznatkov a informácií významných pre výkon ich zákonných pôsobností. Písomné dohody umožňujú konkretizovať praktické postupy spolupráce, komunikačné kanály, organizačné zabezpečenie výmeny informácií a opatrenia na ochranu ich dôvernosti. Tieto dohody majú vykonávací a koordinačný charakter. Nemôžu </w:t>
      </w:r>
      <w:r w:rsidRPr="00146994">
        <w:rPr>
          <w:rFonts w:ascii="Times New Roman" w:hAnsi="Times New Roman"/>
          <w:sz w:val="24"/>
          <w:szCs w:val="24"/>
          <w:lang w:eastAsia="sk-SK"/>
        </w:rPr>
        <w:lastRenderedPageBreak/>
        <w:t>zakladať nové zákonné oprávnenia ani rozširovať rozsah poskytovaných informácií nad rámec príslušných právnych predpisov.</w:t>
      </w:r>
    </w:p>
    <w:p w14:paraId="63192555"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12:</w:t>
      </w:r>
    </w:p>
    <w:p w14:paraId="56BA0C5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upravuje povinnosť FSJ zverejňovať a priebežne aktualizovať zoznam významných verejných funkcií na svojom webovom sídle. Cieľom právnej úpravy je zabezpečiť transparentnosť a dostupnosť informácií potrebných pre identifikáciu politicky exponovaných osôb, ktorých definícia je v nariadení (EÚ) 2024/1624.</w:t>
      </w:r>
    </w:p>
    <w:p w14:paraId="3A79278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Ustanovenie zároveň zakotvuje povinnosť FSJ poskytovať uvedený zoznam, ako aj jeho aktualizácie, Európskej komisii a Úradu pre boj proti praniu špinavých peňazí a financovaniu terorizmu (ďalej len „úrad AMLA“). Cieľom je zabezpečiť jednotnosť, koordináciu a výmenu informácií na úrovni Európskej únie a podporiť efektívne fungovanie spoločného regulačného rámca. Navrhovaná úprava prispieva k zvýšeniu právnej istoty povinných osôb pri identifikácii rizikových subjektov a k posilneniu účinnosti preventívnych mechanizmov v tejto oblasti. Navrhované ustanovenie preberá už existujúcu úpravu § 26 ods. 2 písm. n) súčasného AML zákona.</w:t>
      </w:r>
    </w:p>
    <w:p w14:paraId="54ED1990"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13:</w:t>
      </w:r>
    </w:p>
    <w:p w14:paraId="26FA8EC4"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Navrhované ustanovenie transponuje článok 20 smernice (EÚ) 2024/1640 a zavádza osobitný inštitút ustanovenej osoby, ktorej úlohou je prispievať k zabezpečeniu dodržiavania základných práv pri výkone pôsobnosti FSJ. Cieľom právnej úpravy je posilniť inštitucionálne záruky ochrany základných práv pri výkone zákonných úloh FSJ, ktorých povaha môže zahŕňať zásahy do práv a slobôd dotknutých osôb. Ide najmä o činnosti spojené so získavaním, spracúvaním, vyhodnocovaním a analýzou finančných a ďalších informácií, poskytovaním výsledkov finančnej analýzy príslušným orgánom, spoluprácou s vnútroštátnymi a zahraničnými orgánmi a uplatňovaním osobitných oprávnení podľa tohto zákona. Pri výkone týchto činností je nevyhnutné zabezpečiť nielen účinné predchádzanie legalizácii a financovaniu terorizmu, ale aj rešpektovanie základných práv zaručených Ústavou Slovenskej republiky, Chartou základných práv Európskej únie a príslušnými medzinárodnými záväzkami Slovenskej republiky. Navrhovaná úprava preto vytvára osobitný vnútorný mechanizmus odborného poradenstva, monitorovania a upozorňovania na možné porušenia základných práv. Jeho účelom je prispievať k tomu, aby ochrana základných práv bola prirodzenou súčasťou rozhodovacích, analytických a ďalších postupov FSJ a aby sa možné riziká ich porušenia identifikovali a riešili včas.</w:t>
      </w:r>
    </w:p>
    <w:p w14:paraId="7543CCCB"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1 ustanovuje povinnosť FSJ ustanoviť osobu, ktorej úlohou je prispievať k zabezpečeniu dodržiavania základných práv pri výkone jej pôsobnosti. Ustanovená osoba je organizačne zaradená na FSJ, čím sa vytvára predpoklad na bezprostrednú znalosť jej zákonných úloh, vnútorných postupov a činností, pri ktorých môže dochádzať k zásahom do základných práv. Takéto organizačné začlenenie umožňuje priebežné posudzovanie otázok ochrany základných práv a poskytovanie odborného poradenstva v súvislosti s konkrétnymi činnosťami FSJ. Súčasne vytvára predpoklad na identifikáciu rizík vyplývajúcich z jej rozhodovacích, analytických a ďalších postupov.</w:t>
      </w:r>
    </w:p>
    <w:p w14:paraId="45146E8C"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lastRenderedPageBreak/>
        <w:t xml:space="preserve">Odsek 2 vymedzuje základné úlohy ustanovenej osoby pri zabezpečovaní dodržiavania základných práv. Výpočet úloh je formulovaný demonštratívne a zahŕňa poskytovanie odborného poradenstva, podporu a monitorovanie dodržiavania základných práv, vypracúvanie nezáväzných stanovísk a informovanie riaditeľa FSJ o možných porušeniach základných práv. </w:t>
      </w:r>
    </w:p>
    <w:p w14:paraId="3BE1D2CB"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a) upravuje poradnú funkciu ustanovenej osoby vo vzťahu k zamestnancom a príslušníkom FSJ. Poradenstvo sa môže týkať akejkoľvek činnosti vykonávanej FSJ, pri ktorej vznikajú otázky súvisiace s dodržiavaním základných práv. Ustanovená osoba poskytuje poradenstvo z vlastného podnetu, ak to považuje za potrebné, alebo na základe žiadosti zamestnanca či príslušníka FSJ. Poradenstvo sa môže týkať najmä primeranosti zamýšľaného postupu, rozsahu získavania a využívania informácií, ochrany súkromia a osobných údajov, rešpektovania procesných práv alebo ďalších práv dotknutých osôb. Súčasne sa ustanovuje, že výkon poradnej funkcie nesmie neprimerane zasahovať do činnosti FSJ ani ju odďaľovať. Cieľom tohto obmedzenia je zachovať rovnováhu medzi požiadavkou účinnej ochrany základných práv a potrebou včasného plnenia zákonných úloh FSJ, najmä pri činnostiach, pri ktorých je rozhodujúca rýchlosť analytického alebo operatívneho postupu.</w:t>
      </w:r>
    </w:p>
    <w:p w14:paraId="616078BB"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b) ustanovuje úlohu ustanovenej osoby podporovať a monitorovať dodržiavanie základných práv pri činnosti FSJ. Podporná funkcia spočíva najmä v presadzovaní postupov, ktoré zohľadňujú požiadavky ochrany základných práv pri plnení zákonných úloh. Monitorovacia funkcia umožňuje priebežne posudzovať, či vykonávané činnosti a uplatňované postupy zodpovedajú požiadavkám ochrany základných práv a či pri ich vykonávaní nevznikajú riziká neprimeraných zásahov do práv dotknutých osôb. Monitorovanie môže zahŕňať identifikáciu opakujúcich sa alebo systémových nedostatkov, ako aj upozorňovanie na potrebu ich odstránenia.</w:t>
      </w:r>
    </w:p>
    <w:p w14:paraId="4D04869C"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c) upravuje oprávnenie ustanovenej osoby poskytovať nezáväzné stanoviská k súladu činností FSJ so základnými právami. Stanoviská predstavujú odborné posúdenie konkrétnych postupov, zamýšľaných opatrení alebo ďalších otázok, pri ktorých môže vzniknúť pochybnosť o ich súlade so základnými právami. Nezáväzný charakter stanovísk znamená, že ustanovená osoba nenahrádza rozhodovaciu právomoc príslušných funkcionárov FSJ a jej stanoviská nemajú povahu rozhodnutí, ktorými by bolo možné priamo meniť alebo rušiť jednotlivé úkony.</w:t>
      </w:r>
    </w:p>
    <w:p w14:paraId="41ACDEFF"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d) ustanovuje povinnosť ustanovenej osoby informovať riaditeľa FSJ o možných porušeniach základných práv pri jej činnosti. Ide o osobitný vnútorný informačný mechanizmus, ktorého cieľom je zabezpečiť, aby sa vedenie FSJ dozvedelo o zistených alebo identifikovaných rizikách porušovania základných práv a mohlo v rámci svojich zákonných právomocí prijať primerané opatrenia. Informovanie riaditeľa FSJ zároveň predstavuje nástroj zabezpečujúci, aby sa poznatky ustanovenej osoby mohli premietnuť do prijímania organizačných, metodických alebo iných primeraných opatrení na predchádzanie opakovaniu obdobných nedostatkov.</w:t>
      </w:r>
    </w:p>
    <w:p w14:paraId="1FF3ABB0"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3 ustanovuje základnú záruku nezávislosti ustanovenej osoby pri plnení jej úloh. FSJ je povinná zabezpečiť, aby ustanovená osoba vykonávala svoje úlohy nezávisle a pri ich plnení nepodliehala pokynom. Nezávislosť sa vzťahuje predovšetkým na odborné posudzovanie súladu činností FSJ so základnými právami, poskytovanie poradenstva, vypracúvanie stanovísk, monitorovanie dodržiavania základných práv a informovanie o možných </w:t>
      </w:r>
      <w:r w:rsidRPr="00146994">
        <w:rPr>
          <w:rFonts w:ascii="Times New Roman" w:hAnsi="Times New Roman"/>
          <w:sz w:val="24"/>
          <w:szCs w:val="24"/>
          <w:lang w:eastAsia="sk-SK"/>
        </w:rPr>
        <w:lastRenderedPageBreak/>
        <w:t>porušeniach. Účelom tejto záruky je zabrániť tomu, aby obsah odborných záverov ustanovenej osoby bol ovplyvňovaný pokynmi alebo záujmami osôb, ktorých postupy môžu byť predmetom jej posudzovania.</w:t>
      </w:r>
    </w:p>
    <w:p w14:paraId="620E4A9D"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4 ustanovuje osobitné záruky ochrany príslušníka FSJ, ktorý vykonáva funkciu ustanovenej osoby. Výkon tejto funkcie nesmie byť dôvodom na jeho služobné znevýhodnenie. Príslušník nesmie byť z dôvodu výkonu funkcie ustanovenej osoby alebo obsahu odborných stanovísk predmetom nepriaznivého služobného hodnotenia, disciplinárneho postihu, preloženia na inú funkciu, odvolania z funkcie alebo skončenia služobného pomeru, ak konal v dobrej viere a v súlade so zákonom. Účelom ustanovenia je vytvoriť reálne podmienky na nezávislý výkon funkcie a zabrániť tomu, aby ustanovená osoba bola vystavená služobným alebo personálnym dôsledkom z dôvodu objektívneho a nestranného výkonu svojich úloh. Osobitný význam má táto ochrana pri poskytovaní stanovísk alebo upozorňovaní na možné porušenia základných práv, ktoré sa môžu týkať postupov vykonávaných v rámci organizačnej alebo riadiacej štruktúry FSJ. Ustanovenie tak dopĺňa nezávislosť podľa odseku 3 o osobitnú ochranu pred nepriaznivými služobnými dôsledkami.</w:t>
      </w:r>
    </w:p>
    <w:p w14:paraId="59515468"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5 umožňuje, aby ustanovená osoba vykonávala popri úlohách v oblasti ochrany základných práv aj ďalšie úlohy v rámci FSJ. Táto možnosť je podmienená tým, že výkon ďalších úloh nevedie ku konfliktu záujmov a neohrozuje nezávislosť ustanovenej osoby pri plnení jej zákonom ustanovených povinností. Účelom je umožniť primerané organizačné a personálne zabezpečenie funkcie pri súčasnom zachovaní jej nezávislého charakteru. Navrhovaná úprava tak umožňuje organizačnú flexibilitu, avšak výlučne za predpokladu zachovania nezávislosti, objektívnosti a účinného výkonu funkcie ustanovenej osoby.</w:t>
      </w:r>
    </w:p>
    <w:p w14:paraId="201FFEC9"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14:</w:t>
      </w:r>
    </w:p>
    <w:p w14:paraId="067E392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zabezpečuje transpozíciu článku 19 ods. 6 smernice (EÚ) č. 2024/1640 v časti týkajúcej sa povinnosti zachovávať služobné a profesijné tajomstvo pri výkone činnosti FSJ. Cieľom právnej úpravy je zabezpečiť ochranu informácií získavaných, spracúvaných a využívaných pri výkone pôsobnosti FSJ, najmä informácií o finančných transakciách, obchodných vzťahoch, identifikácii klientov, podozrivých transakciách, výsledkoch finančných analýz a ďalších skutočnostiach, ktorých neoprávnené sprístupnenie by mohlo ohroziť plnenie zákonných úloh FSJ, prebiehajúce konania alebo práva a oprávnené záujmy dotknutých osôb. Povinnosť mlčanlivosti predstavuje základnú záruku dôvernosti informácií poskytovaných FSJ povinnými osobami, orgánmi verejnej moci a ďalšími oprávnenými subjektmi. Jej účelom je predchádzať neoprávnenému sprístupňovaniu a využívaniu informácií, chrániť priebeh finančných analýz a vytvárať podmienky na dôveryhodnú spoluprácu medzi FSJ a ostatnými subjektmi zapojenými do systému ochrany pred legalizáciou a financovaním terorizmu. Ustanovenie zároveň vytvára predpoklady na to, aby povinnosť mlčanlivosti nebránila zákonom upravenému poskytovaniu informácií príslušným orgánom ani plneniu povinností vyplývajúcich z právnej úpravy AML/CFT. Pri jej uplatňovaní však musia byť rešpektované zákonné podmienky sprístupňovania informácií, ochrana osobných údajov a osobitné výnimky z informačných a oznamovacích povinností vyplývajúce z práva Únie.</w:t>
      </w:r>
    </w:p>
    <w:p w14:paraId="3363D96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Odsek 1 ustanovuje povinnosť príslušníkov a zamestnancov FSJ zachovávať mlčanlivosť o skutočnostiach, o ktorých sa dozvedeli pri výkone svojej činnosti alebo v súvislosti s touto činnosťou. Povinnosť mlčanlivosti sa vzťahuje na informácie získané pri plnení služobných alebo pracovných úloh, pokiaľ tento zákon neustanovuje inak. Zahŕňa najmä informácie získané od povinných osôb, údaje z informačných systémov a evidencií, výsledky finančných analýz, poznatky z vnútroštátnej a medzinárodnej spolupráce, ako aj informácie o postupoch a činnostiach FSJ. Osobitný význam má ochrana informácií o ohlásených podozrivých transakciách, totožnosti osôb, ktorých sa tieto informácie týkajú, a skutočnostiach, ktorých sprístupnenie by mohlo ohroziť účel finančnej analýzy alebo následné postupy príslušných orgánov. Povinnosť mlčanlivosti sa neobmedzuje iba na obdobie trvania služobného pomeru alebo iného obdobného vzťahu, ale trvá aj po jeho skončení. Tým sa zabezpečuje pokračujúca ochrana dôverných informácií bez ohľadu na ďalšie pracovné alebo služobné zaradenie dotknutej osoby. Ustanovenie nadväzuje na požiadavku článku 19 ods. 6 smernice (EÚ) 2024/1640, podľa ktorej musia byť zamestnanci finančných spravodajských jednotiek viazaní požiadavkami profesijnej mlčanlivosti. Táto požiadavka predstavuje súčasť širšieho systému ochrany dôvernosti, bezpečnosti informácií a integrity činnosti FSJ. Povinnosť mlčanlivosti pritom nebráni poskytovaniu informácií v prípadoch, keď takýto postup umožňuje alebo vyžaduje tento zákon. Zákonom upravenú výmenu informácií s príslušnými vnútroštátnymi a zahraničnými orgánmi preto nemožno považovať za porušenie mlčanlivosti, ak sa uskutočňuje v medziach príslušného zákonného oprávnenia.</w:t>
      </w:r>
    </w:p>
    <w:p w14:paraId="1898E3E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2 rozširuje povinnosť mlčanlivosti aj na ďalšie osoby, ktoré sa pri plnení úloh FSJ alebo v súvislosti s nimi oboznámia s informáciami získanými na základe tohto zákona. Cieľom je zabezpečiť, aby ochrana dôverných informácií nebola viazaná výlučne na služobné alebo pracovnoprávne postavenie osoby, ale vzťahovala sa aj na ďalšie osoby, ktoré sa s takýmito informáciami oboznámia v súvislosti s činnosťou FSJ. Na rozdiel od odseku 1, ktorý výslovne upravuje trvanie mlčanlivosti aj po skončení služobného pomeru alebo iného obdobného vzťahu, odsek 2 ustanovuje všeobecnú povinnosť mlčanlivosti bez osobitnej úpravy jej časového trvania. Z hľadiska účelu ustanovenia je rozhodujúca ochrana dôverných informácií získaných pri plnení úloh FSJ, nie samotné trvanie právneho vzťahu, v rámci ktorého sa osoba s informáciami oboznámila.</w:t>
      </w:r>
    </w:p>
    <w:p w14:paraId="3C6C867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3 upravuje osobitné prípady pozbavenia povinnej osoby povinnosti mlčanlivosti na účely konania pred zákonom vymedzenými orgánmi. Účelom ustanovenia je umožniť sprístupnenie informácií chránených mlčanlivosťou v konaniach, v ktorých môžu byť tieto informácie významné na objasnenie rozhodujúcich skutočností alebo výkon zákonných právomocí príslušných orgánov. Pozbavenie povinnosti mlčanlivosti sa viaže na zákonom ustanovený druh konania a nemožno ho vykladať ako všeobecné oprávnenie povinnej osoby sprístupňovať dôverné informácie mimo účelu príslušného konania. Cieľom je zabezpečiť, aby povinnosť mlčanlivosti nepredstavovala prekážku napr. pri objasňovaní skutočností významných pre trestné konanie alebo aby nebránila riadnemu výkonu súdnej právomoci a zisťovaniu skutočností relevantných pre rozhodnutie súdu.</w:t>
      </w:r>
    </w:p>
    <w:p w14:paraId="2A70344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4 upravuje osobitný prípad pozbavenia povinnej osoby povinnosti mlčanlivosti v konaní pred správnym orgánom, ktorý rozhoduje o rozklade proti rozhodnutiu vydanému v správnom konaní za porušenie povinností ustanovených týmto zákonom alebo osobitnými predpismi. </w:t>
      </w:r>
      <w:r w:rsidRPr="00146994">
        <w:rPr>
          <w:rFonts w:ascii="Times New Roman" w:hAnsi="Times New Roman"/>
          <w:sz w:val="24"/>
          <w:szCs w:val="24"/>
        </w:rPr>
        <w:lastRenderedPageBreak/>
        <w:t>Účelom ustanovenia je zabezpečiť, aby povinná osoba mohla v rozkladovom konaní uplatniť relevantné skutočnosti potrebné na preskúmanie napadnutého rozhodnutia, a tým prispieť k riadnemu výkonu jej procesných práv. Pri rozhodovaní o pozbavení povinnosti mlčanlivosti je potrebné posúdiť nielen súvislosť požadovaných informácií s konkrétnym rozkladovým konaním, ale aj možné dôsledky ich sprístupnenia pre prebiehajúcu finančnú analýzu.</w:t>
      </w:r>
    </w:p>
    <w:p w14:paraId="2D91D9C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5 upravuje príslušnosť na rozhodovanie o pozbavení povinnej osoby povinnosti mlčanlivosti podľa odsekov 3 a 4 a ustanovuje lehotu na rozhodnutie. O pozbavení povinnosti mlčanlivosti rozhoduje riaditeľ FSJ v lehote do 30 dní od doručenia žiadosti. Zverením tejto právomoci riaditeľovi FSJ sa zabezpečuje jednotný postup pri posudzovaní žiadostí o pozbavenie povinných osôb povinnosti mlčanlivosti a vytvára sa predpoklad na zohľadnenie zákonom chránených záujmov. Ustanovenie lehoty na rozhodnutie sleduje zabezpečenie právnej istoty žiadateľov a predchádzanie neprimeraným prieťahom, ktoré by mohli ovplyvniť priebeh konaní, na účely ktorých sa pozbavenie povinnosti mlčanlivosti požaduje.</w:t>
      </w:r>
    </w:p>
    <w:p w14:paraId="4F5CDFF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6 ustanovuje, že plnenie povinností podľa tohto zákona nie je obmedzené zákonom ustanovenou povinnosťou zachovávať mlčanlivosť podľa osobitných predpisov. Cieľom ustanovenia je zabezpečiť, aby povinnosti vyplývajúce z právnej úpravy ochrany pred legalizáciou a financovaním terorizmu mohli byť riadne plnené aj v prípadoch, keď sa na dotknuté osoby alebo informácie vzťahuje osobitná zákonná povinnosť mlčanlivosti. Ustanovenie sa týka najmä situácií, v ktorých by mlčanlivosť vyplývajúca z osobitného právneho predpisu mohla predstavovať prekážku pri plnení informačných, oznamovacích alebo iných povinností ustanovených týmto zákonom.</w:t>
      </w:r>
    </w:p>
    <w:p w14:paraId="3909E34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Navrhovaná úprava však nepredstavuje všeobecné a neobmedzené prelomenie všetkých druhov profesijnej mlčanlivosti. Jej uplatňovanie musí rešpektovať vecný rozsah povinností podľa tohto zákona, ako aj výnimky a osobitné ochranné pravidlá vyplývajúce z priamo uplatniteľných právnych aktov Európskej únie. Osobitne je potrebné rešpektovať článok 70 ods. 2 nariadenia (EÚ) 2024/1624, ktorý upravuje výnimky z oznamovacích povinností pre vybrané profesie vo vzťahu k informáciám získaným pri zisťovaní právneho postavenia klienta alebo pri jeho obhajobe a zastupovaní v súdnom konaní, za podmienok ustanovených uvedeným nariadením. Ustanovenie preto nemožno vykladať spôsobom, ktorý by viedol k obchádzaniu ochrany profesijného tajomstva a práva na obhajobu zaručených právom Únie. Zároveň treba rozlišovať medzi povinnosťou poskytnúť informácie príslušnému orgánu na základe zákonného oprávnenia a zákazom neoprávneného sprístupnenia informácií klientovi alebo tretím osobám podľa osobitných pravidiel AML/CFT. Navrhovaná úprava tak zabezpečuje, aby zákonné režimy mlčanlivosti nebránili riadnemu plneniu povinností podľa tohto zákona, pričom zachováva ochranu dôverných informácií, základných práv a osobitných zákonných výnimiek.</w:t>
      </w:r>
    </w:p>
    <w:p w14:paraId="4B61B426"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15:</w:t>
      </w:r>
    </w:p>
    <w:p w14:paraId="7E48F1F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predstavuje transpozíciu článku 19 ods. 2 smernice (EÚ) 2024/1640 a upravuje základnú činnosť FSJ spočívajúcu v prijímaní a analýze hlásení o podozrivých transakciách a ďalších informácií relevantných z hľadiska legalizácie, súvisiacich predikatívnych trestných činov a financovania terorizmu. Ustanovenie vytvára základný informačný rámec pre výkon činnosti FSJ, pričom jej analytická činnosť nie je založená iba na hláseniach podozrivých transakcií povinných osôb, ale na širšom okruhu informácií </w:t>
      </w:r>
      <w:r w:rsidRPr="00146994">
        <w:rPr>
          <w:rFonts w:ascii="Times New Roman" w:hAnsi="Times New Roman"/>
          <w:sz w:val="24"/>
          <w:szCs w:val="24"/>
        </w:rPr>
        <w:lastRenderedPageBreak/>
        <w:t>získavaných z viacerých, zákonom a právom Európskej únie ustanovených zdrojov. Cieľom je zabezpečiť, aby FSJ mala k dispozícii dostatočne širokú informačnú základňu na identifikáciu, analýzu a vyhodnocovanie skutočností, ktoré môžu súvisieť s legalizáciou, súvisiacimi predikatívnymi trestnými činmi alebo financovaním terorizmu.</w:t>
      </w:r>
    </w:p>
    <w:p w14:paraId="4F777A9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K písm. a) až e):</w:t>
      </w:r>
    </w:p>
    <w:p w14:paraId="35A7591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Vymedzuje sa okruh základných kategórií informácií, ktoré FSJ prijíma a analyzuje na účely výkonu svojej pôsobnosti. Prvú a základnú kategóriu predstavujú hlásenia o podozrivých transakciách ohlasované povinnými osobami podľa článku 69 ods. 1 druhého </w:t>
      </w:r>
      <w:proofErr w:type="spellStart"/>
      <w:r w:rsidRPr="00146994">
        <w:rPr>
          <w:rFonts w:ascii="Times New Roman" w:hAnsi="Times New Roman"/>
          <w:sz w:val="24"/>
          <w:szCs w:val="24"/>
        </w:rPr>
        <w:t>pododseku</w:t>
      </w:r>
      <w:proofErr w:type="spellEnd"/>
      <w:r w:rsidRPr="00146994">
        <w:rPr>
          <w:rFonts w:ascii="Times New Roman" w:hAnsi="Times New Roman"/>
          <w:sz w:val="24"/>
          <w:szCs w:val="24"/>
        </w:rPr>
        <w:t xml:space="preserve"> nariadenia (EÚ) 2024/1624. Ide o informácie založené na podozrení povinnej osoby, že finančné prostriedky alebo činnosti môžu súvisieť s výnosmi z trestnej činnosti, predikatívnou trestnou činnosťou, financovaním terorizmu. Takéto hlásenia predstavujú jeden zo základných informačných vstupov pre operačnú analytickú činnosť FSJ. Druhú kategóriu predstavujú oznámenia predkladané podľa článku 74 a článku 80 ods. 4 nariadenia (EÚ) 2024/1624. Na rozdiel od hlásenia o podozrivej transakcii nemusí byť ich predloženie založené na individuálne identifikovanom podozrení, ale na splnení podmienok ustanovených priamo uplatniteľným nariadením, najmä na dosiahnutí ustanovených hodnotových kritérií pri určitých transakciách. Takto získané informácie rozširujú informačnú základňu FSJ a môžu byť využité samostatne alebo v spojení s ďalšími dostupnými údajmi pri operačnej alebo strategickej analýze.</w:t>
      </w:r>
    </w:p>
    <w:p w14:paraId="701267F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Finančná spravodajská jednotka zároveň prijíma od príslušných orgánov akékoľvek ďalšie informácie relevantné z hľadiska AML/CFT/CPF. Uvedená kategória zabezpečuje, aby analytická činnosť nebola obmedzená iba na formálne hlásenia alebo oznámenia podľa nariadenia (EÚ) 2024/1624. Do tejto skupiny patria aj informácie poskytnuté Národnou bankou Slovenska a Úradom pre reguláciu hazardných hier, ak v rámci výkonu dohľadu zistia závažné nedostatky v systémoch ohlasovania podľa § 15 alebo iné relevantné skutočnosti. Ďalej sa jedná o informácie poskytované colnými orgánmi podľa článku 9 nariadenia (EÚ) 2018/1672 o kontrolách peňažných prostriedkov v hotovosti, ktoré vstupujú do Únie alebo opúšťajú Úniu. Informácie o cezhraničných pohyboch hotovosti môžu byť významným analytickým zdrojom najmä pri identifikácii prepojenia finančných tokov s konkrétnymi osobami, geografickými oblasťami alebo ďalšími transakciami a pri odhaľovaní cezhraničných schém legalizácie alebo financovania terorizmu. Ide o dôležitú súčasť vnútroštátnej výmeny informácií, ktorá umožňuje prepájať finančné informácie s ďalšími administratívnymi, </w:t>
      </w:r>
      <w:proofErr w:type="spellStart"/>
      <w:r w:rsidRPr="00146994">
        <w:rPr>
          <w:rFonts w:ascii="Times New Roman" w:hAnsi="Times New Roman"/>
          <w:sz w:val="24"/>
          <w:szCs w:val="24"/>
        </w:rPr>
        <w:t>dohľadovými</w:t>
      </w:r>
      <w:proofErr w:type="spellEnd"/>
      <w:r w:rsidRPr="00146994">
        <w:rPr>
          <w:rFonts w:ascii="Times New Roman" w:hAnsi="Times New Roman"/>
          <w:sz w:val="24"/>
          <w:szCs w:val="24"/>
        </w:rPr>
        <w:t xml:space="preserve"> informáciami alebo informáciami týkajúcimi sa presadzovania práva.</w:t>
      </w:r>
    </w:p>
    <w:p w14:paraId="0D2BD5B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Zároveň sa v § 11 ods. upravuje spôsob poskytovania a výmeny informácií medzi FSJ, príslušnými orgánmi a povinnými osobami, a to prostredníctvom informačného systému ministerstva vnútra určeného na ich prijímanie a analýzu (tzv. GO AML). Zavedením jednotného elektronického komunikačného kanála sa zabezpečuje štandardizovaný, efektívny a bezpečný spôsob komunikácie medzi príslušnými subjektmi.</w:t>
      </w:r>
    </w:p>
    <w:p w14:paraId="65B36722"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16:</w:t>
      </w:r>
    </w:p>
    <w:p w14:paraId="2E887B6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upravuje analytickú činnosť FSJ a transponuje požiadavky článku 19 ods. 3 a 4 smernice (EÚ) 2024/1640 týkajúce sa vykonávania operačných a strategických analýz a ich </w:t>
      </w:r>
      <w:proofErr w:type="spellStart"/>
      <w:r w:rsidRPr="00146994">
        <w:rPr>
          <w:rFonts w:ascii="Times New Roman" w:hAnsi="Times New Roman"/>
          <w:sz w:val="24"/>
          <w:szCs w:val="24"/>
        </w:rPr>
        <w:t>priorizácie</w:t>
      </w:r>
      <w:proofErr w:type="spellEnd"/>
      <w:r w:rsidRPr="00146994">
        <w:rPr>
          <w:rFonts w:ascii="Times New Roman" w:hAnsi="Times New Roman"/>
          <w:sz w:val="24"/>
          <w:szCs w:val="24"/>
        </w:rPr>
        <w:t xml:space="preserve">. Cieľom právnej úpravy je zabezpečiť systematické, odborné a rizikovo </w:t>
      </w:r>
      <w:r w:rsidRPr="00146994">
        <w:rPr>
          <w:rFonts w:ascii="Times New Roman" w:hAnsi="Times New Roman"/>
          <w:sz w:val="24"/>
          <w:szCs w:val="24"/>
        </w:rPr>
        <w:lastRenderedPageBreak/>
        <w:t>orientované vyhodnocovanie informácií, ktoré má FSJ k dispozícii, a umožniť tak efektívne využívanie jej analytických kapacít na prípady a oblasti s najvyšším identifikovaným rizikom. Analytická činnosť FSJ sa pritom neobmedzuje len na jednotlivé hlásenia o podozrivých transakciách. Je založená na prepájaní informácií z rôznych zdrojov a na identifikovaní vzťahov, transakčných vzorcov, trendov a ďalších súvislostí relevantných z hľadiska legalizácie, súvisiacich predikatívnych trestných činov a financovania terorizmu.</w:t>
      </w:r>
    </w:p>
    <w:p w14:paraId="44F25E5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rozlišuje dva základné druhy finančnej analýzy vykonávanej FSJ, a to operačnú analýzu a strategickú analýzu. Operačná analýza je zameraná na jednotlivé prípady a konkrétne ciele alebo na príslušné vybrané informácie priorizované na základe identifikovaného rizika, druhu a množstva získaných informácií a predpokladaného využitia poskytnutých informácií. Jej účelom je podrobné vyhodnotenie konkrétnych skutočností a vzťahov, identifikácia relevantných finančných tokov, osôb, majetku, transakcií a posúdenie ich možnej súvislosti s AML/CFT/CPF. Operačná analýza prepája rôzne informácie, ktoré samostatne nemusia poskytovať dostatočný obraz o skúmanom konaní, avšak pri ich spoločnom vyhodnotení môžu odhaliť vzájomné osobné, finančné, časové alebo iné súvislosti. Pri operačných analýzach sa výslovne uplatňuje princíp </w:t>
      </w:r>
      <w:proofErr w:type="spellStart"/>
      <w:r w:rsidRPr="00146994">
        <w:rPr>
          <w:rFonts w:ascii="Times New Roman" w:hAnsi="Times New Roman"/>
          <w:sz w:val="24"/>
          <w:szCs w:val="24"/>
        </w:rPr>
        <w:t>priorizácie</w:t>
      </w:r>
      <w:proofErr w:type="spellEnd"/>
      <w:r w:rsidRPr="00146994">
        <w:rPr>
          <w:rFonts w:ascii="Times New Roman" w:hAnsi="Times New Roman"/>
          <w:sz w:val="24"/>
          <w:szCs w:val="24"/>
        </w:rPr>
        <w:t xml:space="preserve">, ktorý vychádza z rizika, druhu a objemu získaných informácií a z očakávaného použitia informácií po ich poskytnutí príslušným orgánom. Zohľadnenie rizika umožňuje sústrediť analytické kapacity FSJ prednostne na prípady s vyššou pravdepodobnosťou alebo závažnosťou legalizácie, súvisiacich predikatívnych trestných činov alebo financovania terorizmu. </w:t>
      </w:r>
      <w:proofErr w:type="spellStart"/>
      <w:r w:rsidRPr="00146994">
        <w:rPr>
          <w:rFonts w:ascii="Times New Roman" w:hAnsi="Times New Roman"/>
          <w:sz w:val="24"/>
          <w:szCs w:val="24"/>
        </w:rPr>
        <w:t>Priorizácia</w:t>
      </w:r>
      <w:proofErr w:type="spellEnd"/>
      <w:r w:rsidRPr="00146994">
        <w:rPr>
          <w:rFonts w:ascii="Times New Roman" w:hAnsi="Times New Roman"/>
          <w:sz w:val="24"/>
          <w:szCs w:val="24"/>
        </w:rPr>
        <w:t xml:space="preserve"> neznamená, že informácie, ktoré neboli bezprostredne vybrané na vykonanie operačnej analýzy, strácajú svoj význam. Môžu byť naďalej využité v spojení s ďalšími informáciami, pri neskoršej operačnej analýze alebo ako informačný zdroj strategickej analýzy. Cieľom </w:t>
      </w:r>
      <w:proofErr w:type="spellStart"/>
      <w:r w:rsidRPr="00146994">
        <w:rPr>
          <w:rFonts w:ascii="Times New Roman" w:hAnsi="Times New Roman"/>
          <w:sz w:val="24"/>
          <w:szCs w:val="24"/>
        </w:rPr>
        <w:t>priorizácie</w:t>
      </w:r>
      <w:proofErr w:type="spellEnd"/>
      <w:r w:rsidRPr="00146994">
        <w:rPr>
          <w:rFonts w:ascii="Times New Roman" w:hAnsi="Times New Roman"/>
          <w:sz w:val="24"/>
          <w:szCs w:val="24"/>
        </w:rPr>
        <w:t xml:space="preserve"> je efektívne rozdelenie dostupných analytických kapacít podľa identifikovaného rizika a významu jednotlivých informácií, nie mechanické spracovanie hlásení výlučne podľa poradia ich prijatia.</w:t>
      </w:r>
    </w:p>
    <w:p w14:paraId="211A974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Strategická analýza je na rozdiel od operačnej analýzy zameraná na širšie a dlhodobejšie javy v oblasti AML/CFT/CPF. Strategická analýza umožňuje identifikovať najmä nové trendy, typológie, metódy, rizikové sektory, produkty, služby, distribučné kanály, geografické oblasti a ďalšie systémové alebo vznikajúce riziká. Na rozdiel od operačnej analýzy preto nie je primárne orientovaná na posúdenie konkrétnej osoby alebo jednotlivého prípadu, ale na získavanie poznatkov využiteľných pri strategickom rozhodovaní a nastavovaní preventívnych, analytických alebo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opatrení. Výsledky strategickej analýzy môžu byť využité pri národnom hodnotení rizík, pri určovaní priorít FSJ, pri poskytovaní informácií orgánom dohľadu a povinným osobám a pri identifikácii oblastí, v ktorých je potrebné prispôsobiť existujúce AML/CFT opatrenia vývoju rizikového prostredia.</w:t>
      </w:r>
    </w:p>
    <w:p w14:paraId="142A974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vymedzuje základné informačné zdroje, z ktorých FSJ vychádza pri vypracúvaní finančných analýz, pričom výpočet informačných zdrojov nie je taxatívny. FSJ využíva všetky informácie, ktoré má v súlade s právnymi predpismi k dispozícii a ktoré sú relevantné pre konkrétnu operačnú analýzu alebo strategickú analýzu. Takto koncipovaná informačná základňa umožňuje prepájať informácie pochádzajúce z rozdielnych zdrojov a vytvárať komplexnejší obraz o analyzovaných finančných tokoch, osobách, transakciách alebo rizikových javoch. Základným informačným zdrojom sú informácie obsiahnuté v hláseniach prijatých podľa § 15. Ide najmä o hlásenia o podozrivých transakciách povinných osôb, </w:t>
      </w:r>
      <w:r w:rsidRPr="00146994">
        <w:rPr>
          <w:rFonts w:ascii="Times New Roman" w:hAnsi="Times New Roman"/>
          <w:sz w:val="24"/>
          <w:szCs w:val="24"/>
        </w:rPr>
        <w:lastRenderedPageBreak/>
        <w:t>oznámenia predkladané podľa nariadenia (EÚ) 2024/1624 a ďalšie relevantné informácie prijaté FSJ. Dôležitým informačným zdrojom sú informácie získané na základe žiadostí FSJ podľa § 20 ods. 1. Uvedené oprávnenie umožňuje doplniť informácie od povinných osôb potrebné na vykonanie finančnej analýzy aj nad rámec údajov, ktoré boli pôvodne obsiahnuté v hlásení o podozrivej transakcii alebo ktoré už má FSJ k dispozícii. Takto získané informácie môžu slúžiť najmä na objasnenie konkrétnych transakcií, obchodných vzťahov, finančných tokov alebo ďalších okolností významných pre analytické posúdenie. FSJ využíva aj informácie získané v rámci medzinárodnej spolupráce, nakoľko legalizácia, financovanie terorizmu alebo financovanie zbraní hromadného ničenia majú často cezhraničný charakter. Účinná finančná analýza preto vyžaduje možnosť získavať a využívať informácie od zahraničných FIU a iných príslušných orgánov v rámci medzinárodnej spolupráce. Takto získané informácie umožňujú identifikovať zahraničné účty, osoby, transakcie alebo ďalšie väzby, ktoré sú relevantné pre finančnú analýzu vykonávanú FSJ. Medzinárodná výmena informácií tým predstavuje integrálnu súčasť analytickej činnosti FSJ v prípadoch s cezhraničným prvkom.</w:t>
      </w:r>
    </w:p>
    <w:p w14:paraId="40FA2468"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17:</w:t>
      </w:r>
    </w:p>
    <w:p w14:paraId="57538AA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upravuje postup FSJ pri odstupovaní informácií získaných z finančných analýz príslušným orgánom verejnej moci, poskytovaní finančných informácií a finančných analýz na základe odôvodnených žiadostí, ako aj pri získavaní informácií potrebných na plnenie jej zákonných úloh. Súčasne ustanovuje podmienky ďalšieho využívania poskytnutých informácií, dôvody odmietnutia ich poskytnutia, pravidlá cezhraničnej výmeny informácií a ochranu údajov o ich pôvodcovi. Ustanovenie nadväzuje na doterajšiu právnu úpravu obsiahnutú v § 26 súčasného AML zákona a zohľadňuje požiadavky článku 19 ods. 3, článku 21 a článku 22 ods. 1 smernice Európskeho parlamentu a Rady (EÚ) 2024/1640, ktoré upravujú analytické úlohy finančných spravodajských jednotiek, ich prístup k informáciám a poskytovanie informácií príslušným orgánom. Cieľom právnej úpravy je vytvoriť účinný, bezpečný a právne predvídateľný rámec na využívanie informácií získaných pri analytickej činnosti FSJ, najmä na účely predchádzania, odhaľovania, vyšetrovania a stíhania legalizácie, súvisiacich predikatívnych trestných činov, financovania terorizmu a ďalšej závažnej trestnej činnosti. </w:t>
      </w:r>
    </w:p>
    <w:p w14:paraId="3AFB704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Navrhovaná úprava rozlišuje medzi odstupovaním informácií z vlastného podnetu FSJ, poskytovaním informácií na základe odôvodnenej žiadosti oprávneného orgánu a získavaním informácií od ďalších orgánov verejnej moci. Jednotlivé mechanizmy majú odlišné zákonné podmienky a účel, pričom ich spoločným cieľom je zabezpečiť včasné využitie relevantných analytických poznatkov a účinnú spoluprácu medzi príslušnými orgánmi. Osobitný význam má zachovanie funkčnej a operatívnej nezávislosti FSJ pri rozhodovaní o poskytovaní informácií. Poskytovanie výsledkov finančných analýz príslušným orgánom neznamená prenesenie analytických právomocí FSJ na tieto orgány ani ich oprávnenie určovať obsah alebo výsledok finančnej analýzy. Právna úprava zároveň sleduje ochranu dôverných informácií, základných práv dotknutých osôb a pôvodcov informácií, pričom zabezpečuje, aby sa informácie získané pri činnosti FSJ využívali výlučne na zákonom ustanovené účely a v rozsahu nevyhnutnom na plnenie úloh oprávnených orgánov.</w:t>
      </w:r>
    </w:p>
    <w:p w14:paraId="5B0F296F"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Odsek 1 vymedzuje okruh orgánov, ktorým FSJ odstupuje informácie z finančných analýz, a účely, na ktoré sa tieto informácie poskytujú. Ide o poskytovanie informácií z vlastného podnetu FSJ, ak sú na základe výsledkov finančnej analýzy splnené podmienky ustanovené pre jednotlivých príjemcov. Takýto postup umožňuje včasné využitie relevantných poznatkov získaných pri analytickej činnosti FSJ a zabezpečuje, aby sa informácie významné pre výkon pôsobnosti príslušných orgánov dostali k týmto orgánom bez potreby predchádzajúcej žiadosti. Odstupovanie informácií predstavuje jeden zo základných spôsobov využitia výsledkov operatívnej finančnej analýzy, ktorej účelom je identifikovať finančné súvislosti a skutočnosti významné pre predchádzanie a odhaľovanie trestnej činnosti.</w:t>
      </w:r>
    </w:p>
    <w:p w14:paraId="6FB578C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Písmeno a) ustanovuje odstupovanie informácií z finančných analýz orgánom činným v trestnom konaní, ak zistené skutočnosti nasvedčujú tomu, že bol spáchaný trestný čin. Ide o základný mechanizmus využívania výsledkov finančnej analýzy na účely trestného konania. FSJ na základe vyhodnotenia získaných informácií identifikuje skutočnosti, ktoré môžu nasvedčovať spáchaniu trestného činu, a odstupuje ich orgánom činným v trestnom konaní na ďalší postup v rozsahu ich zákonných právomocí. Odstúpenie informácií nepredstavuje rozhodnutie o spáchaní trestného činu ani nenahrádza dokazovanie vykonávané podľa Trestného poriadku. Jeho účelom je umožniť príslušným orgánom využiť relevantné analytické poznatky pri posudzovaní podozrenia z trestnej činnosti.</w:t>
      </w:r>
    </w:p>
    <w:p w14:paraId="1FE6D13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Písmeno b) upravuje odstupovanie informácií Policajnému zboru na účely plnenia jeho zákonných úloh, najmä pri odhaľovaní trestných činov a zisťovaní ich páchateľov, odhaľovaní daňových únikov, nezákonných finančných operácií, legalizácie, súvisiacich predikatívnych trestných činov, financovania terorizmu a financovania šírenia zbraní hromadného ničenia. Cieľom je umožniť využívanie analytických poznatkov FSJ aj pri zákonných činnostiach Policajného zboru, ktoré predchádzajú začatiu trestného stíhania alebo súvisia s odhaľovaním trestnej činnosti a vyhľadávaním majetku.</w:t>
      </w:r>
    </w:p>
    <w:p w14:paraId="74F4247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Písmeno c) umožňuje odstupovanie informácií štátnym orgánom, ktoré plnia úlohy na úseku ochrany ústavného zriadenia, vnútorného poriadku a bezpečnosti štátu. Podmienkou poskytnutia informácií je ich potrebnosť na plnenie zákonom uložených úloh týchto orgánov v boji proti terorizmu a organizovanej trestnej činnosti. Účelom ustanovenia je zabezpečiť, aby poznatky získané pri finančných analýzach mohli byť využité aj pri identifikácii a vyhodnocovaní bezpečnostných hrozieb, ktoré súvisia s financovaním terorizmu alebo organizovanou trestnou činnosťou.</w:t>
      </w:r>
    </w:p>
    <w:p w14:paraId="5528812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Písmeno d) upravuje odstupovanie informácií Finančnému riaditeľstvu Slovenskej republiky, daňovým úradom a colným úradom. Informácie možno poskytnúť, ak môžu mať význam pre správu daní alebo colný dohľad a ich poskytnutie neohrozí plnenie úloh FSJ. Cieľom je umožniť využitie poznatkov z finančných analýz aj pri identifikácii a preverovaní skutočností relevantných pre správu daní a výkon colného dohľadu. Ustanovenie súčasne výslovne chráni výkon pôsobnosti FSJ tým, že poskytnutie informácií podmieňuje neohrozením plnenia jej zákonných úloh.</w:t>
      </w:r>
    </w:p>
    <w:p w14:paraId="0DEFF31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Písmeno e) upravuje odstupovanie informácií Kriminálnemu úradu finančnej správy, ak je to potrebné na plnenie jeho úloh, najmä v oblasti odhaľovania a preverovania závažnej protiprávnej činnosti patriacej do jeho pôsobnosti.</w:t>
      </w:r>
    </w:p>
    <w:p w14:paraId="494E649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Odsek 2 upravuje poskytovanie finančných informácií a finančných analýz na základe odôvodnenej žiadosti oprávneného orgánu. Navrhované ustanovenie preberá už existujúcu úpravu § 26 ods. 5 súčasného AML zákona. FSJ poskytuje informácie, ktorými disponuje v čase podania žiadosti, orgánom uvedeným v odseku 1 a súdu, ak je ich poskytnutie nevyhnutné na účely predchádzania, odhaľovania, vyšetrovania a stíhania legalizácie, súvisiacich predikatívnych trestných činov, financovania terorizmu, porušenia reštriktívneho opatrenia, financovania šírenia zbraní hromadného ničenia a ďalšej závažnej trestnej činnosti. Ustanovenie nadväzuje na článok 22 ods. 1 smernice (EÚ) 2024/1640, ktorý upravuje poskytovanie informácií FSJ na základe odôvodnených žiadostí príslušných orgánov. Podmienkou poskytnutia informácií je existencia odôvodnenej žiadosti a nevyhnutnosť požadovaných informácií na zákonom ustanovený účel. Odôvodnenie žiadosti má umožniť FSJ posúdiť vecnú súvislosť požadovaných informácií s konkrétnou činnosťou žiadajúceho orgánu a splnenie podmienok ich poskytnutia. Žiadosť preto musí obsahovať dostatočné informácie na identifikáciu jej účelu a posúdenie potrebnosti požadovaných údajov.</w:t>
      </w:r>
    </w:p>
    <w:p w14:paraId="5F76ED5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Výslovné obmedzenie na informácie a finančné analýzy, ktorými FSJ disponuje v čase podania žiadosti, znamená, že ustanovenie samo osebe nezakladá povinnosť vykonávať na základe každej žiadosti nové analytické úkony alebo obstarávať informácie, ktoré FSJ nemá k dispozícii. Tým nie sú dotknuté samostatné oprávnenia FSJ získavať a analyzovať informácie pri plnení jej zákonných úloh podľa iných ustanovení tohto zákona. Súčasne sa ustanovuje zásada účelovej viazanosti poskytovaných informácií. Bez súhlasu FSJ nemožno poskytnuté informácie použiť na iný účel, než na ktorý boli poskytnuté, ani ich ďalej poskytnúť inému orgánu verejnej moci alebo orgánu iného štátu. Tým sa zabezpečuje, aby si FSJ zachovala kontrolu nad ďalším využitím informácií získaných pri jej činnosti a aby sa zabránilo ich neoprávnenému sprístupňovaniu alebo používaniu na nesúvisiace účely.</w:t>
      </w:r>
    </w:p>
    <w:p w14:paraId="707D258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3 ustanovuje dôvody, pre ktoré FSJ nie je povinná vyhovieť žiadosti o poskytnutie informácií podľa odseku 2. Navrhované ustanovenie preberá už existujúcu úpravu § 26 ods. 7 súčasného AML zákona. Ide o prípady, keď by poskytnutie informácií alebo podkladov mohlo zmariť alebo ohroziť spracovanie finančnej analýzy alebo prebiehajúce trestné konanie, bolo by zjavne neprimerané oprávneným záujmom osoby, ktorej sa informácie týkajú, alebo by odporovalo účelu, na ktorý bola žiadosť podaná. Cieľom ustanovenia je zabezpečiť rovnováhu medzi potrebou spolupráce FSJ s príslušnými orgánmi a ochranou integrity jej analytickej činnosti, prebiehajúcich trestných konaní a oprávnených záujmov dotknutých osôb. Ustanovenie vychádza z požiadavky článku 22 ods. 1 smernice (EÚ) 2024/1640, podľa ktorej rozhodnutie o poskytnutí informácií zostáva v pôsobnosti finančnej spravodajskej jednotky a poskytnutie možno odmietnuť v zákonom vymedzených prípadoch. Dôvody odmietnutia však nemajú predstavovať všeobecnú možnosť odmietať spoluprácu s oprávnenými orgánmi. Ich uplatnenie musí vychádzať z konkrétnych okolností a z posúdenia rizík spojených so sprístupnením požadovaných informácií. Ustanovenie zároveň vyžaduje, aby FSJ odôvodnila odmietnutie poskytnutia informácií alebo odmietnutie súhlasu s ich využitím na iný účel podľa odseku 2. Povinnosť odôvodnenia prispieva k transparentnosti postupu FSJ a umožňuje žiadajúcemu orgánu oboznámiť sa s dôvodmi, pre ktoré nebolo možné požadované informácie poskytnúť alebo povoliť ich ďalšie využitie.</w:t>
      </w:r>
    </w:p>
    <w:p w14:paraId="0C15D25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Odsek 4 upravuje oprávnenie orgánov uvedených v odseku 1 a súdu požadovať finančné informácie a finančné analýzy od zahraničných orgánov s porovnateľnou vecnou pôsobnosťou. Navrhované ustanovenie preberá už existujúcu úpravu § 26 ods. 6 a 9 súčasného AML zákona. Účelom ustanovenia je podporiť medzinárodnú spoluprácu pri predchádzaní, odhaľovaní, vyšetrovaní a stíhaní závažnej trestnej činnosti, pri ktorej môžu byť relevantné finančné informácie alebo analytické poznatky dostupné v inom štáte. Získané informácie možno použiť výlučne na účel, na ktorý boli požadované alebo poskytnuté. Ustanovenie tak zachováva zásadu účelovej viazanosti aj pri cezhraničnej výmene informácií a predchádza ich využívaniu na iné účely bez príslušného právneho základu. Oprávnenie podľa tohto odseku je potrebné uplatňovať v súlade s osobitnými právnymi predpismi a pravidlami medzinárodnej spolupráce, ktoré upravujú právomoci jednotlivých orgánov, podmienky poskytovania informácií a prípadné obmedzenia ich ďalšieho použitia. Ustanovenie preto nemožno vykladať ako neobmedzené oprávnenie požadovať akékoľvek informácie od zahraničných orgánov bez rešpektovania príslušného právneho rámca medzinárodnej spolupráce. Súčasne sa ustanovuje požiadavka, aby výmena informácií podľa odseku 2 a podľa prvej vety odseku 4 prebiehala prostredníctvom zabezpečenej elektronickej komunikácie poskytujúcej vysokú úroveň bezpečnosti. Cieľom je zabezpečiť dôvernosť a integritu prenášaných informácií a minimalizovať riziko neoprávneného prístupu, ich pozmenenia alebo sprístupnenia neoprávneným osobám.</w:t>
      </w:r>
    </w:p>
    <w:p w14:paraId="3C31FCF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5 upravuje povinnosť orgánov uvedených v odseku 1 poskytovať FSJ na jej žiadosť informácie, ktorými disponujú a ktoré sú potrebné na plnenie zákonom ustanovených úloh. Navrhované ustanovenie preberá už existujúcu úpravu § 26 ods. 8 súčasného AML zákona. Ide najmä o informácie potrebné na predchádzanie a odhaľovanie legalizácie, financovania terorizmu, financovania šírenia zbraní hromadného ničenia a trestných činov, za ktoré možno uložiť trest odňatia slobody s hornou hranicou trestnej sadzby prevyšujúcou jeden rok. Ustanovenie vytvára obojsmerný mechanizmus výmeny informácií medzi FSJ a príslušnými orgánmi verejnej moci. Jeho účelom je zabezpečiť, aby FSJ mohla pri svojej analytickej činnosti využívať relevantné informácie, ktorými disponujú ďalšie orgány a ktoré môžu prispieť k identifikácii alebo objasneniu podozrivých finančných tokov a súvisiacich skutočností. Povinnosť poskytnúť informácie sa vzťahuje na informácie, ktoré má oslovený orgán k dispozícii a ktoré sú potrebné na zákonom ustanovený účel. Samotné ustanovenie nezakladá povinnosť vytvárať nové informácie alebo analytické výstupy, ktorými oslovený orgán nedisponuje. Osobitná výnimka sa ustanovuje vo vzťahu k spravodajským službám. Informácie sa neposkytujú, ak by ich sprístupnením došlo k ohrozeniu plnenia konkrétnych úloh spravodajskej služby, odhaleniu jej zdrojov, prostriedkov, totožnosti jej príslušníka alebo osoby konajúcej v jej prospech, alebo k ohrozeniu medzinárodnej spravodajskej spolupráce. Cieľom tejto výnimky je zabezpečiť ochranu osobitne citlivých bezpečnostných záujmov a zachovať účinnosť zákonných činností spravodajských služieb. FSJ v žiadosti uvedie lehotu na poskytnutie informácií, čím sa vytvára predpoklad na ich včasné získanie a využitie pri analytickej činnosti.</w:t>
      </w:r>
    </w:p>
    <w:p w14:paraId="64C14DA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6 ustanovuje zákaz uvádzať v informáciách poskytovaných podľa odsekov 1 a 2 údaje o ich pôvodcovi. Účelom ustanovenia je zabezpečiť ochranu identity subjektu alebo osoby, od ktorej FSJ získala informácie, a predchádzať jej neoprávnenému odhaleniu pri ďalšom </w:t>
      </w:r>
      <w:r w:rsidRPr="00146994">
        <w:rPr>
          <w:rFonts w:ascii="Times New Roman" w:hAnsi="Times New Roman"/>
          <w:sz w:val="24"/>
          <w:szCs w:val="24"/>
        </w:rPr>
        <w:lastRenderedPageBreak/>
        <w:t>využívaní výsledkov finančnej analýzy. Ochrana pôvodcu informácií predstavuje významnú záruku dôvernosti oznamovania podozrivých transakcií a prispieva k bezpečnému fungovaniu systému poskytovania informácií FSJ. Pri jeho uplatňovaní je potrebné rozlišovať medzi pôvodcom informácie a osobami, ktorých sa finančná informácia alebo finančná analýza vecne týka. Ochrana pôvodcu informácie nesmie byť zamieňaná so všeobecným zákazom poskytovania identifikačných údajov o osobách, transakciách alebo finančných vzťahoch, ktoré sú relevantné pre účel odstúpenia informácie. Zmyslom ustanovenia je chrániť zdroj informácie, nie obmedziť využiteľnosť finančnej analýzy tým, že by sa z nej vylúčili údaje potrebné na identifikáciu podozrivej činnosti alebo jej finančných súvislostí.</w:t>
      </w:r>
    </w:p>
    <w:p w14:paraId="66CD61B9"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18:</w:t>
      </w:r>
    </w:p>
    <w:p w14:paraId="702AF6C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transponuje článok 22 ods. 2 a článok 28 smernice (EÚ) 2024/1640 a upravuje systém vzájomnej spätnej väzby medzi FSJ, orgánmi, ktorým poskytuje výsledky svojej analytickej činnosti, povinnými osobami, orgánmi dohľadu a príslušnými orgánmi v oblasti kontroly cezhraničných pohybov peňažných prostriedkov v hotovosti. Cieľom spätnej väzby je umožniť vyhodnocovanie kvality, využiteľnosti a praktického dopadu informácií poskytovaných v rámci systému AML/CFT a vytvoriť mechanizmus na priebežné zvyšovanie účinnosti spolupráce medzi jednotlivými subjektmi tohto systému. Spätná väzba má obojsmerný charakter. Na jednej strane umožňuje FSJ získavať informácie o tom, ako boli výsledky jej analytickej činnosti využité príslušnými orgánmi a aké opatrenia boli na ich základe prijaté. Na druhej strane FSJ poskytuje povinným osobám informácie o kvalite a využiteľnosti nimi podávaných hlásení o podozrivých transakciách a orgánom dohľadu poskytuje informácie využiteľné pri výkone rizikovo orientovaného dohľadu. Ustanovenie tak vytvára systém pravidelného vyhodnocovania informačných tokov medzi FSJ, povinnými osobami a príslušnými orgánmi a umožňuje identifikovať nedostatky v kvalite hlásení, analytických výstupov alebo následného využívania poskytnutých informácií.</w:t>
      </w:r>
    </w:p>
    <w:p w14:paraId="3B4A4B2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1 transponuje článok 22 ods. 2 smernice (EÚ) 2024/1640 a ustanovuje povinnosť orgánov, ktorým FSJ poskytla informácie podľa § 17 ods. 1 a 2, poskytovať FSJ spätnú väzbu o ich ďalšom využití. Spätná väzba sa týka použitia a využiteľnosti poskytnutých informácií, výsledku opatrení prijatých na ich základe a ďalších postupov uskutočnených v nadväznosti na tieto informácie. Účelom je zabezpečiť, aby FSJ mala informácie o praktickom dopade svojich analytických výstupov a mohla vyhodnocovať ich význam a využiteľnosť pre činnosť orgánov, ktorým boli poskytnuté. Takto získané poznatky umožňujú FSJ posudzovať, či poskytované informácie zodpovedajú potrebám ich príjemcov, akým spôsobom sú ďalej využívané a do akej miery prispievajú k prijímaniu následných opatrení. Spätná väzba zároveň vytvára informačný podklad na ďalšie skvalitňovanie operačnej analytickej činnosti a efektívnejšie určovanie jej priorít. Spätná väzba sa poskytuje na žiadosť FSJ bez zbytočného odkladu a zároveň v súhrnnej forme najmenej raz ročne. Ustanovenie tak kombinuje priebežnú spätnú väzbu k využitiu poskytnutých informácií s pravidelným súhrnným vyhodnotením ich praktickej využiteľnosti a následných opatrení.</w:t>
      </w:r>
    </w:p>
    <w:p w14:paraId="2C329BD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transponuje článok 28 ods. 1 smernice (EÚ) 2024/1640 a ustanovuje povinnosť FSJ poskytovať najmenej raz ročne povinným osobám spätnú väzbu k hláseniam o podozrivých transakciách. Spätná väzba sa zameriava najmä na kvalitu informácií poskytnutých povinnou </w:t>
      </w:r>
      <w:r w:rsidRPr="00146994">
        <w:rPr>
          <w:rFonts w:ascii="Times New Roman" w:hAnsi="Times New Roman"/>
          <w:sz w:val="24"/>
          <w:szCs w:val="24"/>
        </w:rPr>
        <w:lastRenderedPageBreak/>
        <w:t>osobou, včasnosť ohlásenia, spôsob opísania podozrenia a dokumenty poskytnuté spolu s hlásením v čase jeho ohlásenia. Cieľom je umožniť povinným osobám vyhodnocovať kvalitu vlastných procesov identifikácie a ohlasovania podozrivých transakcií a odstraňovať nedostatky, ktoré znižujú analytickú využiteľnosť predkladaných hlásení. Kvalita hlásenia sa neposudzuje iba podľa rozsahu poskytnutých údajov, ale najmä podľa ich relevantnosti a schopnosti dostatočne a zrozumiteľne vysvetliť okolnosti, ktoré viedli povinnú osobu k vzniku podozrenia. Význam má tiež včasnosť ohlásenia a poskytnutie relevantnej dokumentácie, ktorá umožňuje FSJ efektívne nadviazať na poznatky povinnej osoby vlastnou analytickou činnosťou. Spätná väzba tak plní nielen hodnotiacu, ale aj preventívnu a metodickú funkciu. Poznatky získané zo spätnej väzby môžu povinné osoby využívať pri nastavovaní a aktualizácii svojich vnútorných postupov, indikátorov podozrivých transakcií, mechanizmov monitorovania a postupov pri plnení ohlasovacej povinnosti. Povinnosť poskytovať spätnú väzbu neznamená povinnosť FSJ individuálne vyhodnotiť a poskytnúť spätnú väzbu ku každému jednotlivému hláseniu. Jej rozsah a spôsob poskytovania sa posudzujú v spojení s odsekom 3 a s prihliadnutím na počet prijatých hlásení a potrebu zabezpečiť účelnú a primeranú spätnú väzbu.</w:t>
      </w:r>
    </w:p>
    <w:p w14:paraId="2C91848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3 upravuje spôsob poskytovania spätnej väzby podľa odseku 2 a jej využitie na účely výkonu dohľadu. Spätná väzba môže byť poskytovaná jednotlivým povinným osobám, skupinám povinných osôb alebo jednotlivým kategóriám povinných osôb, pričom sa prihliada na počet ohlásených podozrivých transakcií. Takéto členenie umožňuje prispôsobiť formu a rozsah spätnej väzby charakteru zistených nedostatkov a štruktúre prijatých hlásení. Ak sa zistenia týkajú konkrétnej povinnej osoby, spätná väzba môže byť adresovaná individuálne. Ak ide o opakujúce sa alebo systémové nedostatky spoločné pre určitú skupinu alebo kategóriu povinných osôb, môže byť účelnejšie poskytnúť spätnú väzbu na úrovni príslušnej skupiny alebo kategórie. Uvedený postup umožňuje sústrediť spätnú väzbu tam, kde môže mať najväčší praktický prínos, a zároveň zohľadňuje celkový počet hlásení prijímaných od jednotlivých povinných osôb alebo ich kategórií.</w:t>
      </w:r>
    </w:p>
    <w:p w14:paraId="6596582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Spätná väzba sa poskytuje aj orgánom dohľadu na účely výkonu dohľadu podľa § 37. Informácie o kvalite a včasnosti hlásení môžu predstavovať významný zdroj informácií pri hodnotení rizikového profilu povinnej osoby a pri plánovaní a vykonávaní rizikovo orientovaného dohľadu. Opakované nedostatky v kvalite hlásení, nedostatočný opis podozrenia, oneskorené ohlasovanie alebo nedostatočná dokumentácia môžu indikovať nedostatky vo vnútorných AML/CFT systémoch alebo postupoch povinnej osoby. Spätná väzba poskytovaná orgánom dohľadu preto vytvára prepojenie medzi poznatkami získanými FSJ pri analytickom spracovaní hlásení a rizikovo orientovaným výkonom dohľadu.</w:t>
      </w:r>
    </w:p>
    <w:p w14:paraId="53C0CEF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4 transponuje požiadavku článku 28 ods. 1 piaty </w:t>
      </w:r>
      <w:proofErr w:type="spellStart"/>
      <w:r w:rsidRPr="00146994">
        <w:rPr>
          <w:rFonts w:ascii="Times New Roman" w:hAnsi="Times New Roman"/>
          <w:sz w:val="24"/>
          <w:szCs w:val="24"/>
        </w:rPr>
        <w:t>pododsek</w:t>
      </w:r>
      <w:proofErr w:type="spellEnd"/>
      <w:r w:rsidRPr="00146994">
        <w:rPr>
          <w:rFonts w:ascii="Times New Roman" w:hAnsi="Times New Roman"/>
          <w:sz w:val="24"/>
          <w:szCs w:val="24"/>
        </w:rPr>
        <w:t xml:space="preserve"> smernice (EÚ) 2024/1640 týkajúcu sa poskytovania informácií úradu AMLA. FSJ raz ročne poskytuje úradu AMLA správu o spätnej väzbe poskytovanej povinným osobám a údaje o počte hlásení o podozrivých transakciách prijatých od jednotlivých kategórií povinných osôb. Účelom tejto informačnej povinnosti je vytvoriť na úrovni Únie porovnateľný informačný základ o fungovaní mechanizmov ohlasovania podozrivých transakcií a poskytovania spätnej väzby. Informácie poskytované jednotlivými finančnými spravodajskými jednotkami umožnia úradu AMLA </w:t>
      </w:r>
      <w:r w:rsidRPr="00146994">
        <w:rPr>
          <w:rFonts w:ascii="Times New Roman" w:hAnsi="Times New Roman"/>
          <w:sz w:val="24"/>
          <w:szCs w:val="24"/>
        </w:rPr>
        <w:lastRenderedPageBreak/>
        <w:t>sledovať fungovanie systému spätnej väzby, identifikovať rozdiely v praxi jednotlivých členských štátov a podporovať zjednocovanie postupov finančných spravodajských jednotiek.</w:t>
      </w:r>
    </w:p>
    <w:p w14:paraId="26D000A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5 transponuje článok 28 ods. 2 smernice (EÚ) 2024/1640 a upravuje spätnú väzbu v súvislosti s informáciami o cezhraničných fyzických prevodoch peňažných prostriedkov v hotovosti poskytovanými podľa článku 9 nariadenia (EÚ) 2018/1672. FSJ raz ročne poskytuje príslušným colným orgánom spätnú väzbu o účinnosti takto poskytnutých informácií a o opatreniach prijatých v nadväznosti na </w:t>
      </w:r>
      <w:proofErr w:type="spellStart"/>
      <w:r w:rsidRPr="00146994">
        <w:rPr>
          <w:rFonts w:ascii="Times New Roman" w:hAnsi="Times New Roman"/>
          <w:sz w:val="24"/>
          <w:szCs w:val="24"/>
        </w:rPr>
        <w:t>ne</w:t>
      </w:r>
      <w:proofErr w:type="spellEnd"/>
      <w:r w:rsidRPr="00146994">
        <w:rPr>
          <w:rFonts w:ascii="Times New Roman" w:hAnsi="Times New Roman"/>
          <w:sz w:val="24"/>
          <w:szCs w:val="24"/>
        </w:rPr>
        <w:t>. Cieľom je umožniť príslušným orgánom vyhodnocovať praktickú využiteľnosť informácií poskytovaných FSJ v súvislosti s kontrolou cezhraničných pohybov hotovosti a zároveň podporovať účinnú vzájomnú spoluprácu. Informácie o výsledkoch ich ďalšieho analytického využitia môžu prispievať k lepšej identifikácii rizikových spôsobov cezhraničnej prepravy hotovosti, rizikových trás, geografických oblastí alebo ďalších okolností významných z hľadiska legalizácie výnosov z trestnej činnosti alebo financovania terorizmu.</w:t>
      </w:r>
    </w:p>
    <w:p w14:paraId="14B56E8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K odseku 6: Účelom ustanovenia je zabezpečiť rovnováhu medzi požiadavkou na účinnú spätnú väzbu a potrebou chrániť prebiehajúce analytické, </w:t>
      </w:r>
      <w:proofErr w:type="spellStart"/>
      <w:r w:rsidRPr="00146994">
        <w:rPr>
          <w:rFonts w:ascii="Times New Roman" w:hAnsi="Times New Roman"/>
          <w:sz w:val="24"/>
          <w:szCs w:val="24"/>
        </w:rPr>
        <w:t>dohľadové</w:t>
      </w:r>
      <w:proofErr w:type="spellEnd"/>
      <w:r w:rsidRPr="00146994">
        <w:rPr>
          <w:rFonts w:ascii="Times New Roman" w:hAnsi="Times New Roman"/>
          <w:sz w:val="24"/>
          <w:szCs w:val="24"/>
        </w:rPr>
        <w:t xml:space="preserve"> a procesné postupy, ako aj citlivé informácie, ktoré sú ich súčasťou. Spätná väzba preto nemá slúžiť na poskytovanie informácií o konkrétnych analytických postupoch FSJ alebo o ďalšom postupe príslušných orgánov v rozsahu, ktorý by mohol zmariť alebo sťažiť prebiehajúcu činnosť alebo konanie. Rovnako sa pri poskytovaní spätnej väzby zachovávajú pravidlá ochrany osobných údajov a dôvernosti informácií. Rozsah spätnej väzby sa preto musí v konkrétnom prípade prispôsobiť tak, aby bol splnený jej účel bez neoprávneného sprístupnenia chránených informácií. Ochranné pravidlo sa uplatňuje počas obdobia, v ktorom by poskytnutie konkrétnej informácie mohlo ohroziť chránený účel. Neznamená preto všeobecné vylúčenie poskytovania spätnej väzby, ale obmedzenie jej rozsahu alebo poskytnutia v prípadoch, keď je to nevyhnutné na ochranu prebiehajúcej analytickej činnosti, dohľadu alebo príslušného konania.</w:t>
      </w:r>
    </w:p>
    <w:p w14:paraId="0F5E919B"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19:</w:t>
      </w:r>
    </w:p>
    <w:p w14:paraId="3A04A93F"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transponuje článok 23 smernice (EÚ) 2024/1640 a upravuje poskytovanie informácií FSJ Národnej banke Slovenska a Úradu pre reguláciu hazardných hier na účely výkonu AML/CFT dohľadu. Cieľom ustanovenia je zabezpečiť systematickú výmenu relevantných informácií medzi FSJ a orgánmi dohľadu a umožniť, aby poznatky získané pri prijímaní a analýze hlásení o podozrivých transakciách a pri ďalšej analytickej činnosti FSJ boli primerane využívané aj pri dohľade nad plnením AML/CFT povinností. Informácie, ktorými disponuje FSJ, môžu orgánom dohľadu poskytovať významný obraz o kvalite fungovania AML/CFT systémov jednotlivých povinných osôb alebo sektorov. Môžu poukazovať napríklad na nízku kvalitu hlásení, oneskorené reakcie na žiadosti FSJ, opakujúce sa rizikové typológie alebo vznikajúce sektorové a geografické riziká. Takto získané informácie môžu byť využité pri hodnotení rizikového profilu povinných osôb, určovaní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priorít, plánovaní kontrolnej činnosti a uplatňovaní dohľadu založeného na hodnotení rizika. Oproti doterajšej právnej úprave, ktorá bola všeobecnejšia, návrh precíznejšie vymedzuje rozsah poskytovania informácií.</w:t>
      </w:r>
    </w:p>
    <w:p w14:paraId="5FDDA9B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ustanovuje povinnosť FSJ poskytovať Národnej banke Slovenska a Úradu pre reguláciu hazardných hier informácie relevantné na účely výkonu dohľadu. Informácie sa </w:t>
      </w:r>
      <w:r w:rsidRPr="00146994">
        <w:rPr>
          <w:rFonts w:ascii="Times New Roman" w:hAnsi="Times New Roman"/>
          <w:sz w:val="24"/>
          <w:szCs w:val="24"/>
        </w:rPr>
        <w:lastRenderedPageBreak/>
        <w:t xml:space="preserve">poskytujú buď na žiadosť príslušného orgánu dohľadu, alebo z vlastného podnetu FSJ. Možnosť poskytovania informácií z vlastného podnetu je významná najmä v prípadoch, keď FSJ pri svojej analytickej činnosti identifikuje skutočnosti relevantné pre dohľad, hoci orgán dohľadu o nich ešte nemusí vedieť. Rozsah poskytovaných informácií zahŕňa najmä údaje o počte a kvalite hlásení o podozrivých transakciách predkladaných povinnými osobami. Tieto informácie môžu byť významným indikátorom úrovne nastavenia vnútorných AML/CFT mechanizmov povinnej osoby. Dlhodobo nízky počet hlásení vzhľadom na povahu, rozsah alebo rizikovosť činnosti povinnej osoby, prípadne nízka kvalita predkladaných hlásení, môžu predstavovať relevantný podklad pre </w:t>
      </w:r>
      <w:proofErr w:type="spellStart"/>
      <w:r w:rsidRPr="00146994">
        <w:rPr>
          <w:rFonts w:ascii="Times New Roman" w:hAnsi="Times New Roman"/>
          <w:sz w:val="24"/>
          <w:szCs w:val="24"/>
        </w:rPr>
        <w:t>dohľadové</w:t>
      </w:r>
      <w:proofErr w:type="spellEnd"/>
      <w:r w:rsidRPr="00146994">
        <w:rPr>
          <w:rFonts w:ascii="Times New Roman" w:hAnsi="Times New Roman"/>
          <w:sz w:val="24"/>
          <w:szCs w:val="24"/>
        </w:rPr>
        <w:t xml:space="preserve"> hodnotenie. FSJ poskytuje aj informácie o kvalite a včasnosti odpovedí povinných osôb na jej žiadosti o informácie. Tým sa orgánom dohľadu umožňuje posudzovať nielen formálne plnenie oznamovacích povinností, ale aj kvalitu priebežnej spolupráce povinnej osoby s FSJ. </w:t>
      </w:r>
    </w:p>
    <w:p w14:paraId="55C54E9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Ďalšiu skupinu tvoria relevantné výsledky strategických analýz FSJ a informácie o trendoch a metódach legalizácie výnosov z trestnej činnosti, súvisiacich predikatívnych trestných činov a financovania terorizmu. Ide najmä o poznatky umožňujúce identifikovať nové alebo meniace sa typológie, rizikové produkty, služby, distribučné kanály alebo transakčné vzorce. Osobitne sa zohľadňujú geografické, cezhraničné a vznikajúce riziká, ktoré môžu vyžadovať úpravu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priorít alebo intenzity dohľadu nad určitými povinnými osobami alebo sektormi. Výpočet informácií uvedených v tomto odseku nie je vyčerpávajúci. FSJ môže poskytnúť aj ďalšie informácie, ak môžu byť relevantné na účely výkonu AML/CFT dohľadu. Ustanovenie tým vytvára informačný základ pre efektívnejšie uplatňovanie rizikovo orientovaného dohľadu a umožňuje smerovať </w:t>
      </w:r>
      <w:proofErr w:type="spellStart"/>
      <w:r w:rsidRPr="00146994">
        <w:rPr>
          <w:rFonts w:ascii="Times New Roman" w:hAnsi="Times New Roman"/>
          <w:sz w:val="24"/>
          <w:szCs w:val="24"/>
        </w:rPr>
        <w:t>dohľadové</w:t>
      </w:r>
      <w:proofErr w:type="spellEnd"/>
      <w:r w:rsidRPr="00146994">
        <w:rPr>
          <w:rFonts w:ascii="Times New Roman" w:hAnsi="Times New Roman"/>
          <w:sz w:val="24"/>
          <w:szCs w:val="24"/>
        </w:rPr>
        <w:t xml:space="preserve"> zdroje do oblastí, v ktorých analytické poznatky Finančnej spravodajskej jednotky poukazujú na zvýšené riziko alebo nedostatky pri plnení AML/CFT povinností.</w:t>
      </w:r>
    </w:p>
    <w:p w14:paraId="0D64C0A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transponuje článok 23 ods. 2 smernice (EÚ) 2024/1640 a upravuje osobitnú povinnosť FSJ bezprostredne po zistení porušenia informovať Národnú banku Slovenska a Úrad pre reguláciu hazardných hier, ak informácie, ktoré má k dispozícii, naznačujú možné porušenie príslušných priamo uplatniteľných predpisov Únie zo strany povinnej osoby. Na rozdiel od všeobecného poskytovania informácií podľa odseku 1 ide o informáciu týkajúcu sa možného konkrétneho porušenia AML/CFT povinností konkrétnou povinnou osobou. FSJ nemusí mať porušenie právoplatne alebo definitívne preukázané. Pre vznik informačnej povinnosti postačuje, ak dostupné informácie naznačujú možné porušenie. Posúdenie, či k porušeniu skutočne došlo, a prijatie prípadných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nápravných alebo sankčných opatrení patrí do pôsobnosti príslušného orgánu dohľadu. Požiadavka na informovanie bezprostredne po zistení porušenia zabezpečuje, aby orgán dohľadu dostal relevantnú informáciu v čase, keď môže účinne vykonať potrebné </w:t>
      </w:r>
      <w:proofErr w:type="spellStart"/>
      <w:r w:rsidRPr="00146994">
        <w:rPr>
          <w:rFonts w:ascii="Times New Roman" w:hAnsi="Times New Roman"/>
          <w:sz w:val="24"/>
          <w:szCs w:val="24"/>
        </w:rPr>
        <w:t>dohľadové</w:t>
      </w:r>
      <w:proofErr w:type="spellEnd"/>
      <w:r w:rsidRPr="00146994">
        <w:rPr>
          <w:rFonts w:ascii="Times New Roman" w:hAnsi="Times New Roman"/>
          <w:sz w:val="24"/>
          <w:szCs w:val="24"/>
        </w:rPr>
        <w:t xml:space="preserve"> úkony, vyžiadať si ďalšie informácie alebo prijať opatrenia na nápravu. Takýto mechanizmus zároveň zabraňuje tomu, aby významné poznatky zistené pri analytickej činnosti FSJ zostali oddelené od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činnosti orgánov zodpovedných za kontrolu plnenia AML/CFT povinností. </w:t>
      </w:r>
    </w:p>
    <w:p w14:paraId="6D3FEA0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transponuje článok 23 ods. 3 smernice (EÚ) 2024/1640 a ustanovuje ochranné pravidlá pre poskytovanie informácií orgánom dohľadu. Ak nejde o prípad konkrétneho možného porušenia podľa odseku 2, informácie poskytované FSJ nesmú obsahovať údaje umožňujúce identifikáciu konkrétnych fyzických alebo právnických osôb ani údaje o prípadoch týkajúcich </w:t>
      </w:r>
      <w:r w:rsidRPr="00146994">
        <w:rPr>
          <w:rFonts w:ascii="Times New Roman" w:hAnsi="Times New Roman"/>
          <w:sz w:val="24"/>
          <w:szCs w:val="24"/>
        </w:rPr>
        <w:lastRenderedPageBreak/>
        <w:t>sa osôb, ktoré sú predmetom prebiehajúcej finančnej analýzy alebo vyšetrovania. Účelom tejto úpravy je vytvoriť rovnováhu medzi potrebou poskytovať orgánom dohľadu relevantné informácie a potrebou chrániť dôvernosť finančnej analýzy, prebiehajúcich vyšetrovaní a osobné alebo iné identifikačné údaje dotknutých osôb. Informácie poskytované podľa odseku 1 majú preto zásadne agregovaný, analytický alebo strategický charakter. Výnimku predstavujú prípady podľa odseku 2, keď je identifikácia konkrétnej povinnej osoby alebo ďalších relevantných skutočností nevyhnutná na to, aby orgán dohľadu mohol reagovať na možné porušenie právnych povinností.</w:t>
      </w:r>
    </w:p>
    <w:p w14:paraId="48014E08"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20:</w:t>
      </w:r>
    </w:p>
    <w:p w14:paraId="751B53C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upravuje oprávnenie FSJ vyžadovať a získavať informácie potrebné na vypracúvanie finančných analýz a plnenie ďalších zákonných úloh, ako aj rozsah a spôsob jej prístupu k vybraným informáciám vedeným v informačných systémoch a registroch verejnej správy. Ustanovenie zabezpečuje transpozíciu príslušných požiadaviek článku 21 smernice (EÚ) č. 2024/1640, ktorý upravuje prístup finančných spravodajských jednotiek k finančným, administratívnym a informáciám súvisiacim s presadzovaním práva. Uvedená smernica vyžaduje, aby finančné spravodajské jednotky mali prístup k informáciám potrebným na plnenie svojich úloh, pričom pri určených kategóriách finančných a administratívnych informácií ustanovuje požiadavku priameho a okamžitého prístupu. Cieľom navrhovanej právnej úpravy je zabezpečiť, aby FSJ disponovala dostatočnými, relevantnými a včas dostupnými informáciami potrebnými na identifikáciu a analýzu podozrivých finančných operácií, preverovanie ekonomických a majetkových súvislostí a zisťovanie možných prepojení medzi osobami, transakciami a ďalšími skutočnosťami významnými pre predchádzanie a odhaľovanie legalizácie, súvisiacich predikatívnych trestných činov a financovania terorizmu.</w:t>
      </w:r>
    </w:p>
    <w:p w14:paraId="346924E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Navrhovaná úprava rozlišuje medzi oprávnením FSJ požadovať informácie priamo od povinných osôb a prístupom k informáciám vedeným príslušnými orgánmi verejnej moci. Jednotlivé mechanizmy majú odlišný právny základ a spôsob realizácie, pričom ich spoločným účelom je zabezpečiť dostupnosť informácií potrebných na účinný výkon analytickej a ďalšej zákonnej pôsobnosti FSJ. Prístup k informáciám sa uskutočňuje na zákonom ustanovené účely a pri rešpektovaní požiadaviek ochrany osobných údajov, dôverných informácií a osobitných výnimiek vyplývajúcich z právnych predpisov Únie. Oprávnenie získavať informácie preto nemožno vykladať ako neobmedzený prístup k údajom bez súvislosti s plnením zákonných úloh FSJ.</w:t>
      </w:r>
    </w:p>
    <w:p w14:paraId="40BA5DD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ustanovuje oprávnenie FSJ vyžadovať od povinných osôb informácie potrebné na vypracúvanie finančných analýz podľa § 16, a to aj v prípadoch, keď povinná osoba predtým neoznámila podozrivú transakciu. Ustanovenie nadväzuje na článok 21 ods. 4 smernice (EÚ) 2024/1640, ktorý FSJ priznáva oprávnenie požadovať, získavať a využívať informácie od povinných osôb pri plnení ich analytických úloh bez ohľadu na existenciu predchádzajúceho oznámenia. Cieľom je zabezpečiť, aby získavanie informácií nebolo podmienené výlučne oznámením podozrivej transakcie zo strany konkrétnej povinnej osoby. FSJ tak môže požadovať informácie aj na základe vlastných analytických zistení, poznatkov získaných od iných povinných osôb alebo informácií pochádzajúcich z ďalších zákonných zdrojov. Uvedené oprávnenie má význam najmä pri preverovaní finančných tokov, identifikácii vzájomne </w:t>
      </w:r>
      <w:r w:rsidRPr="00146994">
        <w:rPr>
          <w:rFonts w:ascii="Times New Roman" w:hAnsi="Times New Roman"/>
          <w:sz w:val="24"/>
          <w:szCs w:val="24"/>
        </w:rPr>
        <w:lastRenderedPageBreak/>
        <w:t>súvisiacich obchodných operácií, zisťovaní ekonomického účelu transakcií a posudzovaní vzťahov medzi jednotlivými subjektmi. Umožňuje FSJ dopĺňať informácie potrebné na vyhodnotenie podozrivých skutočností a vytvárať ucelenejší obraz o analyzovaných finančných aktivitách. Povinná osoba je povinná požadované informácie poskytnúť v lehote určenej FSJ. Požiadavka včasného poskytnutia informácií zohľadňuje povahu operatívnej finančnej analýzy, pri ktorej môže mať rýchlosť získania relevantných údajov zásadný význam pre identifikáciu a ďalšie preverovanie podozrivých finančných operácií. Hoci návrh používa formuláciu „akékoľvek informácie“, rozsah oprávnenia FSJ je vecne viazaný na účel vypracúvania finančnej analýzy podľa § 16. Požadované informácie preto musia súvisieť s plnením tejto zákonnej úlohy a ich získavanie musí rešpektovať požiadavky nevyhnutnosti, primeranosti a ochrany práv dotknutých osôb. Súčasne sa ustanovuje výnimka z povinnosti poskytnúť informácie, ak ide o informácie získané za podmienok podľa článku 70 ods. 2 nariadenia Európskeho parlamentu a Rady (EÚ) 2024/1624. Uvedená výnimka zohľadňuje osobitnú ochranu informácií získaných napr. advokátom, notárom alebo audítorom pri zisťovaní právneho postavenia klienta alebo pri jeho obhajobe a zastupovaní v súdnom konaní, a to v osobnom a vecnom rozsahu ustanovenom priamo uplatniteľným právom Únie. Účelom je zabezpečiť, aby oprávnenie FSJ vyžadovať informácie nezasahovalo do ochrany profesijného tajomstva, dôvernosti právneho poradenstva a práva na obhajobu v prípadoch chránených uvedeným nariadením. Výnimku nemožno vykladať ako všeobecné oslobodenie určitej profesie od povinnosti poskytovať informácie FSJ. Jej uplatnenie závisí od povahy konkrétnych informácií, okolností ich získania a splnenia podmienok ustanovených v článku 70 ods. 2 nariadenia (EÚ) 2024/1624. Navrhovaná úprava v základnej koncepcii nadväzuje na doterajšiu právnu úpravu § 22 a § 23 súčasného AML zákona.</w:t>
      </w:r>
    </w:p>
    <w:p w14:paraId="48AF788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2 vymedzuje okruh informácií a údajov vedených v informačných systémoch a registroch, ku ktorým má FSJ prístup na účely plnenia úloh podľa tohto zákona. Navrhovaná úprava dopĺňa prístup k informáciám zabezpečený osobitnými právnymi predpismi o ďalšie zákonom vymedzené kategórie údajov, ktoré môžu byť významné pri preverovaní finančných, ekonomických, majetkových a ďalších súvislostí analyzovaných skutočností. Ustanovenie nadväzuje na článok 21 ods. 1 smernice (EÚ) 2024/1640, ktorý vymedzuje minimálny rozsah finančných, administratívnych a informácií súvisiacich s presadzovaním práva, ku ktorým musia mať finančné spravodajské jednotky prístup. Výpočet údajov v odseku 2 preto predstavuje doplnenie existujúcich zákonných oprávnení FSJ, ako súčasti Policajného zboru a nemožno ho vykladať ako úplný a vyčerpávajúci zoznam všetkých kategórií informácií požadovaných smernicou. Splnenie požiadaviek uvedeného článku smernice je potrebné posudzovať vo vzájomnej súvislosti s osobitnými právnymi predpismi, na ktoré návrh odkazuje, a ďalšími ustanoveniami upravujúcimi prístup FSJ k informáciám.</w:t>
      </w:r>
    </w:p>
    <w:p w14:paraId="0EAF579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upravuje spôsob získavania informácií a údajov uvedených v odseku 2. FSJ má k týmto informáciám prístup na základe žiadosti adresovanej príslušnému orgánu, ktorý je povinný požadované informácie poskytnúť bezodkladne a nie je oprávnený zasahovať do ich obsahu. Účelom ustanovenia je zabezpečiť včasné získavanie informácií potrebných na plnenie zákonných úloh FSJ a predchádzať prieťahom, ktoré by mohli nepriaznivo ovplyvniť priebeh finančnej analýzy. Ustanovenie nadväzuje na článok 21 ods. 2 smernice (EÚ) 2024/1640, podľa ktorého sa prístup k informáciám považuje za priamy a okamžitý nielen v prípade ich získavania </w:t>
      </w:r>
      <w:r w:rsidRPr="00146994">
        <w:rPr>
          <w:rFonts w:ascii="Times New Roman" w:hAnsi="Times New Roman"/>
          <w:sz w:val="24"/>
          <w:szCs w:val="24"/>
        </w:rPr>
        <w:lastRenderedPageBreak/>
        <w:t xml:space="preserve">priamo z informačného systému, registra alebo databázy bez </w:t>
      </w:r>
      <w:proofErr w:type="spellStart"/>
      <w:r w:rsidRPr="00146994">
        <w:rPr>
          <w:rFonts w:ascii="Times New Roman" w:hAnsi="Times New Roman"/>
          <w:sz w:val="24"/>
          <w:szCs w:val="24"/>
        </w:rPr>
        <w:t>sprostredkujúcich</w:t>
      </w:r>
      <w:proofErr w:type="spellEnd"/>
      <w:r w:rsidRPr="00146994">
        <w:rPr>
          <w:rFonts w:ascii="Times New Roman" w:hAnsi="Times New Roman"/>
          <w:sz w:val="24"/>
          <w:szCs w:val="24"/>
        </w:rPr>
        <w:t xml:space="preserve"> úkonov, ale aj vtedy, ak orgán alebo subjekt, ktorý informáciami disponuje, zabezpečí ich urýchlené poskytnutie a zároveň nemôže zasahovať do požadovaných údajov alebo informácií. Navrhovaná právna úprava preto umožňuje realizovať prístup FSJ prostredníctvom príslušných orgánov bez toho, aby bolo nevyhnutné zaviesť priamy technický prístup do každého informačného systému. Podmienkou súladu s požiadavkami smernice však zostáva, aby poskytovanie informácií prebiehalo skutočne bezodkladne a aby príslušný orgán nemohol svojvoľne meniť, filtrovať alebo inak ovplyvňovať obsah požadovaných údajov.</w:t>
      </w:r>
    </w:p>
    <w:p w14:paraId="77C0FEF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4 upravuje osobitný spôsob zabezpečenia prístupu FSJ k informáciám obsiahnutým v menových a zmenárenských databázach podľa odseku 2 písm. a). Rozsah týchto informácií a spôsob ich sprístupňovania sa upravia v písomnej dohode o spolupráci uzatvorenej medzi FSJ a Národnou bankou Slovenska. Cieľom ustanovenia je umožniť praktické a technické nastavenie poskytovania uvedených informácií s prihliadnutím na povahu údajov, spôsob ich vedenia a potreby analytickej činnosti FSJ. Písomná dohoda môže upraviť najmä organizačné a technické postupy sprístupňovania informácií, komunikačné mechanizmy, podmienky ich bezpečného prenosu a opatrenia na zabezpečenie dôvernosti a integrity poskytovaných údajov. Pri určení rozsahu a spôsobu sprístupňovania informácií je potrebné zohľadniť požiadavku článku 21 ods. 1 písm. a) bod iv) a ods. 2 smernice (EÚ) 2024/1640, podľa ktorej musí byť prístup k menovým a zmenárenským databázam zabezpečený priamo a okamžite.</w:t>
      </w:r>
    </w:p>
    <w:p w14:paraId="42016CBF"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21:</w:t>
      </w:r>
    </w:p>
    <w:p w14:paraId="4BB5A55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K odseku 1: Navrhované ustanovenie transponuje článok 24 smernice (EÚ) 2024/1640 a upravuje oprávnenie FSJ uložiť povinnej osobe pokyn na pozastavenie transakcie alebo obchodného vzťahu, ak existuje podozrenie, že transakcia alebo obchodný vzťah súvisí s legalizáciou, súvisiacimi predikatívnymi trestnými činmi alebo financovaním terorizmu. Ide o osobitný operatívny a preventívny nástroj FSJ, ktorého účelom je dočasne zabrániť vykonaniu podozrivej transakcie alebo ďalšiemu nakladaniu s finančnými prostriedkami prostredníctvom účtu alebo obchodného vzťahu, a vytvoriť tak nevyhnutný časový priestor na vykonanie finančnej analýzy, overenie podozrenia a prijatie prípadných nadväzujúcich opatrení príslušnými orgánmi. Ide o dočasné opatrenie smerujúce k zachovaniu existujúceho stavu a k zabráneniu tomu, aby počas analytickej činnosti FSJ došlo k prevodu, ukrytiu, rozptýleniu alebo inému zmareniu dostupnosti finančných prostriedkov alebo majetku.</w:t>
      </w:r>
    </w:p>
    <w:p w14:paraId="1294DF2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Vzhľadom na preventívnu povahu opatrenia sa nevyžaduje, aby bola trestná činnosť alebo nezákonný pôvod finančných prostriedkov v čase vydania pokynu preukázaný. Pokyn môže smerovať jednak k pozastaveniu konkrétnej transakcie, jednak k pozastaveniu obchodného vzťahu, najmä používania bankového účtu, platobného účtu alebo účtu </w:t>
      </w:r>
      <w:proofErr w:type="spellStart"/>
      <w:r w:rsidRPr="00146994">
        <w:rPr>
          <w:rFonts w:ascii="Times New Roman" w:hAnsi="Times New Roman"/>
          <w:sz w:val="24"/>
          <w:szCs w:val="24"/>
        </w:rPr>
        <w:t>kryptoaktív</w:t>
      </w:r>
      <w:proofErr w:type="spellEnd"/>
      <w:r w:rsidRPr="00146994">
        <w:rPr>
          <w:rFonts w:ascii="Times New Roman" w:hAnsi="Times New Roman"/>
          <w:sz w:val="24"/>
          <w:szCs w:val="24"/>
        </w:rPr>
        <w:t>. Možnosť pozastaviť obchodný vzťah reaguje na prípady, keď identifikované riziko nemožno obmedziť na jedinú transakciu, ale súvisí so širším spôsobom používania účtu alebo s pokračujúcim obchodným vzťahom. Takéto opatrenie umožňuje zabrániť vykonávaniu ďalších transakcií počas obdobia potrebného na finančnú analýzu. Pokyn sa vydáva s cieľom ochrany finančných prostriedkov, vykonania analýz vrátane analýzy relevantných transakcií, posúdenia, či sa pôvodné podozrenie potvrdilo, a následného poskytnutia výsledkov analýzy príslušným orgánom na účely prijatia ďalších zákonných opatrení.</w:t>
      </w:r>
    </w:p>
    <w:p w14:paraId="7441F89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Odsek 2 rozlišuje postup FSJ podľa zdroja informácie, na základe ktorej vznikla potreba pozastavenia transakcie. Ak potreba pozastavenia transakcie súvisí so zdržaním a ohlásením podozrivej transakcie povinnou osobou podľa nariadenia (EÚ) 2024/1624, FSJ vydá pokyn do troch pracovných dní odo dňa predloženia hlásenia. Uvedený postup zabezpečuje časovú nadväznosť medzi opatrením vykonaným povinnou osobou a rozhodnutím FSJ o potrebe ďalšieho pozastavenia transakcie. FSJ sa tým poskytuje čas potrebný na prvotné vyhodnotenie hlásenia a rozhodnutie, či sú splnené podmienky na ďalšie obmedzenie dispozície s finančnými prostriedkami. Ak je potreba pozastavenia transakcie identifikovaná na základe operačnej analýzy FSJ alebo na základe inej relevantnej informácie, pokyn sa vydá bez zbytočného odkladu. Môže ísť najmä o poznatky získané vlastnou analytickou činnosťou FSJ, informácie od iného príslušného vnútroštátneho orgánu alebo informácie získané v rámci medzinárodnej spolupráce finančných spravodajských jednotiek. V takomto prípade nemusí pozastaveniu predchádzať hlásenie povinnej osoby. Právomoc FSJ preto umožňuje reagovať aj na riziko identifikované nezávisle od oznamovacej činnosti konkrétnej povinnej osoby.</w:t>
      </w:r>
    </w:p>
    <w:p w14:paraId="21EAAAC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ustanovuje maximálne lehoty trvania jednotlivých druhov pozastavenia. Pri pokyne na pozastavenie transakcie FSJ určí primeranú lehotu, ktorá nesmie presiahnuť desať pracovných dní. Ide o maximálnu dobu určenú najmä na vykonanie finančnej analýzy, posúdenie podozrenia a zabezpečenie prípadného nadväzujúceho postupu príslušných orgánov. Pri pozastavení obchodného vzťahu, najmä používania bankového účtu, platobného účtu alebo účtu </w:t>
      </w:r>
      <w:proofErr w:type="spellStart"/>
      <w:r w:rsidRPr="00146994">
        <w:rPr>
          <w:rFonts w:ascii="Times New Roman" w:hAnsi="Times New Roman"/>
          <w:sz w:val="24"/>
          <w:szCs w:val="24"/>
        </w:rPr>
        <w:t>kryptoaktív</w:t>
      </w:r>
      <w:proofErr w:type="spellEnd"/>
      <w:r w:rsidRPr="00146994">
        <w:rPr>
          <w:rFonts w:ascii="Times New Roman" w:hAnsi="Times New Roman"/>
          <w:sz w:val="24"/>
          <w:szCs w:val="24"/>
        </w:rPr>
        <w:t>, nesmie lehota presiahnuť päť pracovných dní. Kratšia maximálna lehota reflektuje intenzívnejší zásah do práv dotknutej osoby, keďže pozastavenie účtu alebo celého obchodného vzťahu môže obmedziť možnosť vykonávať väčší okruh transakcií alebo využívať služby povinnej osoby. Zákonom ustanovené lehoty sú maximálnymi hranicami. FSJ je v každom jednotlivom prípade povinná určiť iba takú dobu trvania pokynu, ktorá je vzhľadom na konkrétne okolnosti a účel opatrenia primeraná.</w:t>
      </w:r>
    </w:p>
    <w:p w14:paraId="42A53ED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4 umožňuje FSJ zrušiť pokyn pred uplynutím pôvodne určenej doby, ak pominuli dôvody na jeho ďalšie uplatňovanie. Ustanovenie predstavuje významnú záruku proporcionality zásahu. Maximálna lehota neznamená, že pokyn musí trvať až do jej uplynutia. Ak FSJ na základe výsledkov analýzy alebo nových informácií dospeje k záveru, že ďalšie pozastavenie už nie je potrebné na ochranu finančných prostriedkov, vykonanie analýzy alebo zabezpečenie ďalšieho postupu príslušných orgánov, nie je dôvod na pokračovanie zásahu do práv dotknutých osôb. Ustanovenie tak zabezpečuje, aby pozastavenie trvalo iba po dobu objektívne nevyhnutnú na splnenie jeho zákonného účelu.</w:t>
      </w:r>
    </w:p>
    <w:p w14:paraId="5867EB89"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22:</w:t>
      </w:r>
    </w:p>
    <w:p w14:paraId="25C3BA2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K odseku 1: Navrhované ustanovenie transponuje článok 25 smernice (EÚ) 2024/1640 a upravuje oprávnenie FSJ uložiť povinnej osobe pokyn na monitorovanie transakcií alebo činností vykonávaných pre osoby, ktoré predstavujú významné riziko legalizácie, súvisiacich predikatívnych trestných činov alebo financovania terorizmu. Ide o osobitný analytický a monitorovací nástroj, ktorý umožňuje FSJ sledovať vývoj rizikového správania v čase bez potreby okamžitého pozastavenia transakcie alebo obchodného vzťahu. Na rozdiel od opatrenia podľa § 21 monitorovanie zásadne nevedie k prerušeniu vykonávania transakcií alebo činností. Umožňuje získavať priebežné informácie o správaní rizikovej osoby a identifikovať také </w:t>
      </w:r>
      <w:r w:rsidRPr="00146994">
        <w:rPr>
          <w:rFonts w:ascii="Times New Roman" w:hAnsi="Times New Roman"/>
          <w:sz w:val="24"/>
          <w:szCs w:val="24"/>
        </w:rPr>
        <w:lastRenderedPageBreak/>
        <w:t>transakčné vzorce alebo súvislosti, ktoré by nemuseli byť zrejmé pri posudzovaní jednotlivých transakcií izolovane. Tento nástroj má význam najmä v prípadoch, keď sa rizikové správanie prejavuje postupne, opakovane alebo prostredníctvom viacerých navzájom súvisiacich operácií. Môže ísť napríklad o postupné prevody menších čiastok, opakované transakcie s určitým geografickým alebo osobným prvkom, presuny prostriedkov medzi viacerými účtami alebo zmenu zaužívaného transakčného správania klienta.</w:t>
      </w:r>
    </w:p>
    <w:p w14:paraId="60C9BD7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Monitorovanie sa môže týkať transakcií alebo činností vykonávaných prostredníctvom jedného alebo viacerých bankových účtov, platobných účtov alebo účtov </w:t>
      </w:r>
      <w:proofErr w:type="spellStart"/>
      <w:r w:rsidRPr="00146994">
        <w:rPr>
          <w:rFonts w:ascii="Times New Roman" w:hAnsi="Times New Roman"/>
          <w:sz w:val="24"/>
          <w:szCs w:val="24"/>
        </w:rPr>
        <w:t>kryptoaktív</w:t>
      </w:r>
      <w:proofErr w:type="spellEnd"/>
      <w:r w:rsidRPr="00146994">
        <w:rPr>
          <w:rFonts w:ascii="Times New Roman" w:hAnsi="Times New Roman"/>
          <w:sz w:val="24"/>
          <w:szCs w:val="24"/>
        </w:rPr>
        <w:t>, ako aj transakcií alebo činností uskutočňovaných v rámci iných obchodných vzťahov riadených povinnou osobou. Pokyn nemožno využívať ako nástroj všeobecného alebo plošného monitorovania klientov, ale musí byť viazaný na konkrétne rizikové okolnosti odôvodňujúce zvýšenú analytickú pozornosť. Monitorovanie prostredníctvom povinnej osoby umožňuje FSJ získavať informácie priamo z prostredia, v ktorom sa transakcie alebo činnosti vykonávajú, a tým priebežne vyhodnocovať charakter a vývoj identifikovaného rizika. Výsledky monitorovania môžu následne slúžiť na pokračovanie finančnej analýzy, potvrdenie alebo vyvrátenie pôvodných rizikových predpokladov a podľa okolností aj na využitie ďalších oprávnení FSJ alebo poskytnutie výsledkov analýzy príslušným orgánom.</w:t>
      </w:r>
    </w:p>
    <w:p w14:paraId="367660C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2 ustanovuje povinnosť FSJ určiť v pokyne primeranú dobu, počas ktorej je povinná osoba povinná monitorovanie vykonávať. Na rozdiel od pokynu na pozastavenie transakcie alebo obchodného vzťahu podľa § 21 nie je pre monitorovanie ustanovená jednotná maximálna zákonná lehota. Dĺžka monitorovania sa preto určuje individuálne podľa povahy identifikovaného rizika, charakteru sledovaných transakcií alebo činností a účelu finančnej analýzy. Určenie konkrétnej doby predstavuje súčasne záruku proporcionality opatrenia. Pokyn na monitorovanie nemá byť vydaný na neurčitý čas, ale na obdobie potrebné na získanie informácií relevantných pre posúdenie identifikovaného rizika. FSJ môže zároveň uložiť povinnej osobe povinnosť podávať správy o výsledkoch monitorovania. Tým sa umožňuje priebežné vyhodnocovanie získaných poznatkov a podľa potreby aj prijatie ďalšieho opatrenia ešte pred skončením celej doby monitorovania. Rozsah a spôsob podávania správ majú zodpovedať účelu konkrétneho monitorovania tak, aby FSJ získala informácie potrebné na svoju analytickú činnosť a zároveň nebola povinnej osobe ukladaná neprimeraná administratívna záťaž. Monitorovanie predstavuje flexibilný nástroj finančnej analýzy, ktorý umožňuje reagovať na prípady, keď podozrivé alebo rizikové správanie nemožno primerane posúdiť na základe jednej transakcie, ale až na základe jeho vývoja a vzorcov v určitom časovom období.</w:t>
      </w:r>
    </w:p>
    <w:p w14:paraId="766AED35"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23:</w:t>
      </w:r>
    </w:p>
    <w:p w14:paraId="7F1AF85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K odseku 1: Navrhované ustanovenie transponuje článok 26 smernice (EÚ) 2024/1640 a upravuje oprávnenie FSJ poskytovať povinným osobám informácie o významných rizikách legalizácie, súvisiacich predikatívnych trestných činov alebo financovania terorizmu, ktoré sú relevantné pri vykonávaní náležitej starostlivosti vo vzťahu ku klientovi podľa nariadenia (EÚ) 2024/1624. Ide o osobitný preventívny informačný nástroj, prostredníctvom ktorého sa poznatky FSJ získané pri jej analytickej činnosti prenášajú do systému riadenia rizík povinných osôb. Cieľom ustanovenia je umožniť povinným osobám včas zohľadňovať aktuálne a </w:t>
      </w:r>
      <w:r w:rsidRPr="00146994">
        <w:rPr>
          <w:rFonts w:ascii="Times New Roman" w:hAnsi="Times New Roman"/>
          <w:sz w:val="24"/>
          <w:szCs w:val="24"/>
        </w:rPr>
        <w:lastRenderedPageBreak/>
        <w:t>relevantné rizikové informácie pri posudzovaní klientov, obchodných vzťahov a transakcií a primerane tomu prispôsobovať rozsah opatrení náležitej starostlivosti. Na rozdiel od pokynov podľa § 21 a § 22 upozornenie podľa tohto ustanovenia neurčuje povinnej osobe konkrétny výsledok posúdenia klienta ani konkrétny úkon, ktorý musí voči klientovi vykonať. Povinná osoba je však povinná poskytnutú rizikovú informáciu zohľadniť v rámci vlastného rizikovo orientovaného postupu podľa nariadenia (EÚ) 2024/1624.</w:t>
      </w:r>
    </w:p>
    <w:p w14:paraId="48B55B8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Poskytnuté Informácie môžu zahŕňať najmä rizikový druh transakcie alebo činnosti, konkrétnu rizikovú osobu alebo rizikovú geografickú oblasť. Informácia o rizikovom druhu transakcie alebo činnosti môže upozorniť na určitý spôsob nakladania s finančnými prostriedkami, štruktúru transakcií alebo ekonomické správanie, pri ktorom FSJ identifikovala významné riziko. Upozornenie FSJ predstavuje iba vstup do vlastného hodnotenia rizika povinnej osoby, pričom ju nezbavuje povinnosti samostatne posúdiť všetky relevantné okolnosti klienta alebo obchodného vzťahu a prijať opatrenia zodpovedajúce zistenej úrovni rizika. Upozornenie preto automaticky neznamená, že každá povinná osoba musí vo všetkých prípadoch vykonať rovnaký súbor opatrení. Konkrétny rozsah náležitej starostlivosti sa určuje podľa nariadenia (EÚ) 2024/1624 s prihliadnutím na povahu rizikovej informácie a ďalšie relevantné okolnosti konkrétneho prípadu. </w:t>
      </w:r>
    </w:p>
    <w:p w14:paraId="7085EA2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2 ustanovuje časové obmedzenie obdobia, počas ktorého je povinná osoba povinná poskytnutú rizikovú informáciu zohľadňovať. FSJ určí lehotu podľa charakteru a povahy konkrétneho rizika, pričom táto lehota nesmie presiahnuť šesť mesiacov. Časové obmedzenie vychádza z potreby zabezpečiť aktuálnosť informácií poskytovaných povinným osobám. Rizikové faktory sa môžu meniť v závislosti od vývoja konkrétneho prípadu, správania osoby, spôsobu vykonávania transakcií alebo širšieho vývoja v oblasti AML/CFT/CPF. Stanovenie maximálnej šesťmesačnej lehoty zároveň zabraňuje tomu, aby sa konkrétna riziková informácia používala neobmedzene bez opätovného posúdenia jej aktuálnosti.</w:t>
      </w:r>
    </w:p>
    <w:p w14:paraId="5C74509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3 ustanovuje povinnosť FSJ každoročne poskytovať povinným osobám strategické informácie o rizikách a trendoch v oblasti AML/CFT. Na rozdiel od upozornenia podľa odsekov 1 a 2 ide o všeobecnú strategickú spätnú väzbu založenú na poznatkoch FSJ získaných pri prijímaní a analýze hlásení, vykonávaní finančných analýz a spolupráci s vnútroštátnymi a zahraničnými orgánmi. Takéto informácie môžu zahŕňať najmä aktuálne typológie, indikátory rizika, charakteristické znaky podozrivých transakcií a vývojové trendy v oblasti AML/CFT. Ich poskytovanie umožní povinným osobám priebežne aktualizovať vlastné hodnotenia rizík, vnútorné politiky, postupy a kontrolné mechanizmy a primerane reagovať na nové alebo meniace sa AML/CFT riziká. Ustanovenie tým zabezpečuje systematickú spätnú väzbu medzi analytickou činnosťou FSJ a preventívnou činnosťou povinných osôb a prispieva k celkovému zvyšovaniu účinnosti systému ochrany pred legalizáciou a financovaním terorizmu.</w:t>
      </w:r>
    </w:p>
    <w:p w14:paraId="75440E03"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24:</w:t>
      </w:r>
    </w:p>
    <w:p w14:paraId="4EDA7789"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Cieľom navrhovanej úpravy je zabezpečiť ochranu osôb, ktorým vznikla škoda v súvislosti s plnením zákonných povinností v oblasti oznamovania podozrivých transakcií a súvisiacich postupov, a zároveň zachovať právnu istotu povinných osôb pri plnení ich oznamovacích a ďalších zákonných povinností. Ustanovenie obsahovo vychádza z doterajšieho § 35 súčasného AML zákona. </w:t>
      </w:r>
    </w:p>
    <w:p w14:paraId="2E2892B8"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lastRenderedPageBreak/>
        <w:t>Odsek 1 ustanovuje zodpovednosť štátu za škodu vzniknutú postupom podľa článkov 69 až 71 nariadenia (EÚ) 2024/1624 a určuje ministerstvo vnútra ako orgán, ktorý v zastúpení štátu poskytuje náhradu škody. Uvedené ustanovenia nariadenia upravujú najmä povinnosť oznamovať FSJ podozrivé skutočnosti, poskytovať jej požadované informácie a za ustanovených podmienok zdržať sa vykonania podozrivej transakcie. Plnenie týchto povinností môže v konkrétnych prípadoch zasiahnuť do majetkových práv dotknutých osôb a viesť k vzniku škody. Navrhovaná úprava preto ustanovuje osobitnú zodpovednosť štátu za škodu, ktorá vznikla v príčinnej súvislosti s postupmi vymedzenými osobitným predpisom. Súčasne nadväzuje na ochranu povinných osôb pri poskytovaní informácií v dobrej viere podľa článku 72 nariadenia (EÚ) 2024/1624. Účelom je zabezpečiť, aby osoby dotknuté uvedenými postupmi mali zákonom určený subjekt, voči ktorému môžu uplatniť nárok na náhradu škody, a aby povinné osoby neboli odrádzané od riadneho plnenia svojich zákonných povinností obavou z následných majetkových nárokov. Určením ministerstva vnútra sa zároveň zabezpečuje jednoznačná príslušnosť orgánu konajúceho v mene štátu pri posudzovaní a uspokojovaní nárokov na náhradu škody. Vznik a rozsah nároku na náhradu škody sa posudzujú podľa podmienok ustanovených týmto zákonom a subsidiárne podľa Občianskeho zákonníka, najmä so zreteľom na preukázanie vzniku škody a jej príčinnej súvislosti s príslušným postupom.</w:t>
      </w:r>
    </w:p>
    <w:p w14:paraId="65916F6A"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2 ustanovuje povinnosť predbežného prerokovania nároku na náhradu škody s ministerstvom vnútra na základe písomnej žiadosti poškodeného. Cieľom je vytvoriť priestor na mimosúdne posúdenie a prípadné uspokojenie nároku bez potreby začatia súdneho konania. Predbežné prerokovanie umožňuje ministerstvu posúdiť okolnosti vzniku škody, jej rozsah, príčinnú súvislosť s postupom podľa osobitného predpisu a splnenie podmienok zodpovednosti štátu. Písomná forma žiadosti zabezpečuje preukázateľnosť uplatnenia nároku a umožňuje určiť začiatok plynutia lehoty na jeho predbežné prerokovanie, ako aj obdobie spočívania premlčacej lehoty. Predbežné prerokovanie predstavuje zákonom ustanovený postup predchádzajúci súdnemu uplatneniu nároku, pričom jeho účelom nie je obmedziť právo poškodeného na súdnu ochranu, ale umožniť prednostné mimosúdne vyriešenie veci.</w:t>
      </w:r>
    </w:p>
    <w:p w14:paraId="176C15CB"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3 upravuje právo poškodeného domáhať sa náhrady škody na súde, ak ministerstvo vnútra neuspokojí jeho nárok alebo jeho časť do troch mesiacov odo dňa prijatia žiadosti o predbežné prerokovanie. Ustanovenie zabezpečuje, aby povinnosť predbežného prerokovania nároku neviedla k neprimeranému odďaľovaniu súdnej ochrany. Trojmesačná lehota poskytuje ministerstvu vnútra primeraný časový priestor na preskúmanie skutkových a právnych okolností nároku a prípadné mimosúdne uspokojenie poškodeného. Ak ministerstvo vnútra v uvedenej lehote nárok neuspokojí alebo ho uspokojí iba čiastočne, poškodený sa môže domáhať náhrady škody alebo jej zostávajúcej časti na súde. Navrhovaná úprava tak zachováva možnosť mimosúdneho riešenia nárokov a súčasne zabezpečuje prístup poškodeného k súdnej ochrane.</w:t>
      </w:r>
    </w:p>
    <w:p w14:paraId="288CCFE2"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4 ustanovuje povinnosť každého bez zbytočného odkladu na požiadanie ministerstva vnútra písomne oznámiť skutočnosti významné pre predbežné prerokovanie nároku a pre súdne konanie vo veci náhrady škody. Cieľom ustanovenia je zabezpečiť dostupnosť informácií potrebných na objektívne posúdenie okolností vzniku škody, jej rozsahu a príčinnej súvislosti s príslušným postupom. Uvedená povinnosť má osobitný význam v prípadoch, keď rozhodujúcimi informáciami disponujú povinné osoby alebo ďalšie subjekty, ktoré sa podieľali na postupe podľa nariadenia (EÚ) 2024/1624 alebo majú poznatky o okolnostiach jeho </w:t>
      </w:r>
      <w:r w:rsidRPr="00146994">
        <w:rPr>
          <w:rFonts w:ascii="Times New Roman" w:hAnsi="Times New Roman"/>
          <w:sz w:val="24"/>
          <w:szCs w:val="24"/>
          <w:lang w:eastAsia="sk-SK"/>
        </w:rPr>
        <w:lastRenderedPageBreak/>
        <w:t>vykonania. Rozsah požadovaných informácií musí byť vecne viazaný na konkrétny nárok na náhradu škody a na skutočnosti významné pre jeho posúdenie. Písomná forma oznámenia zabezpečuje preukázateľnosť poskytnutých informácií a umožňuje ich využitie pri predbežnom prerokovaní nároku alebo v následnom súdnom konaní.</w:t>
      </w:r>
    </w:p>
    <w:p w14:paraId="3D0FE15A"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5 upravuje spočívanie premlčacej lehoty počas predbežného prerokovania nároku na náhradu škody. Premlčacia lehota neplynie odo dňa podania žiadosti o predbežné prerokovanie nároku do skončenia tohto prerokovania, najdlhšie však počas troch mesiacov. Účelom ustanovenia je zabezpečiť, aby poškodený nebol znevýhodnený tým, že pred súdnym uplatnením nároku musí absolvovať zákonom ustanovený postup predbežného prerokovania. Počas uvedeného obdobia sa plynutie premlčacej lehoty pozastavuje, pričom po skončení predbežného prerokovania alebo po uplynutí maximálnej trojmesačnej doby pokračuje jej plynutie. Ustanovenie tak zabezpečuje ochranu poškodeného pred nepriaznivými dôsledkami povinného predbežného prerokovania a zároveň zachováva právnu istotu prostredníctvom časového obmedzenia spočívania premlčacej lehoty.</w:t>
      </w:r>
    </w:p>
    <w:p w14:paraId="254501C7"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6 ustanovuje subsidiárne použitie Občianskeho zákonníka na právne vzťahy týkajúce sa náhrady škody podľa odseku 1, pokiaľ tento zákon neustanovuje inak. Cieľom je zabezpečiť, aby sa otázky, ktoré nie sú osobitne upravené navrhovaným zákonom, posudzovali podľa všeobecných ustanovení občianskeho práva upravujúcich zodpovednosť za škodu. Ide najmä o posudzovanie vzniku a rozsahu škody, príčinnej súvislosti, spôsobu náhrady škody a ďalších súvisiacich občianskoprávnych otázok, ak osobitná právna úprava neustanovuje odlišný režim.</w:t>
      </w:r>
    </w:p>
    <w:p w14:paraId="6361FF17"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7 ustanovuje primerané použitie pravidiel zodpovednosti za škodu podľa odsekov 1 až 6 aj na vnútroštátneho správcu. Cieľom je zabezpečiť, aby sa osobitný režim náhrady škody uplatnil aj v prípadoch súvisiacich s činnosťou vnútroštátneho správcu, pokiaľ sú splnené podmienky ustanovené týmto zákonom. Ustanovenie nadväzuje na doterajšiu právnu úpravu podľa § 35 ods. 8 AML zákona a sleduje zachovanie právnej ochrany osôb dotknutých činnosťou vnútroštátneho správcu.</w:t>
      </w:r>
    </w:p>
    <w:p w14:paraId="4184005A"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25:</w:t>
      </w:r>
    </w:p>
    <w:p w14:paraId="000E653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Toto ustanovenie vo všeobecnosti zakotvuje povinnosť FSJ spolupracovať so zahraničnými finančnými spravodajskými jednotkami, relevantnými decentralizovanými agentúrami Únie (úrad AMLA, Európska prokuratúra, úrad OLAF, úradom </w:t>
      </w:r>
      <w:proofErr w:type="spellStart"/>
      <w:r w:rsidRPr="00146994">
        <w:rPr>
          <w:rFonts w:ascii="Times New Roman" w:hAnsi="Times New Roman"/>
          <w:sz w:val="24"/>
          <w:szCs w:val="24"/>
        </w:rPr>
        <w:t>Europol</w:t>
      </w:r>
      <w:proofErr w:type="spellEnd"/>
      <w:r w:rsidRPr="00146994">
        <w:rPr>
          <w:rFonts w:ascii="Times New Roman" w:hAnsi="Times New Roman"/>
          <w:sz w:val="24"/>
          <w:szCs w:val="24"/>
        </w:rPr>
        <w:t xml:space="preserve">). Výpočet uvedený v odseku 1 je demonštratívny. Toto riešenie bolo zvolené preto, aby sa FSJ umožnilo spolupracovať aj s ďalšími relevantnými subjektami a zoskupeniami (nie nevyhnutne medzinárodnými organizáciami s právnou subjektivitou) v oblasti AML/CFT ako je napr. </w:t>
      </w:r>
      <w:proofErr w:type="spellStart"/>
      <w:r w:rsidRPr="00146994">
        <w:rPr>
          <w:rFonts w:ascii="Times New Roman" w:hAnsi="Times New Roman"/>
          <w:sz w:val="24"/>
          <w:szCs w:val="24"/>
        </w:rPr>
        <w:t>Egmontská</w:t>
      </w:r>
      <w:proofErr w:type="spellEnd"/>
      <w:r w:rsidRPr="00146994">
        <w:rPr>
          <w:rFonts w:ascii="Times New Roman" w:hAnsi="Times New Roman"/>
          <w:sz w:val="24"/>
          <w:szCs w:val="24"/>
        </w:rPr>
        <w:t xml:space="preserve"> skupina, Výbor expertov Rady Európy MONEYVAL, platforma finančných spravodajských jednotiek (spadajúca pod Generálne riaditeľstvo Európskej komisie pre finančnú stabilitu, finančné trhy a úniu kapitálových trhov).</w:t>
      </w:r>
    </w:p>
    <w:p w14:paraId="434DFE18" w14:textId="4721C499"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Nový AML balík predstavuje kvalitatívny posun v oblasti medzinárodnej spolupráce finančných spravodajských jednotiek, čo sa prejavuje napr. skrátením lehôt pri medzinárodnej výmene informácií, precizovaním a sprísňovaním podmienok neudelenia súhlasu, povinnosťou podieľať sa na spoločných analýzach atď. Nakoľko však ide o povinnosti vyplývajúce z práva Únie, nemožno ich dodržiavanie vymáhať od finančných spravodajských jednotiek tretích </w:t>
      </w:r>
      <w:r w:rsidRPr="00146994">
        <w:rPr>
          <w:rFonts w:ascii="Times New Roman" w:hAnsi="Times New Roman"/>
          <w:sz w:val="24"/>
          <w:szCs w:val="24"/>
        </w:rPr>
        <w:lastRenderedPageBreak/>
        <w:t xml:space="preserve">krajín. Rovnako tak by nebolo primerané vyžadovať dodržiavanie týchto sprísnených podmienok od FSJ, pokiaľ nejde o spoluprácu s jednotkami v rámci Únie. Spolupráca s finančnými spravodajskými jednotkami tretích krajín sa rovnako ako doposiaľ riadi princípom nezmluvnej vzájomnosti a rešpektovaní obyčají medzinárodnej výmeny informácií medzi jednotkami finančnými spravodajskými jednotkami tak, ako ich zachytávajú </w:t>
      </w:r>
      <w:r w:rsidR="001071CF">
        <w:rPr>
          <w:rFonts w:ascii="Times New Roman" w:hAnsi="Times New Roman"/>
          <w:sz w:val="24"/>
          <w:szCs w:val="24"/>
        </w:rPr>
        <w:t>P</w:t>
      </w:r>
      <w:r w:rsidRPr="00146994">
        <w:rPr>
          <w:rFonts w:ascii="Times New Roman" w:hAnsi="Times New Roman"/>
          <w:sz w:val="24"/>
          <w:szCs w:val="24"/>
        </w:rPr>
        <w:t xml:space="preserve">rincípy medzinárodnej výmeny informácií medzi finančnými spravodajskými jednotkami, ktoré boli schválené riaditeľmi jednotiek združených v </w:t>
      </w:r>
      <w:proofErr w:type="spellStart"/>
      <w:r w:rsidRPr="00146994">
        <w:rPr>
          <w:rFonts w:ascii="Times New Roman" w:hAnsi="Times New Roman"/>
          <w:sz w:val="24"/>
          <w:szCs w:val="24"/>
        </w:rPr>
        <w:t>Egmontskej</w:t>
      </w:r>
      <w:proofErr w:type="spellEnd"/>
      <w:r w:rsidRPr="00146994">
        <w:rPr>
          <w:rFonts w:ascii="Times New Roman" w:hAnsi="Times New Roman"/>
          <w:sz w:val="24"/>
          <w:szCs w:val="24"/>
        </w:rPr>
        <w:t xml:space="preserve"> skupine (ďalej len „</w:t>
      </w:r>
      <w:proofErr w:type="spellStart"/>
      <w:r w:rsidRPr="00146994">
        <w:rPr>
          <w:rFonts w:ascii="Times New Roman" w:hAnsi="Times New Roman"/>
          <w:sz w:val="24"/>
          <w:szCs w:val="24"/>
        </w:rPr>
        <w:t>Egmontské</w:t>
      </w:r>
      <w:proofErr w:type="spellEnd"/>
      <w:r w:rsidRPr="00146994">
        <w:rPr>
          <w:rFonts w:ascii="Times New Roman" w:hAnsi="Times New Roman"/>
          <w:sz w:val="24"/>
          <w:szCs w:val="24"/>
        </w:rPr>
        <w:t xml:space="preserve"> princípy“ revidované naposledy v júli 2025). Viaceré ustanovenia sú všeobecného charakteru, v plnom súlade s </w:t>
      </w:r>
      <w:proofErr w:type="spellStart"/>
      <w:r w:rsidRPr="00146994">
        <w:rPr>
          <w:rFonts w:ascii="Times New Roman" w:hAnsi="Times New Roman"/>
          <w:sz w:val="24"/>
          <w:szCs w:val="24"/>
        </w:rPr>
        <w:t>Egmontskými</w:t>
      </w:r>
      <w:proofErr w:type="spellEnd"/>
      <w:r w:rsidRPr="00146994">
        <w:rPr>
          <w:rFonts w:ascii="Times New Roman" w:hAnsi="Times New Roman"/>
          <w:sz w:val="24"/>
          <w:szCs w:val="24"/>
        </w:rPr>
        <w:t xml:space="preserve"> princípmi a teda nie je potrebné ich aplikáciu na medzinárodnú spoluprácu FSJ vylučovať. Na spoluprácu s finančnými spravodajskými jednotkami tretích krajín sa nevzťahujú len v odseku 2 taxatívne vymenované ustanovenia, ktoré zavádzajú prísnejšie podmienky v zmysle smernice (EÚ) 2024/1640.</w:t>
      </w:r>
    </w:p>
    <w:p w14:paraId="2219B60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V porovnaní s predchádzajúcou právnou úpravou dochádza k celkovo detailnejšiemu rozpracovaniu problematiky medzinárodnej výmeny informácií medzi finančnými spravodajskými jednotkami. Zákon rozlišuje v zásade dve režimy – spontánnu výmenu informácií (</w:t>
      </w:r>
      <w:proofErr w:type="spellStart"/>
      <w:r w:rsidRPr="00146994">
        <w:rPr>
          <w:rFonts w:ascii="Times New Roman" w:hAnsi="Times New Roman"/>
          <w:sz w:val="24"/>
          <w:szCs w:val="24"/>
        </w:rPr>
        <w:t>t.j</w:t>
      </w:r>
      <w:proofErr w:type="spellEnd"/>
      <w:r w:rsidRPr="00146994">
        <w:rPr>
          <w:rFonts w:ascii="Times New Roman" w:hAnsi="Times New Roman"/>
          <w:sz w:val="24"/>
          <w:szCs w:val="24"/>
        </w:rPr>
        <w:t>. bez predchádzajúcej žiadosti) a výmenu informácií na základe žiadosti. Oba režimy sú upravené pre situácie kedy je FSJ iniciátorom medzinárodnej výmeny informácií a kedy je v pozícii adresáta medzinárodnej výmeny informácií iniciovanej inou finančnou spravodajskou jednotkou.</w:t>
      </w:r>
    </w:p>
    <w:p w14:paraId="4F6869A8"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26:</w:t>
      </w:r>
    </w:p>
    <w:p w14:paraId="73AA2054" w14:textId="77777777" w:rsidR="00146994" w:rsidRPr="00146994" w:rsidRDefault="00146994" w:rsidP="00146994">
      <w:pPr>
        <w:spacing w:after="120" w:line="276" w:lineRule="auto"/>
        <w:jc w:val="both"/>
        <w:rPr>
          <w:rFonts w:ascii="Times New Roman" w:hAnsi="Times New Roman"/>
          <w:i/>
          <w:iCs/>
          <w:sz w:val="24"/>
          <w:szCs w:val="24"/>
        </w:rPr>
      </w:pPr>
      <w:r w:rsidRPr="00146994">
        <w:rPr>
          <w:rFonts w:ascii="Times New Roman" w:hAnsi="Times New Roman"/>
          <w:sz w:val="24"/>
          <w:szCs w:val="24"/>
        </w:rPr>
        <w:t xml:space="preserve">Odsek 1 poskytuje FSJ právny základ na odstúpenie výsledkov svojich strategických aj operačných analýz zahraničným finančným spravodajským jednotkám, pre ktoré by tieto informácie mohli byť relevantné. Za kritérium relevantnosti je v tomto prípade potrebné považovať najmä prítomnosť zahraničného prvku. Prítomnosť zahraničného prvku je možné determinovať primeranou aplikáciou čl. 4 regulačného technického predpisu – delegovaného nariadenia Európskej komisie prijatého na základe mandátu podľa čl. 31 (3) smernice (EÚ) 2024/1640. V súlade s čl. 31 ods. 1 a čl. 35 smernice (EÚ) 2024/1640 sa zakazuje obmedzovanie medzinárodnej výmeny informácií na základe rozdielov vo vymedzení predikatívnych trestných činov resp. absencie jednoznačne identifikovaného predikatívneho trestného činu. </w:t>
      </w:r>
    </w:p>
    <w:p w14:paraId="60A72F9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2 upravuje režim tzv. cezhraničného ohlasovania (</w:t>
      </w:r>
      <w:proofErr w:type="spellStart"/>
      <w:r w:rsidRPr="00146994">
        <w:rPr>
          <w:rFonts w:ascii="Times New Roman" w:hAnsi="Times New Roman"/>
          <w:sz w:val="24"/>
          <w:szCs w:val="24"/>
        </w:rPr>
        <w:t>cross-border</w:t>
      </w:r>
      <w:proofErr w:type="spellEnd"/>
      <w:r w:rsidRPr="00146994">
        <w:rPr>
          <w:rFonts w:ascii="Times New Roman" w:hAnsi="Times New Roman"/>
          <w:sz w:val="24"/>
          <w:szCs w:val="24"/>
        </w:rPr>
        <w:t xml:space="preserve"> </w:t>
      </w:r>
      <w:proofErr w:type="spellStart"/>
      <w:r w:rsidRPr="00146994">
        <w:rPr>
          <w:rFonts w:ascii="Times New Roman" w:hAnsi="Times New Roman"/>
          <w:sz w:val="24"/>
          <w:szCs w:val="24"/>
        </w:rPr>
        <w:t>reporting</w:t>
      </w:r>
      <w:proofErr w:type="spellEnd"/>
      <w:r w:rsidRPr="00146994">
        <w:rPr>
          <w:rFonts w:ascii="Times New Roman" w:hAnsi="Times New Roman"/>
          <w:sz w:val="24"/>
          <w:szCs w:val="24"/>
        </w:rPr>
        <w:t xml:space="preserve"> – XBR). Samotný pojem </w:t>
      </w:r>
      <w:proofErr w:type="spellStart"/>
      <w:r w:rsidRPr="00146994">
        <w:rPr>
          <w:rFonts w:ascii="Times New Roman" w:hAnsi="Times New Roman"/>
          <w:sz w:val="24"/>
          <w:szCs w:val="24"/>
        </w:rPr>
        <w:t>cross-border</w:t>
      </w:r>
      <w:proofErr w:type="spellEnd"/>
      <w:r w:rsidRPr="00146994">
        <w:rPr>
          <w:rFonts w:ascii="Times New Roman" w:hAnsi="Times New Roman"/>
          <w:sz w:val="24"/>
          <w:szCs w:val="24"/>
        </w:rPr>
        <w:t xml:space="preserve"> report je definovaný v čl. 2 ods. 1 písm. a) regulačného technického predpisu – delegovaného nariadenia Európskej komisie prijatého na základe mandátu podľa čl. 31 (3) smernice (EÚ) 2024/1640.  V tomto prípade povinná osoba FSJ oznamuje výlučne skutočnosti, ktoré spĺňajú kritériá podľa čl. 4 regulačného technického predpisu – delegovaného nariadenia Európskej komisie prijatého na základe mandátu podľa čl. 31 (3) smernice (EÚ) 2024/1640 (tzv. kritériá výberu), avšak zároveň absentuje spojitosť prípadu so Slovenskou republikou (okrem skutočnosti, že SR je pre povinnú osobu domovským členským štátom v zmysle čl. 2 ods. 5 smernice (EÚ) 2024/1640). Ak je splnené niektoré z kritérií výberu, FSJ je povinná prijaté oznámenie v plnom rozsahu odstúpiť všetkým príslušným finančným spravodajským jednotkám členských štátov.</w:t>
      </w:r>
    </w:p>
    <w:p w14:paraId="08D9EECE" w14:textId="77777777" w:rsidR="00146994" w:rsidRPr="00146994" w:rsidRDefault="00146994" w:rsidP="00146994">
      <w:pPr>
        <w:spacing w:after="120" w:line="276" w:lineRule="auto"/>
        <w:jc w:val="both"/>
        <w:rPr>
          <w:rFonts w:ascii="Times New Roman" w:hAnsi="Times New Roman"/>
          <w:i/>
          <w:iCs/>
          <w:sz w:val="24"/>
          <w:szCs w:val="24"/>
        </w:rPr>
      </w:pPr>
      <w:r w:rsidRPr="00146994">
        <w:rPr>
          <w:rFonts w:ascii="Times New Roman" w:hAnsi="Times New Roman"/>
          <w:sz w:val="24"/>
          <w:szCs w:val="24"/>
        </w:rPr>
        <w:t xml:space="preserve">Odsek 3 zakotvuje právo FSJ určiť pre prijímajúcu zahraničnú finančnú spravodajskú jednotku podmienky a obmedzenia týkajúce sa spôsobu nakladania s informáciami poskytnutými FSJ. V </w:t>
      </w:r>
      <w:r w:rsidRPr="00146994">
        <w:rPr>
          <w:rFonts w:ascii="Times New Roman" w:hAnsi="Times New Roman"/>
          <w:sz w:val="24"/>
          <w:szCs w:val="24"/>
        </w:rPr>
        <w:lastRenderedPageBreak/>
        <w:t xml:space="preserve">súlade s čl. 34 ods. 1, druhým </w:t>
      </w:r>
      <w:proofErr w:type="spellStart"/>
      <w:r w:rsidRPr="00146994">
        <w:rPr>
          <w:rFonts w:ascii="Times New Roman" w:hAnsi="Times New Roman"/>
          <w:sz w:val="24"/>
          <w:szCs w:val="24"/>
        </w:rPr>
        <w:t>pododsekom</w:t>
      </w:r>
      <w:proofErr w:type="spellEnd"/>
      <w:r w:rsidRPr="00146994">
        <w:rPr>
          <w:rFonts w:ascii="Times New Roman" w:hAnsi="Times New Roman"/>
          <w:sz w:val="24"/>
          <w:szCs w:val="24"/>
        </w:rPr>
        <w:t xml:space="preserve"> smernice (EÚ) 2024/1640 nie je možné ukladať podmienky a obmedzenia v prípade odstupovania XBR. </w:t>
      </w:r>
    </w:p>
    <w:p w14:paraId="2BAB0FB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4 upravuje postup pri prijímaní spontánnych informácií zo zahraničia, najmä zakotvuje povinnosť FSJ rešpektovať podmienky a obmedzenia eventuálne uložené zahraničnou finančnou spravodajskou jednotkou, ktorá informáciu zaslala. O týchto podmienkach a obmedzeniach je FSJ povinná informovať aj akékoľvek ďalšie subjekty, ktorým informáciu, v súlade s podmienkami určenými zahraničnou finančnou spravodajskou jednotkou, odstupuje.</w:t>
      </w:r>
    </w:p>
    <w:p w14:paraId="5C8749EE" w14:textId="77777777" w:rsidR="00146994" w:rsidRPr="00146994" w:rsidRDefault="00146994" w:rsidP="00146994">
      <w:pPr>
        <w:spacing w:after="120" w:line="276" w:lineRule="auto"/>
        <w:jc w:val="both"/>
        <w:rPr>
          <w:rFonts w:ascii="Times New Roman" w:hAnsi="Times New Roman"/>
          <w:i/>
          <w:iCs/>
          <w:sz w:val="24"/>
          <w:szCs w:val="24"/>
        </w:rPr>
      </w:pPr>
      <w:r w:rsidRPr="00146994">
        <w:rPr>
          <w:rFonts w:ascii="Times New Roman" w:hAnsi="Times New Roman"/>
          <w:sz w:val="24"/>
          <w:szCs w:val="24"/>
        </w:rPr>
        <w:t xml:space="preserve">Odsek  5 zakotvuje povinnosť FSJ poskytnúť odosielajúcej zahraničnej finančnej spravodajskej jednotke spätnú väzbu a určuje jej základné obsahové náležitosti. Smernica (EÚ) 2024/1640 priamo nezakotvuje povinnosť poskytovať takúto spätnú väzbu, avšak ide o dlhodobo zaužívanú prax pri medzinárodnej výmene informácií medzi finančnými spravodajskými jednotkami, odporúčanú aj v čl. 23 a 26 </w:t>
      </w:r>
      <w:proofErr w:type="spellStart"/>
      <w:r w:rsidRPr="00146994">
        <w:rPr>
          <w:rFonts w:ascii="Times New Roman" w:hAnsi="Times New Roman"/>
          <w:sz w:val="24"/>
          <w:szCs w:val="24"/>
        </w:rPr>
        <w:t>Egmontských</w:t>
      </w:r>
      <w:proofErr w:type="spellEnd"/>
      <w:r w:rsidRPr="00146994">
        <w:rPr>
          <w:rFonts w:ascii="Times New Roman" w:hAnsi="Times New Roman"/>
          <w:sz w:val="24"/>
          <w:szCs w:val="24"/>
        </w:rPr>
        <w:t xml:space="preserve"> princípov. </w:t>
      </w:r>
    </w:p>
    <w:p w14:paraId="4D2C16DD"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27:</w:t>
      </w:r>
    </w:p>
    <w:p w14:paraId="2F75E93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Medzinárodná výmena informácií na základe žiadosti je upravená v samostatnom ustanovení, nakoľko pri doručených žiadostiach o informácie existuje eminentný záujem zahraničnej finančnej spravodajskej jednotky na získaní týchto informácií, čo sa prejavuje sprísnenými požiadavkami na poskytnutie odpovede v požadovanom rozsahu a v primeranej lehote, resp. nárokmi na náležité odôvodnenie v prípade, že FSJ odmietne poskytnúť požadované informácie. Na druhej strane odsek 1 definuje, v súlade so smernicou (EÚ) 2024/1640 a </w:t>
      </w:r>
      <w:proofErr w:type="spellStart"/>
      <w:r w:rsidRPr="00146994">
        <w:rPr>
          <w:rFonts w:ascii="Times New Roman" w:hAnsi="Times New Roman"/>
          <w:sz w:val="24"/>
          <w:szCs w:val="24"/>
        </w:rPr>
        <w:t>Egmontskými</w:t>
      </w:r>
      <w:proofErr w:type="spellEnd"/>
      <w:r w:rsidRPr="00146994">
        <w:rPr>
          <w:rFonts w:ascii="Times New Roman" w:hAnsi="Times New Roman"/>
          <w:sz w:val="24"/>
          <w:szCs w:val="24"/>
        </w:rPr>
        <w:t xml:space="preserve"> princípmi, aj obsahové náležitosti, ktoré musí žiadosť zahraničnej finančnej spravodajskej jednotky obsahovať, aby na ňu FSJ mohla odpovedať. Tieto obsahové náležitosti sú definované s cieľom zamedziť získavaniu citlivých informácií bez zákonného dôvodu, alebo v neprimeranom rozsahu.</w:t>
      </w:r>
    </w:p>
    <w:p w14:paraId="5981918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odseku 2 a 3 sú ustanovené lehoty, v ktorých je FSJ povinná poskytnúť požadované informácie. Uvedené lehoty sú prísnejšie ako lehoty dodržiavané na základe doposiaľ zaužívanej praxe (spravidla 30 dní od doručenia resp. 3 pracovné dni v prípade urgentných žiadostí). Od tretích krajín nemožno požadovať dodržiavanie skrátených lehôt v zmysle smernice (EÚ) 2024/1640 preto sa aj FSJ ukladá povinnosť odpovedať v skrátených lehotách iba na žiadosti finančných spravodajských jednotiek členských štátov. Vo vzťahu k finančným spravodajským jednotkám tretích krajín ostáva zachovaná doterajšia zaužívaná prax. </w:t>
      </w:r>
    </w:p>
    <w:p w14:paraId="5AB946C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4 upravuje oprávnenie využívať všetky prostriedky podľa § 21 aj v prípade medzinárodnej spolupráce.</w:t>
      </w:r>
    </w:p>
    <w:p w14:paraId="10DE275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5 umožňuje FSJ určiť podmienky a obmedzenia v spôsobe nakladania s ňou poskytnutými informáciami, a to najmä podmienku použitia poskytnutých informácií výlučne s cieľom boja proti legalizácii výnosov z trestnej činnosti, súvisiacim predikatívnym trestným činom alebo financovaniu terorizmu. V zásade by však FSJ mala zahraničným finančným spravodajským jednotkám poskytovať požadovaný súhlas v čo najväčšom rozsahu tak, aby nedochádzalo k neodôvodnenému obmedzovaniu cezhraničnej výmeny informácií. Odmietnutie udelenia súhlasu, resp. vo výnimočných prípadoch aj odmietnutie výmeny informácií by sa malo v každom prípade vysvetliť, a to v nadväznosti na jeden z dôvodov taxatívne vymenovaných v odseku 5. V zákone uvedené dôvody je potrebné vnímať len ako </w:t>
      </w:r>
      <w:r w:rsidRPr="00146994">
        <w:rPr>
          <w:rFonts w:ascii="Times New Roman" w:hAnsi="Times New Roman"/>
          <w:sz w:val="24"/>
          <w:szCs w:val="24"/>
        </w:rPr>
        <w:lastRenderedPageBreak/>
        <w:t xml:space="preserve">rámcové vymedzenie, ktoré musí byť precizované spôsobom predpokladaným v čl. 31 ods. 8 smernice (EÚ) 2024/1640, </w:t>
      </w:r>
      <w:proofErr w:type="spellStart"/>
      <w:r w:rsidRPr="00146994">
        <w:rPr>
          <w:rFonts w:ascii="Times New Roman" w:hAnsi="Times New Roman"/>
          <w:sz w:val="24"/>
          <w:szCs w:val="24"/>
        </w:rPr>
        <w:t>t.j</w:t>
      </w:r>
      <w:proofErr w:type="spellEnd"/>
      <w:r w:rsidRPr="00146994">
        <w:rPr>
          <w:rFonts w:ascii="Times New Roman" w:hAnsi="Times New Roman"/>
          <w:sz w:val="24"/>
          <w:szCs w:val="24"/>
        </w:rPr>
        <w:t>. formálnym oznámením Európskej komisii, pričom toto oznámenie má zahŕňať jednoznačné vymedzenie zmieňovaných výnimočných okolností. Opätovne, aj pri výmene informácií na základe žiadosti, sa zdôrazňuje, že nemôže byť obmedzená na základe rozdielov vo vymedzeniach predikatívnych trestných činov ani preto, že predikatívny trestný čin nebol v čase výmeny informácií zistený.</w:t>
      </w:r>
    </w:p>
    <w:p w14:paraId="35986B5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7 upravuje postup v prípade, že FSJ je v pozícii subjektu požadujúceho informácie. Definujú sa najmä obsahové náležitosti žiadosti, ktoré sú vymedzené rovnako ako v ods. 1. FSJ môže resp. oprávnenie podľa tohto odseku použiť aj v nadväznosti na žiadosť o informácie od iného príslušného orgánu (napr. orgánu činného v trestnom konaní). Nevyhnutnou podmienkou však je, aby žiadosť príslušného orgánu obsahovala všetky podstatné náležitosti potrebné na spracovanie nadväzujúcej žiadosti pre zahraničnú finančnú spravodajskú jednotku. Ustanovenie ďalej zakotvuje povinnosť FSJ a príslušného orgánu rešpektovať podmienky a obmedzenia určené zahraničnou finančnou spravodajskou jednotkou v súvislosti s nakladaním s ňou poskytnutými informáciami.</w:t>
      </w:r>
    </w:p>
    <w:p w14:paraId="335B5CB9"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28:</w:t>
      </w:r>
    </w:p>
    <w:p w14:paraId="5300F6C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Inštitút spoločných analýz predstavuje nový prvok zavedený do zákona na základe čl. 32 smernice (EÚ) 2024/1640, ktorý je v predmetnom ustanovení transponovaný do návrhu zákona. Pri transponovaní bolo potrebné pamätať na skutočnosť, že podstatné časti predmetnej problematiky sú upravené aj v čl. 40 a nasledujúcich nariadenia (EÚ) 2024/1620 a nie je žiaduce duplikovať tieto ustanovenia. Odsek 1 predstavuje právny základ povinnosti FSJ zúčastňovať sa na spoločných analýzach. V odsekoch 2 a 3 sú ustanovené podmienky a spôsob iniciácie spoločnej analýzy zo strany FSJ. Odsek 4 zakotvuje možnosť odmietnuť účasť na spoločnej analýze koordinovanej úradom AMLA, avšak iba v odôvodnených prípadoch. Odôvodnené prípady môžu predstavovať napr. situácie, keď by účasť na spoločnej analýze mohla predstavovať preukázateľné riziko zmarenia prebiehajúcej analýzy, vyšetrovania, alebo iného konania na vnútroštátnej úrovni.</w:t>
      </w:r>
    </w:p>
    <w:p w14:paraId="67090F41"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 xml:space="preserve">K § 29: </w:t>
      </w:r>
    </w:p>
    <w:p w14:paraId="619B295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Navrhovanou úpravou sa zabezpečuje súlad s požiadavkou článku 8 smernice (EÚ) 2024/1640, ktorý ustanovuje povinnosť vypracovávať národné hodnotenie rizík legalizácie a financovania terorizmu. V prevažnej miere sa preberajú ustanovenia § 26a súčasného AML zákona. Uvedená požiadavka vyplýva aj z prvého odporúčania FATF a jeho následné uplatňovanie sa tak prelína prakticky všetkými ďalšími činnosťami, na ktoré sa odporúčania FAFT vzťahujú. V zmysle predmetného článku by členské štáty mali najskôr identifikovať, vyhodnotiť a porozumieť rizikám legalizácie a financovania terorizmu, ako aj rizikám nevykonávania a obchádzania cielených finančných sankcií, ktorým čelia a následne prijať vhodné opatrenia k zníženiu týchto rizík. Prístup založený na posúdení rizík tak umožní štátom, aby prijali flexibilné opatrenia, účinne využívali zdroje a zavádzali preventívne opatrenia primerané povahe rizík, aby tak docielili najefektívnejšie nasmerovanie svojich aktivít. Výsledky národného hodnotenia rizík majú slúžiť nielen na určovanie strategických priorít štátu, ale aj na primerané prideľovanie zdrojov, nastavenie rizikovo orientovaného dohľadu, identifikáciu sektorov a oblastí s vyšším </w:t>
      </w:r>
      <w:r w:rsidRPr="00146994">
        <w:rPr>
          <w:rFonts w:ascii="Times New Roman" w:hAnsi="Times New Roman"/>
          <w:sz w:val="24"/>
          <w:szCs w:val="24"/>
        </w:rPr>
        <w:lastRenderedPageBreak/>
        <w:t>alebo nižším rizikom a na podporu povinných osôb pri vykonávaní ich vlastného hodnotenia rizík.</w:t>
      </w:r>
    </w:p>
    <w:p w14:paraId="188D208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1 transponuje základnú požiadavku článku 8 ods. 1 smernice (EÚ) 2024/1640, podľa ktorej je každý členský štát povinný vykonať primerané kroky na identifikáciu, posúdenie, pochopenie a zmierňovanie rizík legalizácie a financovania terorizmu, ktorým je vystavený. Pôsobnosť národného hodnotenia rizík sa výslovne rozširuje aj na riziká súvisiace s predikatívnymi trestnými činmi a na riziká nevykonávania a obchádzania cielených finančných sankcií. Tým sa zabezpečuje komplexné posudzovanie rizík, ktoré nezahŕňa iba samotnú legalizáciu a financovanie terorizmu, ale aj širšie okolnosti a mechanizmy ovplyvňujúce účinnosť systému AML/CFT a vykonávania cielených finančných sankcií. Koordináciou celého procesu sa poveruje Finančná spravodajská jednotka, ktorá zároveň vypracúva národné hodnotenie rizík. Určenie jedného koordinačného orgánu zabezpečuje jednotné metodické vedenie procesu, sústreďovanie relevantných informácií a koordináciu subjektov zapojených do identifikácie, posudzovania a zmierňovania rizík. Navrhovaná úprava tak zachováva centrálne postavenie Finančnej spravodajskej jednotky pri národnom hodnotení rizík.</w:t>
      </w:r>
    </w:p>
    <w:p w14:paraId="7925D0E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upravuje podklady a širší kontext, ktoré sa pri národnom hodnotení rizík zohľadňujú, a obsahovo nadväzuje najmä na článok 8 ods. 3 a 4 smernice (EÚ) 2024/1640. Pri posudzovaní rizík sa nezohľadňujú iba vnútroštátne poznatky, ale aj hodnotenia rizík vypracované na úrovni Európskej únie a príslušnými orgánmi dohľadu vrátane sektorov a produktov, na ktoré sa tieto hodnotenia vzťahujú. Zabezpečuje sa tým vzájomná </w:t>
      </w:r>
      <w:proofErr w:type="spellStart"/>
      <w:r w:rsidRPr="00146994">
        <w:rPr>
          <w:rFonts w:ascii="Times New Roman" w:hAnsi="Times New Roman"/>
          <w:sz w:val="24"/>
          <w:szCs w:val="24"/>
        </w:rPr>
        <w:t>previaznosť</w:t>
      </w:r>
      <w:proofErr w:type="spellEnd"/>
      <w:r w:rsidRPr="00146994">
        <w:rPr>
          <w:rFonts w:ascii="Times New Roman" w:hAnsi="Times New Roman"/>
          <w:sz w:val="24"/>
          <w:szCs w:val="24"/>
        </w:rPr>
        <w:t xml:space="preserve"> národného hodnotenia rizík s nadnárodnými a sektorovými hodnoteniami a predchádza sa izolovanému posudzovaniu rizík výlučne na základe vnútroštátnych poznatkov. Súčasťou národného hodnotenia rizík je aj opis inštitucionálnej štruktúry a základných postupov systému boja proti legalizácii a financovaniu terorizmu, mechanizmov medzinárodnej spolupráce a ľudských a finančných zdrojov pridelených na zabezpečenie fungovania systému. Národné hodnotenie rizík tak nemá zachytávať iba samotné identifikované riziká, ale poskytovať aj obraz o kapacitách a mechanizmoch, prostredníctvom ktorých Slovenská republika na tieto riziká reaguje.</w:t>
      </w:r>
    </w:p>
    <w:p w14:paraId="3ACC236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transponuje predovšetkým článok 8 ods. 4 smernice a vymedzuje hlavné účely, na ktoré sa výsledky národného hodnotenia rizík používajú. Národné hodnotenie rizík slúži na zdokonaľovanie opatrení proti legalizácii a financovaniu terorizmu a proti nevykonávaniu a obchádzaniu cielených finančných sankcií, na posudzovanie rizík jednotlivých sektorov a povinných osôb a na identifikáciu oblastí, v ktorých je potrebné uplatňovať posilnené opatrenia v súlade s prístupom založeným na hodnotení rizík. Osobitne sa zohľadňuje potreba pochopiť riziká vyplývajúce zo zahraničných právnických osôb a zahraničných právnych zoskupení a potreba primeraného prideľovania ľudských, finančných a ďalších zdrojov podľa identifikovanej úrovne rizika. Výsledky národného hodnotenia rizík majú zároveň umožniť identifikovať sektory s nižším alebo vyšším rizikom, vytvárať primerané pravidlá zohľadňujúce osobitosti jednotlivých sektorov a druhov právnických osôb a poskytovať orgánom dohľadu, príslušným orgánom verejnej moci a povinným osobám informácie potrebné na vykonávanie ich vlastných hodnotení rizík. Ustanovenie tak zabezpečuje praktické premietnutie výsledkov národného hodnotenia rizík do preventívnej, regulačnej a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činnosti štátu a do rizikovo orientovaného plnenia povinností súkromného sektora. Jednotlivé účely národného hodnotenia sú v návrhu podrobne vymedzené v písmenách a) až h).</w:t>
      </w:r>
    </w:p>
    <w:p w14:paraId="44771F6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Odsek 4 transponuje článok 8 ods. 5 smernice (EÚ) 2024/1640 a upravuje zapojenie relevantných subjektov do procesu národného hodnotenia rizík. Na spracovaní a priebežnej aktualizácii národného hodnotenia rizík sa podieľajú povinné osoby, združenia majetku, Národná banka Slovenska, Úrad pre reguláciu hazardných hier, orgány činné v trestnom konaní, ostatné zainteresované orgány verejnej moci a ďalšie právnické alebo fyzické osoby disponujúce informáciami relevantnými pre posúdenie rizík. FSJ sa zároveň priznáva oprávnenie vyžadovať od týchto subjektov informácie a potrebnú súčinnosť a určiť lehotu na ich poskytnutie. Uvedené oprávnenie je nevyhnutné na zabezpečenie koordinovaného a efektívneho získavania údajov potrebných na národné hodnotenie rizík. Určená lehota by mala zodpovedať najmä povahe a rozsahu požadovaných informácií. Zapojenie širšieho okruhu verejných a súkromných subjektov zároveň zabezpečuje, aby národné hodnotenie rizík nevychádzalo iba z poznatkov jedného orgánu, ale zo súhrnu relevantných informácií dostupných v jednotlivých oblastiach systému AML/CFT.</w:t>
      </w:r>
    </w:p>
    <w:p w14:paraId="28FD7FD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5 upravuje metodické východiská, aktualizáciu národného hodnotenia rizík a periodicitu jeho predkladania vláde Slovenskej republiky. Pri spracovaní národného hodnotenia rizík sa FSJ a ostatné orgány verejnej moci riadia medzinárodne uznávanými štandardmi v oblasti AML/CFT/CPF. Ustanovenie vytvára právny základ na zohľadňovanie príslušných medzinárodných štandardov a metodík pri národnom hodnotení rizík a zároveň zachováva kontinuitu s doterajšou právnou úpravou. Národné hodnotenie rizík sa priebežne aktualizuje s prihliadnutím najmä na vývoj identifikovaných rizík a na relevantnú činnosť orgánov Únie. Priebežná aktualizácia vychádza z dynamickej povahy rizík ML/TF a zabezpečuje, aby prijímané opatrenia vychádzali z aktuálnych poznatkov. Na základe čiastkových hodnotení rizík FSJ spracuje správu z národného hodnotenia rizík a predloží ju vláde Slovenskej republiky na prerokovanie a schválenie najneskôr do štyroch rokov od predchádzajúceho schválenia. Štvorročná periodicita zohľadňuje požiadavku pravidelného prehodnocovania rizík a zabezpečuje, aby hlavný výstup národného hodnotenia rizík zostával aktuálnym strategickým dokumentom. </w:t>
      </w:r>
    </w:p>
    <w:p w14:paraId="201E8D3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6 upravuje priebežné informovanie povinných osôb o rizikách identifikovaných v národnom hodnotení rizík a o opatreniach prijímaných na ich zmierňovanie. Účelom ustanovenia je zabezpečiť praktické premietnutie výsledkov národného hodnotenia rizík do činnosti povinných osôb. Informácie o identifikovaných rizikách majú povinným osobám umožniť primerane aktualizovať vlastné hodnotenia rizík, vnútorné politiky, postupy a kontrolné mechanizmy a uplatňovať opatrenia zodpovedajúce aktuálnej úrovni a povahe rizika. Priebežné informovanie zároveň zabezpečuje, aby prenos poznatkov z národného hodnotenia rizík nebol viazaný výlučne na periodické zverejnenie jeho konečných výsledkov, ale aby relevantné poznatky mohli byť využívané povinnými osobami priebežne.</w:t>
      </w:r>
    </w:p>
    <w:p w14:paraId="4F1C213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7 transponuje článok 8 ods. 6 smernice (EÚ) 2024/1640 a upravuje poskytovanie výsledkov národného hodnotenia rizík relevantným vnútroštátnym a európskym subjektom. FSJ poskytuje výsledky národného hodnotenia rizík vrátane jeho aktualizácií Európskej komisii, úradu AMLA, ostatným členským štátom a ďalším subjektom uvedeným v zákone. Ustanovenie zároveň zachováva poskytovanie výsledkov výboru Rady Európy a rozširuje okruh adresátov v súlade s novou inštitucionálnou architektúrou AML/CFT na úrovni Európskej únie. Poskytovanie výsledkov povinným osobám, orgánom dohľadu a orgánom </w:t>
      </w:r>
      <w:r w:rsidRPr="00146994">
        <w:rPr>
          <w:rFonts w:ascii="Times New Roman" w:hAnsi="Times New Roman"/>
          <w:sz w:val="24"/>
          <w:szCs w:val="24"/>
        </w:rPr>
        <w:lastRenderedPageBreak/>
        <w:t>verejnej moci zabezpečuje využitie zistení národného hodnotenia rizík pri výkone dohľadu, tvorbe politík a vlastnom hodnotení rizík. Výmena výsledkov s európskymi inštitúciami a ostatnými členskými štátmi zároveň podporuje vzájomné porozumenie cezhraničným rizikám a koordinovaný prístup k ich zmierňovaniu.</w:t>
      </w:r>
    </w:p>
    <w:p w14:paraId="05340C1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8 upravuje verejnú dostupnosť správy z národného hodnotenia rizík a zároveň stanovuje hranice jej zverejnenia. FSJ zabezpečí verejnú dostupnosť správy z národného hodnotenia rizík. Verejné sprístupnenie podporuje transparentnosť systému AML/CFT a umožňuje povinným osobám, odborným subjektom a verejnosti oboznámiť sa s hlavnými rizikami identifikovanými na úrovni Slovenskej republiky. Súčasne sa ustanovuje, že zverejnená správa nesmie obsahovať utajované skutočnosti ani informácie umožňujúce identifikáciu konkrétnej fyzickej alebo právnickej osoby. Uvedené obmedzenie zabezpečuje ochranu citlivých informácií a práv dotknutých osôb a zodpovedá požiadavke článku 8 ods. 6 smernice na ochranu dôverných informácií a informácií umožňujúcich identifikáciu konkrétnych osôb.</w:t>
      </w:r>
    </w:p>
    <w:p w14:paraId="38C0633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9 upravuje nadväzujúcu fázu národného hodnotenia rizík, ktorou je koordinácia vykonávania opatrení prijatých na zmiernenie identifikovaných rizík. Národné hodnotenie rizík nemožno chápať iba ako proces identifikácie a analytického opisu rizík. Jeho výsledky musia byť premietnuté do konkrétnych opatrení smerujúcich k ich zmierňovaniu. FSJ sa preto zveruje koordinácia vykonávania týchto opatrení, pričom orgány dohľadu a orgány verejnej moci sú povinné poskytovať jej potrebnú súčinnosť. Súčasťou tejto súčinnosti je aj predkladanie prehľadu o vykonaných opatreniach a relevantných štatistických údajov. Tieto informácie umožňujú nielen sledovať formálne plnenie prijatých opatrení, ale predovšetkým posudzovať ich reálnu účinnosť a celkovú efektívnosť systému opatrení proti legalizácii, financovaniu terorizmu a nevykonávaniu alebo obchádzaniu cielených finančných sankcií.</w:t>
      </w:r>
    </w:p>
    <w:p w14:paraId="47A9EEF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Cieľom navrhovanej úpravy je ako doposiaľ zefektívnenie celého procesu národného hodnotenia rizík a v konečnom dôsledku aj na posilnenie dôvery privátneho sektora a verejnosti v plnení povinností na strane štátu.</w:t>
      </w:r>
    </w:p>
    <w:p w14:paraId="5D4090D4"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30:</w:t>
      </w:r>
    </w:p>
    <w:p w14:paraId="110109D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transponuje najmä článok 9 smernice (EÚ) 2024/1640 a v nadväznosti na článok 27 tejto smernice vytvára štatistický základ potrebný na vyhodnocovanie činnosti FSJ a účinnosti vnútroštátneho systému predchádzania legalizácii výnosov z trestnej činnosti a financovaniu terorizmu. Vedenie úplných, presných a aktuálnych štatistických údajov je nevyhnutným predpokladom na objektívne posudzovanie rozsahu identifikovaných rizík, výkonnosti jednotlivých zložiek systému a účinnosti prijatých opatrení. Štatistické údaje zároveň umožňujú sledovať vývoj v čase, identifikovať systémové nedostatky a vytvárajú podklad pre národné hodnotenie rizík, výkon dohľadu, tvorbu verejných politík a hodnotenie Slovenskej republiky zo strany príslušných európskych a medzinárodných orgánov.</w:t>
      </w:r>
    </w:p>
    <w:p w14:paraId="6FE2EAA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Navrhovaná úprava v základnej koncepcii nadväzuje na doterajšiu právnu úpravu vedenia štatistických údajov (§ 27 súčasného AML zákona), pričom rozsah zhromažďovaných údajov sa prispôsobuje požiadavkám smernice (EÚ) 2024/1640 a novej európskej inštitucionálnej architektúre v oblasti AML/CFT.</w:t>
      </w:r>
    </w:p>
    <w:p w14:paraId="6F51AE7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Odsek 1 transponuje článok 9 smernice (EÚ) 2024/1640 a ustanovuje rozsah súhrnných štatistických údajov vedených Finančnou spravodajskou jednotkou. Rozsah údajov je koncipovaný tak, aby umožnil hodnotiť systém AML/CFT ako celok, a to od veľkosti a významu regulovaných sektorov cez ohlasovanie a spracovanie podozrivých transakcií, trestné konania a medzinárodnú spoluprácu až po výkon dohľadu, transparentnosť konečných užívateľov výhod a vykonávanie cielených finančných sankcií.</w:t>
      </w:r>
    </w:p>
    <w:p w14:paraId="2B9EC6F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vytvára vnútroštátny mechanizmus potrebný na zabezpečenie úplnosti, aktuálnosti a presnosti štatistických údajov vedených podľa odseku 1. FSJ je oprávnená vyžadovať od orgánov verejnej moci a povinných osôb podklady a informácie nevyhnutné na vedenie štatistických údajov. Tomuto oprávneniu zodpovedá povinnosť dotknutých subjektov poskytnúť požadované údaje v lehote určenej FSJ, pričom poskytované údaje musia byť aktuálne a presné. Ustanovenie zabezpečuje praktickú vykonateľnosť požiadaviek článku 9 smernice (EÚ) 2024/1640. FSJ totiž nemusí byť pôvodcom ani primárnym držiteľom všetkých údajov uvedených v odseku 1, najmä údajov z oblasti trestného konania, súdnych konaní, dohľadu, konečných užívateľov výhod alebo cielených finančných sankcií. Bez zákonom ustanovenej informačnej povinnosti príslušných subjektov by preto nebolo možné zabezpečiť úplnosť národného štatistického rámca. V základnej koncepcii nejde o zavedenie úplne novej informačnej povinnosti, keďže oprávnenie získavať údaje potrebné na vedenie štatistických údajov obsahuje aj doterajšia právna úprava. Rozsah poskytovaných údajov sa však prispôsobuje požiadavkám nového právneho rámca. </w:t>
      </w:r>
    </w:p>
    <w:p w14:paraId="0543294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3 transponuje požiadavky článku 9 smernice (EÚ) 2024/1640 týkajúce sa pravidelného poskytovania štatistických údajov na úrovni Európskej únie. FSJ poskytuje raz ročne Európskej komisii štatistické údaje vedené podľa odseku 1. Úradu AMLA sa poskytuje zákonom vymedzený okruh údajov podľa odseku 1 písm. a), c), d) a f). Pravidelné poskytovanie štatistických údajov umožňuje Európskej komisii a úradu AMLA monitorovať fungovanie systémov AML/CFT v jednotlivých členských štátoch, porovnávať vývoj a výsledky na úrovni Európskej únie a identifikovať oblasti vyžadujúce ďalšie opatrenia. Účelom centralizovaného zberu je zároveň zlepšovať kvalitu, konzistentnosť a porovnateľnosť štatistických údajov medzi členskými štátmi a vytvoriť spoľahlivý analytický základ pre hodnotenie účinnosti európskeho systému boja proti legalizácii a financovaniu terorizmu.</w:t>
      </w:r>
    </w:p>
    <w:p w14:paraId="7C9349D4"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31:</w:t>
      </w:r>
    </w:p>
    <w:p w14:paraId="39843D5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transponuje článok 27 smernice (EÚ) 2024/1640 a upravuje povinnosť FSJ pravidelne informovať o svojej činnosti prostredníctvom výročnej správy. Uvedená povinnosť je upravená v § 27 ods. 1 súčasného AML zákona. Výročná správa predstavuje nástroj transparentnosti a verejnej kontroly činnosti FSJ. Prostredníctvom agregovaných štatistických, analytických a vecných informácií umožňuje hodnotiť rozsah a výsledky jej činnosti bez toho, aby došlo k sprístupneniu údajov o konkrétnych fyzických alebo právnických osobách alebo k narušeniu dôvernosti informácií spracúvaných pri plnení úloh FSJ.</w:t>
      </w:r>
    </w:p>
    <w:p w14:paraId="2131AE5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transponuje článok 27 smernice (EÚ) 2024/1640 a ustanovuje povinnosť FSJ raz ročne uverejniť na svojom webovom sídle výročnú správu o svojej činnosti. Výročná správa obsahuje súhrnný prehľad základných štatistických údajov charakterizujúcich činnosť FSJ. Ide najmä o údaje o počte prijatých hlásení o podozrivých transakciách, spôsoboch ich spracovania a </w:t>
      </w:r>
      <w:r w:rsidRPr="00146994">
        <w:rPr>
          <w:rFonts w:ascii="Times New Roman" w:hAnsi="Times New Roman"/>
          <w:sz w:val="24"/>
          <w:szCs w:val="24"/>
        </w:rPr>
        <w:lastRenderedPageBreak/>
        <w:t xml:space="preserve">nadväzujúcich opatreniach, informáciách získaných od orgánov dohľadu a z centrálnych registrov, poskytovaní informácií príslušným orgánom a následných opatreniach prijatých na základe týchto informácií. Súčasťou správy sú aj údaje o medzinárodnej spolupráci FSJ, najmä o žiadostiach predložených iným finančným spravodajským jednotkám a prijatých od nich. Výročná správa ďalej obsahuje údaje o hláseniach odstúpených orgánom činným v trestnom konaní, orgánom dohľadu alebo správcom daní, o personálnych kapacitách FSJ, cezhraničných fyzických prevodoch peňažných prostriedkov v hotovosti a o výmene informácií s orgánmi verejnej moci plniacimi úlohy v oblasti vyšetrovania, stíhania, vysledovania, zmrazenia, zaistenia alebo konfiškácie majetku. Výročná správa tak poskytuje agregovaný obraz o celom cykle činnosti FSJ – od prijatia informácie alebo hlásenia cez jeho analytické spracovanie a výmenu informácií až po ďalšie využitie príslušnými orgánmi. </w:t>
      </w:r>
    </w:p>
    <w:p w14:paraId="09F9E58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transponuje požiadavku článku 27 smernice na zahrnutie analytických poznatkov FSJ do výročnej správy. Táto by preto mala obsahovať informácie o identifikovaných trendoch, typológiách a rizikách spojených s legalizáciou a financovaním terorizmu, ako aj s nevykonávaním a obchádzaním cielených finančných sankcií. Zverejňovanie týchto informácií má význam nielen z hľadiska transparentnosti činnosti FSJ, ale aj z preventívneho hľadiska. Poznatky o aktuálnych trendoch, typológiách a rizikách môžu povinné osoby a orgány dohľadu využívať pri vlastnom hodnotení rizík, nastavovaní vnútorných kontrolných mechanizmov a identifikácii podozrivých obchodných alebo transakčných vzorcov. </w:t>
      </w:r>
    </w:p>
    <w:p w14:paraId="52E6F5B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3 ustanovuje ochranný rámec pre obsah výročnej správy, ktorá nesmie obsahovať informácie umožňujúce identifikáciu konkrétnej fyzickej alebo právnickej osoby. Účelom ustanovenia je dosiahnuť rovnováhu medzi požiadavkou transparentnosti činnosti FSJ a ochranou dôvernosti informácií, s ktorými FSJ pri výkone svojej pôsobnosti pracuje. Obmedzenie identifikovateľnosti zároveň chráni dotknuté osoby pred tým, aby bolo možné z verejne dostupnej výročnej správy odvodiť ich spojenie s konkrétnym hlásením, preverovaním, analytickou činnosťou alebo iným postupom FSJ.</w:t>
      </w:r>
    </w:p>
    <w:p w14:paraId="016D0B2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4 transponuje požiadavku článku 27 smernice (EÚ) 2024/1640 na poskytovanie výročnej správy príslušným orgánom Európskej únie, a to Európskej komisii a úradu AMLA. Poskytovanie výročných správ jednotlivých finančných spravodajských jednotiek umožňuje týmto orgánom získavať pravidelné a porovnateľné informácie o činnosti FIU v jednotlivých členských štátoch, identifikovaných trendoch a rizikách a o fungovaní mechanizmov výmeny a využívania finančných spravodajských informácií.</w:t>
      </w:r>
    </w:p>
    <w:p w14:paraId="4F51AE4F"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32:</w:t>
      </w:r>
    </w:p>
    <w:p w14:paraId="0B98F00F"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transponuje najmä článok 37 smernice (EÚ) 2024/1640 a v súvisiacich otázkach nadväzuje na ustanovenia smernice upravujúce cezhraničný dohľad a dohľad nad skupinami; zároveň obsahuje vnútroštátne kompetenčné a procesné pravidlá výkonu dohľadu. Cieľom právnej úpravy je zabezpečiť jednoznačné rozdelenie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kompetencií medzi Národnú banku Slovenska, Úrad pre reguláciu hazardných hier a Finančnú spravodajskú jednotku podľa charakteru dohliadanej povinnej osoby, pričom sa súčasne vytvára rámec ich vzájomnej spolupráce, výmeny informácií a cezhraničného výkonu dohľadu. </w:t>
      </w:r>
    </w:p>
    <w:p w14:paraId="053E28D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 xml:space="preserve">Navrhovaná úprava vychádza zo zásady sektorovej špecializácie jednotlivých orgánov dohľadu. Národná banka Slovenska vykonáva dohľad predovšetkým nad finančným sektorom a niektorými povinnými osobami z nefinančného sektoru, Úrad pre reguláciu hazardných hier nad prevádzkovateľmi hazardných hier a Finančná spravodajská jednotka nad ostatnými povinnými osobami, nad ktorými nevykonávajú dohľad tieto orgány dohľadu. Uvedeným rozdelením sa sleduje predchádzanie prekrývaniu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kompetencií a zabezpečenie toho, aby dohľad vykonával orgán disponujúci príslušnou odbornou a sektorovou pôsobnosťou. </w:t>
      </w:r>
    </w:p>
    <w:p w14:paraId="3CB1C58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Koncentrácia dohľadu v jednom sektorovo príslušnom orgáne má znížiť riziko duplicitných dohľadov, zabezpečiť jednotnejšie posudzovanie skutkových okolností a umožniť využitie poznatkov získaných pri výkone dohľadu podľa osobitných právnych predpisov aj na účely AML/CFT dohľadu.</w:t>
      </w:r>
    </w:p>
    <w:p w14:paraId="0AF49F5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transponuje základnú požiadavku článku 37 ods. 1 smernice (EÚ) 2024/1640 na ustanovenie jedného alebo viacerých vnútroštátnych orgánov dohľadu zodpovedných za účinné monitorovanie dodržiavania povinností vyplývajúcich z priamo uplatniteľných právnych predpisov Európskej únie a vnútroštátnej právnej úpravy. Orgánmi dohľadu sú Národná banka Slovenska, Úrad pre reguláciu hazardných hier a Finančná spravodajská jednotka. Ide o vnútroštátne určenie orgánov zodpovedných za výkon AML/CFT dohľadu, ktorým sa vytvára základná organizačná štruktúra </w:t>
      </w:r>
      <w:proofErr w:type="spellStart"/>
      <w:r w:rsidRPr="00146994">
        <w:rPr>
          <w:rFonts w:ascii="Times New Roman" w:hAnsi="Times New Roman"/>
          <w:sz w:val="24"/>
          <w:szCs w:val="24"/>
        </w:rPr>
        <w:t>dohľadového</w:t>
      </w:r>
      <w:proofErr w:type="spellEnd"/>
      <w:r w:rsidRPr="00146994">
        <w:rPr>
          <w:rFonts w:ascii="Times New Roman" w:hAnsi="Times New Roman"/>
          <w:sz w:val="24"/>
          <w:szCs w:val="24"/>
        </w:rPr>
        <w:t xml:space="preserve"> systému. Súčasne sa ustanovuje povinnosť orgánov dohľadu navzájom spolupracovať z vlastného podnetu alebo na základe dožiadania, najmä prostredníctvom výmeny a preverovania informácií potrebných na predchádzanie a odhaľovanie legalizácie a financovania terorizmu. Účelom tejto úpravy je zabezpečiť, aby sektorové rozdelenie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kompetencií neviedlo k informačnej izolácii jednotlivých orgánov a aby relevantné poznatky mohli byť využité pri výkone dohľadu aj mimo orgánu, ktorý ich pôvodne získal. Vzájomná spolupráca orgánov dohľadu zároveň nadväzuje na širšiu požiadavku európskeho AML/CFT rámca na koordinovaný výkon dohľadu a výmenu informácií medzi príslušnými orgánmi.</w:t>
      </w:r>
    </w:p>
    <w:p w14:paraId="6590D23F"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upravuje vecnú pôsobnosť Národnej banky Slovenska ako orgánu dohľadu nad povinnými osobami finančného sektora, ktorý je definovaný v § 2 písm. c) návrhu zákona a ďalšími povinnými osobami uvedenými v § 2 písm. d) bod 16 až 19 návrhu zákona, ktoré podliehajú jej </w:t>
      </w:r>
      <w:proofErr w:type="spellStart"/>
      <w:r w:rsidRPr="00146994">
        <w:rPr>
          <w:rFonts w:ascii="Times New Roman" w:hAnsi="Times New Roman"/>
          <w:sz w:val="24"/>
          <w:szCs w:val="24"/>
        </w:rPr>
        <w:t>prudenciálnemu</w:t>
      </w:r>
      <w:proofErr w:type="spellEnd"/>
      <w:r w:rsidRPr="00146994">
        <w:rPr>
          <w:rFonts w:ascii="Times New Roman" w:hAnsi="Times New Roman"/>
          <w:sz w:val="24"/>
          <w:szCs w:val="24"/>
        </w:rPr>
        <w:t xml:space="preserve"> dohľadu. Zverenie dohľadu nad finančným sektorom a uvedenými povinnými osobami z nefinančného sektora Národnej banke Slovenska vychádza zo sektorovej špecializácie tohto orgánu a z jeho existujúcich kompetencií pri dohľade nad finančným trhom. Koncentrácia AML/CFT dohľadu nad uvedenými povinnými osobami v jednom špecializovanom orgáne umožní prepojiť poznatky z </w:t>
      </w:r>
      <w:proofErr w:type="spellStart"/>
      <w:r w:rsidRPr="00146994">
        <w:rPr>
          <w:rFonts w:ascii="Times New Roman" w:hAnsi="Times New Roman"/>
          <w:sz w:val="24"/>
          <w:szCs w:val="24"/>
        </w:rPr>
        <w:t>prudenciálneho</w:t>
      </w:r>
      <w:proofErr w:type="spellEnd"/>
      <w:r w:rsidRPr="00146994">
        <w:rPr>
          <w:rFonts w:ascii="Times New Roman" w:hAnsi="Times New Roman"/>
          <w:sz w:val="24"/>
          <w:szCs w:val="24"/>
        </w:rPr>
        <w:t xml:space="preserve">, licenčného a AML/CFT dohľadu a zároveň zabezpečiť jednotné uplatňovanie požiadaviek v rámci finančného sektora. </w:t>
      </w:r>
    </w:p>
    <w:p w14:paraId="7FDEA35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zveruje výkon AML/CFT dohľadu nad prevádzkovateľmi hazardných hier Úradu pre reguláciu hazardných hier. Uvedené riešenie vychádza zo sektorovej pôsobnosti Úradu pre reguláciu hazardných hier a umožňuje prepojiť AML/CFT dohľad s jeho existujúcou </w:t>
      </w:r>
      <w:proofErr w:type="spellStart"/>
      <w:r w:rsidRPr="00146994">
        <w:rPr>
          <w:rFonts w:ascii="Times New Roman" w:hAnsi="Times New Roman"/>
          <w:sz w:val="24"/>
          <w:szCs w:val="24"/>
        </w:rPr>
        <w:t>dohľadovou</w:t>
      </w:r>
      <w:proofErr w:type="spellEnd"/>
      <w:r w:rsidRPr="00146994">
        <w:rPr>
          <w:rFonts w:ascii="Times New Roman" w:hAnsi="Times New Roman"/>
          <w:sz w:val="24"/>
          <w:szCs w:val="24"/>
        </w:rPr>
        <w:t xml:space="preserve"> a regulačnou činnosťou v oblasti hazardných hier.</w:t>
      </w:r>
    </w:p>
    <w:p w14:paraId="1B2CFC0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4 ustanovuje Finančnú spravodajskú jednotku ako orgán dohľadu nad nefinančným sektorom, ktorý je definovaný v § 2 písm. d) návrhu zákona s výnimkou povinných osôb, nad </w:t>
      </w:r>
      <w:r w:rsidRPr="00146994">
        <w:rPr>
          <w:rFonts w:ascii="Times New Roman" w:hAnsi="Times New Roman"/>
          <w:sz w:val="24"/>
          <w:szCs w:val="24"/>
        </w:rPr>
        <w:lastRenderedPageBreak/>
        <w:t>ktorými vykonáva dohľad Národná banka Slovenska alebo Úrad pre reguláciu hazardných hier. Finančná spravodajská jednotka tak plní funkciu všeobecného orgánu AML/CFT dohľadu nad nefinančným sektorom, zatiaľ čo ostatné orgány vykonávajú dohľad nad osobitne vymedzenými skupinami povinných osôb.</w:t>
      </w:r>
    </w:p>
    <w:p w14:paraId="27CD4DA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5 ustanovuje, že Finančná spravodajská jednotka vykonáva dohľad aj nad právnickou osobou alebo fyzickou osobou oprávnenou vykonávať finančný lízing, </w:t>
      </w:r>
      <w:proofErr w:type="spellStart"/>
      <w:r w:rsidRPr="00146994">
        <w:rPr>
          <w:rFonts w:ascii="Times New Roman" w:hAnsi="Times New Roman"/>
          <w:sz w:val="24"/>
          <w:szCs w:val="24"/>
        </w:rPr>
        <w:t>faktoring</w:t>
      </w:r>
      <w:proofErr w:type="spellEnd"/>
      <w:r w:rsidRPr="00146994">
        <w:rPr>
          <w:rFonts w:ascii="Times New Roman" w:hAnsi="Times New Roman"/>
          <w:sz w:val="24"/>
          <w:szCs w:val="24"/>
        </w:rPr>
        <w:t xml:space="preserve"> alebo forfaiting, ktorá nepodlieha dohľadu Národnej banky Slovenska.</w:t>
      </w:r>
    </w:p>
    <w:p w14:paraId="0A296AA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6 zabezpečuje výkon dohľadu aj nad organizačnými jednotkami alebo prevádzkami zahraničných povinných osôb pôsobiacimi na území Slovenskej republiky. Ustanovenie vychádza zo zásady článku 37 ods. 1 smernice, podľa ktorej povinné subjekty usadené na území členského štátu podliehajú dohľadu jeho vnútroštátnych orgánov, pričom osobitné pravidlá pre vybrané formy infraštruktúry a cezhraničné poskytovanie služieb obsahuje článok 38 smernice (§ 35 návrhu zákona). Účelom ustanovenia je zabezpečiť, aby samotná skutočnosť, že povinná osoba má sídlo mimo Slovenskej republiky, nebránila účinnému dohľadu nad jej činnosťou vykonávanou prostredníctvom organizačnej jednotky alebo prevádzky na území Slovenskej republiky.</w:t>
      </w:r>
    </w:p>
    <w:p w14:paraId="71ED076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7 upravuje osobitné právomoci Národnej banky Slovenska pri dohľade nad povinnými osobami, ktoré sú súčasťou skupiny s cezhraničnou pôsobnosťou. Ak ide o takúto povinnú osobu, Národná banka Slovenska vykonáva dohľad nad účinným vykonávaním </w:t>
      </w:r>
      <w:proofErr w:type="spellStart"/>
      <w:r w:rsidRPr="00146994">
        <w:rPr>
          <w:rFonts w:ascii="Times New Roman" w:hAnsi="Times New Roman"/>
          <w:sz w:val="24"/>
          <w:szCs w:val="24"/>
        </w:rPr>
        <w:t>celoskupinových</w:t>
      </w:r>
      <w:proofErr w:type="spellEnd"/>
      <w:r w:rsidRPr="00146994">
        <w:rPr>
          <w:rFonts w:ascii="Times New Roman" w:hAnsi="Times New Roman"/>
          <w:sz w:val="24"/>
          <w:szCs w:val="24"/>
        </w:rPr>
        <w:t xml:space="preserve"> politík, postupov a kontrol podľa nariadenia (EÚ) 2024/1624, a to aj vo vzťahu k organizačným jednotkám skupiny nachádzajúcim sa v inom členskom štáte. Táto úprava obsahovo nadväzuje na systém dohľadu nad skupinami upravený v článku 46 smernice (EÚ) 2024/1640, podľa ktorého orgán dohľadu domovského členského štátu dohliada na účinné vykonávanie </w:t>
      </w:r>
      <w:proofErr w:type="spellStart"/>
      <w:r w:rsidRPr="00146994">
        <w:rPr>
          <w:rFonts w:ascii="Times New Roman" w:hAnsi="Times New Roman"/>
          <w:sz w:val="24"/>
          <w:szCs w:val="24"/>
        </w:rPr>
        <w:t>celoskupinových</w:t>
      </w:r>
      <w:proofErr w:type="spellEnd"/>
      <w:r w:rsidRPr="00146994">
        <w:rPr>
          <w:rFonts w:ascii="Times New Roman" w:hAnsi="Times New Roman"/>
          <w:sz w:val="24"/>
          <w:szCs w:val="24"/>
        </w:rPr>
        <w:t xml:space="preserve"> AML/CFT politík, postupov a kontrol, zatiaľ čo orgán dohľadu hostiteľského členského štátu dohliada na dodržiavanie uplatniteľných povinností organizačnými jednotkami na svojom území. Účelom ustanovenia je zabezpečiť, aby povinná osoba nemohla znižovať účinnosť AML/CFT systému rozdelením činností medzi viacero členských štátov a aby sa </w:t>
      </w:r>
      <w:proofErr w:type="spellStart"/>
      <w:r w:rsidRPr="00146994">
        <w:rPr>
          <w:rFonts w:ascii="Times New Roman" w:hAnsi="Times New Roman"/>
          <w:sz w:val="24"/>
          <w:szCs w:val="24"/>
        </w:rPr>
        <w:t>celoskupinové</w:t>
      </w:r>
      <w:proofErr w:type="spellEnd"/>
      <w:r w:rsidRPr="00146994">
        <w:rPr>
          <w:rFonts w:ascii="Times New Roman" w:hAnsi="Times New Roman"/>
          <w:sz w:val="24"/>
          <w:szCs w:val="24"/>
        </w:rPr>
        <w:t xml:space="preserve"> politiky a kontrolné mechanizmy uplatňovali konzistentne v rámci celej skupiny. Možnosť vykonávať dohľad na území tretej krajiny je podmienená právnym poriadkom príslušného štátu a dohodou medzi Národnou bankou Slovenska a príslušným zahraničným orgánom dohľadu. Ide o vnútroštátne procesné zabezpečenie cezhraničného výkonu dohľadu, ktoré rešpektuje územnú pôsobnosť právnych poriadkov a zásady medzinárodnej spolupráce.</w:t>
      </w:r>
    </w:p>
    <w:p w14:paraId="2D41842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8 umožňuje vykonať dohľad aj voči osobe, ktorá už prestala byť povinnou osobou, ak ide o preverenie plnenia povinností, ktoré mala v období, keď sa na ňu režim povinnej osoby vzťahoval. Účelom ustanovenia je zabrániť tomu, aby zánik postavenia povinnej osoby automaticky neznemožnil preverenie dodržiavania povinností, ktoré vznikli alebo mali byť splnené počas obdobia jej pôsobenia v regulovanom režime. Navrhované ustanovenie preberá už existujúcu úpravu § 29 ods. 2 súčasného AML zákona. </w:t>
      </w:r>
    </w:p>
    <w:p w14:paraId="4577E40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9 ustanovuje, že orgán dohľadu nevykonáva dohľad na povinnou osobou v rozsahu, v akom vykonáva dohľad úrad AMLA. Jedná sa o transpozíciu v článku 37 odsek 1 tretí </w:t>
      </w:r>
      <w:proofErr w:type="spellStart"/>
      <w:r w:rsidRPr="00146994">
        <w:rPr>
          <w:rFonts w:ascii="Times New Roman" w:hAnsi="Times New Roman"/>
          <w:sz w:val="24"/>
          <w:szCs w:val="24"/>
        </w:rPr>
        <w:lastRenderedPageBreak/>
        <w:t>pododsek</w:t>
      </w:r>
      <w:proofErr w:type="spellEnd"/>
      <w:r w:rsidRPr="00146994">
        <w:rPr>
          <w:rFonts w:ascii="Times New Roman" w:hAnsi="Times New Roman"/>
          <w:sz w:val="24"/>
          <w:szCs w:val="24"/>
        </w:rPr>
        <w:t xml:space="preserve"> smernice (EÚ) 2024/1640, podľa ktorého keď úrad AMLA koná ako orgán dohľadu, tento článok sa neuplatňuje.</w:t>
      </w:r>
    </w:p>
    <w:p w14:paraId="2374815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10 upravuje procesný režim výkonu dohľadu Národnou bankou Slovenska. Pri výkone dohľadu nad plnením a dodržiavaním povinností podľa tohto zákona a osobitných predpisov Národná banka Slovenska postupuje podľa všeobecného predpisu o dohľade nad finančným trhom, pokiaľ tento zákon alebo osobitný predpis neustanovuje odlišný postup. Ustanovenie zachováva využitie existujúceho procesného rámca dohľadu nad finančným trhom a predchádza vytváraniu duplicitného osobitného procesného režimu pre AML/CFT dohľad Národnej banky Slovenska. Ide o vnútroštátnu procesnú úpravu, ktorá neurčuje rozsah materiálnych AML/CFT povinností, ale spôsob výkonu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právomocí Národnej banky Slovenska.</w:t>
      </w:r>
    </w:p>
    <w:p w14:paraId="4791DBE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11 ustanovuje, že na dohľad vykonávaný podľa tohto zákona sa nevzťahuje všeobecný predpis o kontrole v štátnej správe. Účelom ustanovenia je jednoznačne oddeliť osobitný AML/CFT </w:t>
      </w:r>
      <w:proofErr w:type="spellStart"/>
      <w:r w:rsidRPr="00146994">
        <w:rPr>
          <w:rFonts w:ascii="Times New Roman" w:hAnsi="Times New Roman"/>
          <w:sz w:val="24"/>
          <w:szCs w:val="24"/>
        </w:rPr>
        <w:t>dohľadový</w:t>
      </w:r>
      <w:proofErr w:type="spellEnd"/>
      <w:r w:rsidRPr="00146994">
        <w:rPr>
          <w:rFonts w:ascii="Times New Roman" w:hAnsi="Times New Roman"/>
          <w:sz w:val="24"/>
          <w:szCs w:val="24"/>
        </w:rPr>
        <w:t xml:space="preserve"> režim od všeobecného režimu kontroly v štátnej správe a odstrániť prípadné pochybnosti o subsidiárnej aplikácii všeobecných kontrolných pravidiel. Osobitný proces dohľadu vychádza zo špecifickej povahy AML/CFT povinností, potreby rizikovo orientovaného výkonu dohľadu, medzinárodnej výmeny informácií a osobitných právomocí orgánov dohľadu. Z uvedeného dôvodu sa naň uplatňuje osobitná právna úprava obsiahnutá v tomto zákone a v príslušných sektorových predpisoch. Navrhované ustanovenie preberá už existujúcu úpravu § 30 ods. 5 súčasného AML zákona. </w:t>
      </w:r>
    </w:p>
    <w:p w14:paraId="41AE718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12 upravuje procesný režim udeľovania súhlasu s vykonaním dohľadu na mieste úradom AMLA. Jedná sa o implementáciu článku 19 a 20 nariadenia (EÚ) 2024/1620, podľa ktorých úrad AMLA v prípade, ak ide o fyzické osoby, ktorých obchodné priestory sú rovnaké ako ich súkromné bydlisko, musí požiadať o súdne povolenie na vykonanie kontroly na mieste a získať ho. Ustanovenie teda reaguje na novú európsku inštitucionálnu architektúru dohľadu v oblasti AML/CFT, v rámci ktorej má úrad AMLA vo vzťahu k vybraným povinným subjektom vlastné </w:t>
      </w:r>
      <w:proofErr w:type="spellStart"/>
      <w:r w:rsidRPr="00146994">
        <w:rPr>
          <w:rFonts w:ascii="Times New Roman" w:hAnsi="Times New Roman"/>
          <w:sz w:val="24"/>
          <w:szCs w:val="24"/>
        </w:rPr>
        <w:t>dohľadové</w:t>
      </w:r>
      <w:proofErr w:type="spellEnd"/>
      <w:r w:rsidRPr="00146994">
        <w:rPr>
          <w:rFonts w:ascii="Times New Roman" w:hAnsi="Times New Roman"/>
          <w:sz w:val="24"/>
          <w:szCs w:val="24"/>
        </w:rPr>
        <w:t xml:space="preserve"> právomoci vrátane výkonu dohľadu na mieste. Na konanie o vydaní súhlasu sa použije osobitný predpis upravujúci postup vo veciach patriacich do správneho súdnictva (Správny súdny poriadok). Jeho účelom je vytvoriť vnútroštátny procesný rámec pre situácie, keď výkon právomoci úradu AMLA na území Slovenskej republiky vyžaduje súčinnosť alebo rozhodnutie vnútroštátneho orgánu.</w:t>
      </w:r>
    </w:p>
    <w:p w14:paraId="5C4639DC"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33:</w:t>
      </w:r>
    </w:p>
    <w:p w14:paraId="0D26836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transponuje článok 37 ods. 2 a článok 67 ods. 1 smernice (EÚ) 2024/1640 a upravuje osobitné požiadavky na osoby vykonávajúce dohľad v oblasti AML/CFT. Sleduje dva vzájomne súvisiace ciele, ktorými sú zabezpečenie osobnej integrity zamestnancov orgánov dohľadu a ochrana dôverných informácií získaných pri výkone dohľadu. </w:t>
      </w:r>
    </w:p>
    <w:p w14:paraId="198B5E5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Povinnosť mlčanlivosti má osobitný význam vzhľadom na charakter informácií spracúvaných pri AML/CFT dohľade. Orgány dohľadu môžu získavať údaje o klientoch, obchodných vzťahoch, transakciách, vnútorných kontrolných mechanizmoch, rizikových profiloch povinných osôb, podozrivých aktivitách alebo ďalšie informácie, ktorých neoprávnené sprístupnenie by mohlo zasiahnuť do práv dotknutých osôb, narušiť účel dohľadu alebo ohroziť  </w:t>
      </w:r>
      <w:r w:rsidRPr="00146994">
        <w:rPr>
          <w:rFonts w:ascii="Times New Roman" w:hAnsi="Times New Roman"/>
          <w:sz w:val="24"/>
          <w:szCs w:val="24"/>
        </w:rPr>
        <w:lastRenderedPageBreak/>
        <w:t>účinnosť AML/CFT systému. Navrhovaná úprava preto vytvára osobitný ochranný režim, ktorý pozostáva jednak z požiadavky bezúhonnosti zamestnancov orgánu dohľadu a jednak z povinnosti zachovávať mlčanlivosť, ktorá sa vzťahuje nielen na zamestnancov, ale aj na externé osoby vykonávajúce činnosť v mene orgánu dohľadu.</w:t>
      </w:r>
    </w:p>
    <w:p w14:paraId="12AEB5E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transponuje článok 37 ods. 2 smernice (EÚ) 2024/1640 v časti týkajúcej sa požiadavky na bezúhonnosť zamestnancov orgánov dohľadu. Navrhované ustanovenie preto stanovuje bezúhonnosť ako základný osobnostný predpoklad na výkon činnosti zamestnanca orgánu dohľadu. Osoba, ktorá tento predpoklad nespĺňa, nemôže vykonávať činnosti spojené s výkonom AML/CFT dohľadu. Požiadavka bezúhonnosti sa neuplatňuje iba pri vzniku pracovnoprávneho alebo obdobného vzťahu, ale musí byť splnená počas celého obdobia výkonu činnosti. Ak zamestnanec orgánu dohľadu prestane podmienku bezúhonnosti spĺňať, orgán dohľadu je povinný zabezpečiť, aby ďalej nevykonával činnosť, pri ktorej by mal prístup k </w:t>
      </w:r>
      <w:proofErr w:type="spellStart"/>
      <w:r w:rsidRPr="00146994">
        <w:rPr>
          <w:rFonts w:ascii="Times New Roman" w:hAnsi="Times New Roman"/>
          <w:sz w:val="24"/>
          <w:szCs w:val="24"/>
        </w:rPr>
        <w:t>dohľadovým</w:t>
      </w:r>
      <w:proofErr w:type="spellEnd"/>
      <w:r w:rsidRPr="00146994">
        <w:rPr>
          <w:rFonts w:ascii="Times New Roman" w:hAnsi="Times New Roman"/>
          <w:sz w:val="24"/>
          <w:szCs w:val="24"/>
        </w:rPr>
        <w:t xml:space="preserve"> informáciám alebo vykonával právomoci orgánu dohľadu. Priebežný charakter požiadavky je odôvodnený osobitnou povahou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činnosti. Zamestnanci orgánu dohľadu môžu disponovať rozsiahlymi a citlivými informáciami a zároveň vykonávať právomoci, ktoré môžu významným spôsobom zasiahnuť do práv a povinností dohliadaných subjektov. Zachovanie ich osobnej integrity je preto základným predpokladom dôveryhodného a nestranného výkonu dohľadu.</w:t>
      </w:r>
    </w:p>
    <w:p w14:paraId="53851C4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Ustanovením sa zjednocuje požiadavka bezúhonnosti osôb podieľajúcich sa na výkone AML/CFT dohľadu bez ohľadu na to, v ktorom orgáne dohľadu pôsobia. Osobitné služobné, pracovnoprávne alebo organizačné predpisy môžu totiž upravovať podmienku bezúhonnosti rozdielnym spôsobom. Na účely výkonu dohľadu podľa tohto zákona sa preto ustanovuje jednotný osobitný štandard, ktorý sa uplatní vo vzťahu ku všetkým zamestnancom orgánov dohľadu vykonávajúcim činnosti podľa tohto zákona. </w:t>
      </w:r>
    </w:p>
    <w:p w14:paraId="349AED4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2 transponuje článok 67 ods. 1 smernice (EÚ) 2024/1640 a upravuje osobitnú povinnosť zachovávať mlčanlivosť o informáciách získaných pri výkone dohľadu. Predmetná povinnosť bola upravená v § 18 ods. 2 a 3 súčasného AML zákona Povinnosť sa vzťahuje na zamestnancov orgánov dohľadu, ako aj na audítorov a iné osoby konajúce v mene orgánu dohľadu na základe zmluvného alebo obdobného vzťahu. Rozsah osobnej pôsobnosti zodpovedá článku 67 ods. 1 smernice, podľa ktorého musia byť povinnosťou zachovávať služobné tajomstvo viazané všetky osoby, ktoré pracujú alebo pracovali pre orgány dohľadu, ako aj audítori alebo experti konajúci v mene týchto orgánov.</w:t>
      </w:r>
    </w:p>
    <w:p w14:paraId="368E28B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Predmetom mlčanlivosti sú skutočnosti, o ktorých sa uvedené osoby dozvedeli pri výkone dohľadu. Jedná sa predovšetkým o neverejné informácie získané alebo vytvorené v súvislosti s </w:t>
      </w:r>
      <w:proofErr w:type="spellStart"/>
      <w:r w:rsidRPr="00146994">
        <w:rPr>
          <w:rFonts w:ascii="Times New Roman" w:hAnsi="Times New Roman"/>
          <w:sz w:val="24"/>
          <w:szCs w:val="24"/>
        </w:rPr>
        <w:t>dohľadovou</w:t>
      </w:r>
      <w:proofErr w:type="spellEnd"/>
      <w:r w:rsidRPr="00146994">
        <w:rPr>
          <w:rFonts w:ascii="Times New Roman" w:hAnsi="Times New Roman"/>
          <w:sz w:val="24"/>
          <w:szCs w:val="24"/>
        </w:rPr>
        <w:t xml:space="preserve"> činnosťou, bez ohľadu na ich formu alebo spôsob získania. Mlčanlivosť sa zachováva vo vzťahu k tretím osobám vrátane osôb, ktorých sa predmetné informácie týkajú, ak zákon neustanovuje inak. Takto nastavený režim zohľadňuje osobitnú povahu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činnosti, pri ktorej môže byť nevyhnutné chrániť určité informácie aj pred samotnou osobou, ktorej sa týkajú, ak by ich sprístupnenie mohlo zmariť účel dohľadu alebo iného zákonného postupu.</w:t>
      </w:r>
    </w:p>
    <w:p w14:paraId="06BDDA5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Smernica vychádza zo zásady, že dôverné informácie získané pri výkone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úloh nemožno voľne poskytovať tretím osobám. Článok 67 ods. 1 pripúšťa ich poskytovanie mimo </w:t>
      </w:r>
      <w:r w:rsidRPr="00146994">
        <w:rPr>
          <w:rFonts w:ascii="Times New Roman" w:hAnsi="Times New Roman"/>
          <w:sz w:val="24"/>
          <w:szCs w:val="24"/>
        </w:rPr>
        <w:lastRenderedPageBreak/>
        <w:t xml:space="preserve">výslovne ustanovených prípadov len v stručnej alebo súhrnnej podobe a spôsobom, ktorý neumožňuje identifikovať jednotlivé povinné subjekty. Zároveň tým nie sú dotknuté osobitné režimy poskytovania informácií v súvislosti s vyšetrovaním a stíhaním trestných činov alebo poskytovaním informácií finančným spravodajským jednotkám. Ustanovenie preto treba vykladať spolu s ďalšími ustanoveniami zákona a smernice, ktoré výslovne umožňujú alebo ukladajú výmenu informácií medzi orgánmi dohľadu, finančnými spravodajskými jednotkami, úradom AMLA a ďalšími príslušnými orgánmi. </w:t>
      </w:r>
    </w:p>
    <w:p w14:paraId="3C6E02D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Navrhovaná povinnosť mlčanlivosti predstavuje osobitnú úpravu vo vzťahu k všeobecným režimom mlčanlivosti ustanoveným v iných právnych predpisoch, najmä v služobných, pracovnoprávnych alebo sektorových predpisoch upravujúcich postavenie zamestnancov jednotlivých orgánov dohľadu. Uplatnenie osobitnej povinnosti podľa tohto zákona tým nie je dotknuté. Navrhované ustanovenie zároveň odkazuje na osobitné právne predpisy upravujúce postup pri zbavení povinnosti mlčanlivosti. Zohľadňuje sa tým rozdielne právne postavenie zamestnancov jednotlivých orgánov dohľadu a existujúce osobitné režimy, napríklad podľa právnej úpravy dohľadu nad finančným trhom alebo zákona o Policajnom zbore. Nejde preto o vytváranie nového všeobecného mechanizmu zbavenia mlčanlivosti, ale o zachovanie väzby na príslušnú sektorovú právnu úpravu.</w:t>
      </w:r>
    </w:p>
    <w:p w14:paraId="6370A82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Povinnosť zachovávať mlčanlivosť nezaniká skončením pracovnoprávneho, obdobného pracovného alebo iného zmluvného vzťahu. Ide o podstatnú záruku efektívnej ochrany informácií, keďže ich citlivosť a možné negatívne následky ich neoprávneného sprístupnenia nezanikajú spolu so skončením právneho vzťahu osoby k orgánu dohľadu. Trvanie povinnosti mlčanlivosti aj po skončení pôsobenia osoby pre orgán dohľadu zároveň zodpovedá článku 67 ods. 1 smernice, ktorý výslovne zahŕňa nielen osoby, ktoré pre orgán dohľadu pracujú, ale aj osoby, ktoré preň pracovali v minulosti.</w:t>
      </w:r>
    </w:p>
    <w:p w14:paraId="73EFF87F"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34:</w:t>
      </w:r>
    </w:p>
    <w:p w14:paraId="581D048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v relevantnom rozsahu transponuje článok 37 ods. 6 a 7 smernice (EÚ) 2024/1640 a upravuje povinnosti povinných osôb a ďalších dotknutých subjektov pri výkone dohľadu. Zároveň sa nadväzuje na doterajší vnútroštátny režim súčinnosti pri AML/CFT dohľade (§ 30 súčasného AML zákona), ktorý sa prispôsobuje požiadavkám nového európskeho právneho rámca a technologickému spôsobu vedenia a spracúvania informácií povinnými osobami. Účinný výkon dohľadu predpokladá, že orgán dohľadu má nielen formálnu právomoc vykonávať dohľad, ale aj reálny prístup k informáciám, dokumentom, záznamom, informačným systémom, ktoré sú potrebné na posúdenie plnenia povinností podľa nariadenia (EÚ) 2024/1624, tohto zákona a ďalších uplatniteľných predpisov. </w:t>
      </w:r>
    </w:p>
    <w:p w14:paraId="6C440B4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ustanovuje základnú všeobecnú povinnosť povinnej osoby vytvoriť orgánu dohľadu primerané podmienky na výkon dohľadu, poskytnúť mu potrebnú súčinnosť a zdržať sa konania, ktoré by mohlo výkon dohľadu mariť. Ide o základné procesné pravidlo, od ktorého sa odvíjajú konkrétnejšie povinnosti upravené v ďalších odsekoch. Povinná osoba nemá iba pasívnu povinnosť strpieť výkon dohľadu, ale musí aktívne vytvoriť také podmienky, aby bolo možné dohľad vykonať riadne a v primeranom čase. Povinnosť poskytnúť súčinnosť zahŕňa najmä sprístupnenie požadovaných podkladov, umožnenie prístupu k údajom a systémom, poskytnutie vysvetlení a vykonanie ďalších úkonov potrebných na zistenie skutkového stavu. </w:t>
      </w:r>
      <w:r w:rsidRPr="00146994">
        <w:rPr>
          <w:rFonts w:ascii="Times New Roman" w:hAnsi="Times New Roman"/>
          <w:sz w:val="24"/>
          <w:szCs w:val="24"/>
        </w:rPr>
        <w:lastRenderedPageBreak/>
        <w:t xml:space="preserve">Súčasne sa výslovne zakazuje konanie smerujúce k mareniu výkonu dohľadu. Ide najmä o konanie, ktoré by znemožňovalo alebo neprimerane sťažovalo prístup orgánu dohľadu k relevantným informáciám, dokumentom, priestorom alebo systémom, prípadne by bezdôvodne predlžovalo vykonávanie jednotlivých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úkonov. Účelom ustanovenia je zabezpečiť efektívny výkon dohľadu a predchádzať obštrukčnému správaniu dohliadaných subjektov. Navrhované ustanovenie preberá už existujúcu úpravu § 30 ods. 1 súčasného AML zákona. </w:t>
      </w:r>
    </w:p>
    <w:p w14:paraId="0970B6C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 Odsek 2 konkretizuje všeobecnú povinnosť súčinnosti tým, že povinnej osobe ukladá umožniť orgánu dohľadu prístup ku všetkým informáciám, účtovným dokladom, písomnostiam, technickým prostriedkom a záznamom potrebným na preverenie dodržiavania povinností. Orgán dohľadu je oprávnený do týchto podkladov nazerať, robiť si z nich výpisy, poznámky a kópie a požadovať ústne alebo písomné vysvetlenia, vyjadrenia a ďalšie informácie týkajúce sa predmetu dohľadu. O vykonaných úkonoch sa spíše úradný záznam. Ustanovenie zabezpečuje najmä transpozíciu článku 37 ods. 6 smernice, podľa ktorého musia mať orgány dohľadu právomoc vynútiť od povinných subjektov predloženie akýchkoľvek informácií relevantných na monitorovanie a overovanie plnenia AML/CFT povinností a vykonávať kontroly. Právo požadovať vysvetlenia a vyjadrenia umožňuje orgánu dohľadu nielen overiť existenciu dokumentácie, ale aj objasniť spôsob jej vytvárania, používania a praktického vykonávania vnútorných AML/CFT pravidiel. Navrhované ustanovenie preberá už existujúcu úpravu § 30 ods. 2 súčasného AML zákona. </w:t>
      </w:r>
    </w:p>
    <w:p w14:paraId="441F9A3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 Odsek 3 upravuje osobitnú povinnosť povinnej osoby predložiť na požiadanie orgánu dohľadu informácie a dokumentáciu o plnení povinností za obdobie predchádzajúcich piatich rokov, pričom požadované podklady sa zásadne predkladajú v štátnom jazyku. Ustanovenie umožňuje orgánu dohľadu preverovať plnenie povinností aj spätne, a nie iba aktuálny stav v čase vykonávania dohľadu. Takýto retrospektívny prístup je nevyhnutný najmä pri posudzovaní </w:t>
      </w:r>
      <w:proofErr w:type="spellStart"/>
      <w:r w:rsidRPr="00146994">
        <w:rPr>
          <w:rFonts w:ascii="Times New Roman" w:hAnsi="Times New Roman"/>
          <w:sz w:val="24"/>
          <w:szCs w:val="24"/>
        </w:rPr>
        <w:t>dlhodobejších</w:t>
      </w:r>
      <w:proofErr w:type="spellEnd"/>
      <w:r w:rsidRPr="00146994">
        <w:rPr>
          <w:rFonts w:ascii="Times New Roman" w:hAnsi="Times New Roman"/>
          <w:sz w:val="24"/>
          <w:szCs w:val="24"/>
        </w:rPr>
        <w:t xml:space="preserve"> nedostatkov vo vnútorných politikách, postupoch a kontrolách, pri preverovaní konkrétnych obchodných vzťahov alebo transakcií alebo pri zisťovaní opakovaného či systémového porušovania povinností. Orgán dohľadu určuje lehotu na predloženie požadovanej dokumentácie tak, aby zohľadnil jej povahu a rozsah a zároveň zabezpečil efektívnosť </w:t>
      </w:r>
      <w:proofErr w:type="spellStart"/>
      <w:r w:rsidRPr="00146994">
        <w:rPr>
          <w:rFonts w:ascii="Times New Roman" w:hAnsi="Times New Roman"/>
          <w:sz w:val="24"/>
          <w:szCs w:val="24"/>
        </w:rPr>
        <w:t>dohľadového</w:t>
      </w:r>
      <w:proofErr w:type="spellEnd"/>
      <w:r w:rsidRPr="00146994">
        <w:rPr>
          <w:rFonts w:ascii="Times New Roman" w:hAnsi="Times New Roman"/>
          <w:sz w:val="24"/>
          <w:szCs w:val="24"/>
        </w:rPr>
        <w:t xml:space="preserve"> procesu. Ak je dokumentácia vedená v inom ako štátnom jazyku, povinná osoba ju zásadne predkladá spolu s úradne osvedčeným prekladom do štátneho jazyka na vlastné náklady. Zároveň sa zavádza princíp proporcionality, keďže orgán dohľadu môže na základe písomného návrhu povinnej osoby od požiadavky úradného prekladu upustiť, najmä ak ide o český jazyk alebo jazyk bežne používaný v medzinárodnom styku a takýto postup umožňujú osobitné predpisy. Orgán dohľadu si však ponecháva možnosť vyžiadať úradne osvedčený preklad dodatočne, ak sa v priebehu dohľadu ukáže ako potrebný. Takéto riešenie má obmedziť zbytočné administratívne a finančné zaťaženie povinných osôb bez toho, aby bola obmedzená schopnosť orgánu dohľadu riadne posúdiť obsah dokumentácie. Navrhované ustanovenie preberá už existujúcu úpravu § 30 ods. 3 súčasného AML zákona. </w:t>
      </w:r>
    </w:p>
    <w:p w14:paraId="0B6C589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4 transponuje požiadavku článku 37 ods. 7 smernice (EÚ) 2024/1640 a výslovne upravuje oprávnenie Národnej banky Slovenska a Úradu pre reguláciu hazardných hier získať prístup k softvéru, databázam, informačným systémom, nástrojom informačných technológií a iným elektronickým prostriedkom zaznamenávania informácií používaným povinnou osobou, </w:t>
      </w:r>
      <w:r w:rsidRPr="00146994">
        <w:rPr>
          <w:rFonts w:ascii="Times New Roman" w:hAnsi="Times New Roman"/>
          <w:sz w:val="24"/>
          <w:szCs w:val="24"/>
        </w:rPr>
        <w:lastRenderedPageBreak/>
        <w:t xml:space="preserve">ako aj k výstupným dátam z týchto zdrojov. Ustanovenie reaguje na skutočnosť, že významná časť AML/CFT procesov povinných osôb sa dnes vykonáva elektronicky. Ide napríklad o identifikáciu a overovanie klientov, priebežné monitorovanie obchodných vzťahov, transakčný monitoring, rizikové skórovanie, </w:t>
      </w:r>
      <w:proofErr w:type="spellStart"/>
      <w:r w:rsidRPr="00146994">
        <w:rPr>
          <w:rFonts w:ascii="Times New Roman" w:hAnsi="Times New Roman"/>
          <w:sz w:val="24"/>
          <w:szCs w:val="24"/>
        </w:rPr>
        <w:t>screening</w:t>
      </w:r>
      <w:proofErr w:type="spellEnd"/>
      <w:r w:rsidRPr="00146994">
        <w:rPr>
          <w:rFonts w:ascii="Times New Roman" w:hAnsi="Times New Roman"/>
          <w:sz w:val="24"/>
          <w:szCs w:val="24"/>
        </w:rPr>
        <w:t xml:space="preserve"> sankčných zoznamov a politicky exponovaných osôb, evidenciu </w:t>
      </w:r>
      <w:proofErr w:type="spellStart"/>
      <w:r w:rsidRPr="00146994">
        <w:rPr>
          <w:rFonts w:ascii="Times New Roman" w:hAnsi="Times New Roman"/>
          <w:sz w:val="24"/>
          <w:szCs w:val="24"/>
        </w:rPr>
        <w:t>alertov</w:t>
      </w:r>
      <w:proofErr w:type="spellEnd"/>
      <w:r w:rsidRPr="00146994">
        <w:rPr>
          <w:rFonts w:ascii="Times New Roman" w:hAnsi="Times New Roman"/>
          <w:sz w:val="24"/>
          <w:szCs w:val="24"/>
        </w:rPr>
        <w:t xml:space="preserve">, analýzy neobvyklých alebo podozrivých transakcií a pod. Uvedeným ustanovením sa zabezpečuje jednotnosť a efektívnosť AML/CFT dohľadu vo finančnom aj v nefinančnom sektore. Bez možnosti preveriť fungovanie takýchto nástrojov by orgán dohľadu mohol posudzovať iba formálne vnútorné predpisy povinnej osoby, nie však ich skutočnú implementáciu a praktickú účinnosť. Vzhľadom na rozdielnosť povinných osôb a rýchly technologický vývoj nie je účelné taxatívne určovať konkrétne druhy softvéru alebo informačných systémov, ku ktorým môže byť prístup požadovaný. Prístup musí byť vždy odôvodnený potrebou výkonu dohľadu a musí súvisieť s overovaním plnenia AML/CFT povinností. </w:t>
      </w:r>
    </w:p>
    <w:p w14:paraId="568EA70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5 vzťahuje povinnosti podľa odsekov 1 až 3 aj na osobu, ktorá prestala byť povinnou osobou, a to počas piatich rokov od zániku jej postavenia povinnej osoby. Ustanovenie nadväzuje na možnosť vykonať dohľad aj voči osobe, ktorá už postavenie povinnej osoby stratila, pokiaľ ide o povinnosti vzťahujúce sa na obdobie, keď povinnou osobou bola. Bez zachovania povinnosti súčinnosti aj po zániku postavenia povinnej osoby by mohol samotný zánik regulovanej činnosti prakticky znemožniť spätné preverenie dodržiavania AML/CFT povinností. Navrhované ustanovenie preberá už existujúcu úpravu § 30 ods. 4 súčasného AML zákona. </w:t>
      </w:r>
    </w:p>
    <w:p w14:paraId="39AB07D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6 ustanovuje, že povinnosti podľa odsekov 1 až 5 sa primerane vzťahujú aj na poskytovateľa služieb, ktorému povinná osoba externe zabezpečila časť svojich úloh pri plnení povinností podľa zákona alebo priamo uplatniteľného predpisu Únie. Ustanovenie priamo nadväzuje na článok 37 ods. 6 písm. a) smernice, ktorý výslovne stanovuje, že orgány dohľadu musia byť schopné získať relevantné informácie nielen od samotnej povinnej osoby, ale aj od poskytovateľov služieb, ktorým povinný subjekt externe zabezpečil časť svojich úloh. Účelom je zabrániť tomu, aby outsourcing určitej AML/CFT funkcie obmedzil alebo znemožnil výkon dohľadu. Povinná osoba nemôže prenesením vykonávania určitej činnosti na externého poskytovateľa vytvoriť informačnú alebo technickú bariéru voči orgánu dohľadu. Ak sa napríklad externé zabezpečenie týka identifikácie a overovania klientov, elektronického uchovávania údajov, transakčného monitoringu, sankčného alebo PEP </w:t>
      </w:r>
      <w:proofErr w:type="spellStart"/>
      <w:r w:rsidRPr="00146994">
        <w:rPr>
          <w:rFonts w:ascii="Times New Roman" w:hAnsi="Times New Roman"/>
          <w:sz w:val="24"/>
          <w:szCs w:val="24"/>
        </w:rPr>
        <w:t>screeningu</w:t>
      </w:r>
      <w:proofErr w:type="spellEnd"/>
      <w:r w:rsidRPr="00146994">
        <w:rPr>
          <w:rFonts w:ascii="Times New Roman" w:hAnsi="Times New Roman"/>
          <w:sz w:val="24"/>
          <w:szCs w:val="24"/>
        </w:rPr>
        <w:t xml:space="preserve"> alebo iného procesu relevantného pre plnenie AML/CFT povinností, orgán dohľadu musí mať možnosť preveriť aj tie podklady a systémy, ktoré sa nachádzajú u externého poskytovateľa. Povinnosť poskytovateľa služieb zároveň nenahrádza zodpovednosť samotnej povinnej osoby. Externé zabezpečenie úlohy nemení skutočnosť, že za splnenie zákonných AML/CFT povinností naďalej zodpovedá povinná osoba (objektívna zodpovednosť).</w:t>
      </w:r>
    </w:p>
    <w:p w14:paraId="7158C1CE"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35:</w:t>
      </w:r>
    </w:p>
    <w:p w14:paraId="751001F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Ustanovením sa transponuje článok 38 smernice (EÚ) 2024/1640  a upravuje sa osobitný režim dohľadu nad činnosťou zahraničných bánk, zahraničných inštitúcií elektronických peňazí, zahraničných platobných inštitúcií a zahraničných poskytovateľov služieb </w:t>
      </w:r>
      <w:proofErr w:type="spellStart"/>
      <w:r w:rsidRPr="00146994">
        <w:rPr>
          <w:rFonts w:ascii="Times New Roman" w:hAnsi="Times New Roman"/>
          <w:sz w:val="24"/>
          <w:szCs w:val="24"/>
        </w:rPr>
        <w:t>kryptoaktív</w:t>
      </w:r>
      <w:proofErr w:type="spellEnd"/>
      <w:r w:rsidRPr="00146994">
        <w:rPr>
          <w:rFonts w:ascii="Times New Roman" w:hAnsi="Times New Roman"/>
          <w:sz w:val="24"/>
          <w:szCs w:val="24"/>
        </w:rPr>
        <w:t xml:space="preserve">, ktoré pôsobia na území Slovenskej republiky prostredníctvom agentov, distribútorov alebo iných </w:t>
      </w:r>
      <w:r w:rsidRPr="00146994">
        <w:rPr>
          <w:rFonts w:ascii="Times New Roman" w:hAnsi="Times New Roman"/>
          <w:sz w:val="24"/>
          <w:szCs w:val="24"/>
        </w:rPr>
        <w:lastRenderedPageBreak/>
        <w:t>foriem infraštruktúry bez zriadenia pobočky, a to na základe slobody poskytovať služby. Cieľom úpravy je zabezpečiť, aby činnosti týchto subjektov podliehali účinnému dohľadu Národnej banky Slovenska, keďže sú vykonávané na území Slovenskej republiky a môžu mať priamy vplyv na integritu a stabilitu finančného trhu, ako aj na úroveň rizík v oblasti ML/TF. Ustanovenie týmto spôsobom predchádza vzniku regulačných medzier, ktoré by mohli vzniknúť v prípade, ak by dohľad nad činnosťou vykonávanou na území Slovenskej republiky vykonával výlučne orgán dohľadu domovského členského štátu.</w:t>
      </w:r>
    </w:p>
    <w:p w14:paraId="0227F33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Z pravidla dohľadu hostiteľského členského štátu sa pripúšťa výnimka, ak je miestna infraštruktúra povinnej osoby iba obmedzená a súčasne nie sú splnené kritériá odôvodňujúce zriadenie centrálneho kontaktného miesta. V takom prípade zostáva dohľad zachovaný na úrovni domovského členského štátu. Výnimka vyjadruje zásadu proporcionality, keďže pri činnosti zanedbateľného rozsahu by prenesenie dohľadu na hostiteľský orgán (Národná banka Slovenska) nemuselo byť odôvodnené povahou a intenzitou miestneho pôsobenia povinnej osoby. Ustanovenie podmieňuje uplatnenie tejto výnimky spoločným splnením kritérií regulačnej technickej normy a oznámením hostiteľského orgánu o obmedzenom rozsahu infraštruktúry. </w:t>
      </w:r>
    </w:p>
    <w:p w14:paraId="51AB3FE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Ustanovenie § 35 ods. 3 predstavuje zrkadlovú úpravu k odseku 2, a upravuje postup Národnej banky Slovenska v situáciách, keď zahraničný orgán dohľadu oznámi, že slovenská povinná osoba nespĺňa kritériá na určenie centrálneho kontaktného miesta podľa osobitného predpisu, a zároveň informuje o obmedzenom rozsahu infraštruktúry tejto povinnej osoby na území svojho členského štátu. V takom prípade bude vykonávať dohľad v oblasti AML/CFT nad povinnými osobami v ods. 3 pôsobiacimi cezhranične prostredníctvom sprostredkovateľov bez usadenia sa, Národná banka Slovenska. Informovanie povinnej osoby o určení príslušného orgánu dohľadu a o každej následnej zmene zabezpečuje právnu istotu a kontinuitu dohľadu. Povinná osoba tak má jednoznačne určené, voči ktorému orgánu plní povinnosti súvisiace s výkonom dohľadu, najmä povinnosti informačnej a súčinnostnej povahy.</w:t>
      </w:r>
    </w:p>
    <w:p w14:paraId="31BF6B7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Predpokladom správneho určenia príslušného orgánu je priebežná spolupráca medzi orgánmi domovského a hostiteľského členského štátu. Výmena informácií umožňuje objektívne posúdiť rozsah miestnej infraštruktúry, splnenie kritérií relevantných pre zriadenie centrálneho kontaktného miesta a každú zmenu okolností, ktorá môže viesť k zmene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príslušnosti. </w:t>
      </w:r>
    </w:p>
    <w:p w14:paraId="178AB05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Ak priamy dohľad nad povinnou osobou vykonáva úrad AMLA, uplatní sa osobitný režim dohľadu podľa nariadenia (EU) 2024/1620. Vylúčením použitia tohto ustanovenia sa rešpektuje priama </w:t>
      </w:r>
      <w:proofErr w:type="spellStart"/>
      <w:r w:rsidRPr="00146994">
        <w:rPr>
          <w:rFonts w:ascii="Times New Roman" w:hAnsi="Times New Roman"/>
          <w:sz w:val="24"/>
          <w:szCs w:val="24"/>
        </w:rPr>
        <w:t>dohľadová</w:t>
      </w:r>
      <w:proofErr w:type="spellEnd"/>
      <w:r w:rsidRPr="00146994">
        <w:rPr>
          <w:rFonts w:ascii="Times New Roman" w:hAnsi="Times New Roman"/>
          <w:sz w:val="24"/>
          <w:szCs w:val="24"/>
        </w:rPr>
        <w:t xml:space="preserve"> právomoc úradu AMLA a predchádza sa súbežnému alebo konfliktnému určeniu príslušnosti medzi úradom AMLA a národnými orgánmi dohľadu.</w:t>
      </w:r>
    </w:p>
    <w:p w14:paraId="3E9ABF1C"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36:</w:t>
      </w:r>
    </w:p>
    <w:p w14:paraId="51A26B0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transponuje článok 39 smernice (EÚ) 2024/1640 a upravuje informačnú a metodickú činnosť orgánov dohľadu vo vzťahu k povinným osobám, nad ktorými vykonávajú dohľad. Cieľom je zabezpečiť povinným osobám priebežný prístup k informáciám o relevantných rizikách, metodických a výkladových dokumentoch a ďalších skutočnostiach významných pre riadne plnenie ich AML/CFT povinností a podporiť tým účinné uplatňovanie </w:t>
      </w:r>
      <w:r w:rsidRPr="00146994">
        <w:rPr>
          <w:rFonts w:ascii="Times New Roman" w:hAnsi="Times New Roman"/>
          <w:sz w:val="24"/>
          <w:szCs w:val="24"/>
        </w:rPr>
        <w:lastRenderedPageBreak/>
        <w:t>rizikovo orientovaného prístupu. Povinná osoba môže správne identifikovať, hodnotiť a riadiť svoje riziká len vtedy, ak má k dispozícii dostatočné informácie o aktuálnych rizikových faktoroch, typológiách, spôsoboch páchania trestnej činnosti a regulačných očakávaniach. Informačná činnosť orgánu dohľadu preto dopĺňa jeho kontrolnú a sankčnú funkciu o preventívnu a metodickú zložku.</w:t>
      </w:r>
    </w:p>
    <w:p w14:paraId="5EF13E9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1 transponuje najmä článok 39 ods. 1, 2 a 4 smernice (EÚ) 2024/1640 a vymedzuje základný okruh informácií, ktoré je orgán dohľadu povinný sprístupňovať povinným osobám, nad ktorými vykonáva dohľad. Informácie sa zverejňujú na webovom sídle príslušného orgánu dohľadu. Tento spôsob zabezpečuje ich všeobecnú a priebežnú dostupnosť pre všetky povinné osoby patriace do pôsobnosti daného orgánu dohľadu a umožňuje vytvoriť jednotný informačný základ pre príslušný sektor.</w:t>
      </w:r>
    </w:p>
    <w:p w14:paraId="67FC010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K písmenu a): Ustanovenie nadväzuje na článok 39 ods. 2 písm. b) smernice (EÚ) 2024/1640, podľa ktorého sa povinným subjektom sprístupňujú vnútroštátne alebo sektorové posúdenia rizík vykonané podľa článku 8 smernice. Účelom je zabezpečiť, aby výsledky národného hodnotenia rizík neplnili iba analytickú a strategickú funkciu na úrovni štátu, ale boli prakticky využiteľné aj povinnými osobami. Povinné osoby majú tieto informácie zohľadňovať pri vlastnom hodnotení rizík a pri nastavovaní vnútorných politík, postupov a kontrol. Orgán dohľadu pritom sprístupňuje predovšetkým tie výsledky a rizikové faktory, ktoré sú relevantné pre sektor alebo kategóriu povinných osôb v jeho pôsobnosti. Tým sa podporuje sektorové a rizikovo orientované využívanie výsledkov národného hodnotenia rizík. </w:t>
      </w:r>
    </w:p>
    <w:p w14:paraId="49C023E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K písmenu b): Ide o transpozíciu článku 39 ods. 2 písm. a) smernice (EÚ) 2024/1640. Posúdenie rizík na úrovni Únie poskytuje povinným osobám širší pohľad na cezhraničné, sektorové a vznikajúce riziká, ktoré nemožno dostatočne identifikovať iba prostredníctvom vnútroštátneho hodnotenia rizík. Umožňuje najmä zachytiť riziká vyplývajúce z fungovania vnútorného trhu, nových produktov a technológií, cezhraničných obchodných vzťahov alebo vývoja v tretích krajinách. Súčasne sa zverejňuje informácia o uplatňovaní alebo neuplatňovaní relevantných odporúčaní Európskej komisie. Takáto informácia zvyšuje právnu istotu povinných osôb tým, že umožňuje rozlíšiť medzi samotným odporúčaním prijatým na úrovni Únie a spôsobom, akým sa k nemu stavia príslušný vnútroštátny orgán dohľadu. </w:t>
      </w:r>
    </w:p>
    <w:p w14:paraId="6B2E8E9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K písmenu c): Orgán dohľadu zverejňuje usmernenia, odporúčania a stanoviská vydané úradom AMLA podľa článkov 54 a 55 nariadenia (EÚ) 2024/1620, pokiaľ sa týkajú povinných osôb, nad ktorými vykonáva dohľad. Ustanovenie priamo nadväzuje na článok 39 ods. 2 písm. c) smernice (EÚ) 2024/1640. Úrad AMLA bude zohrávať významnú úlohu pri harmonizácii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postupov a výkladu AML/CFT pravidiel v rámci Európskej únie. Sprístupňovanie jeho usmernení, odporúčaní a stanovísk preto zabezpečuje, aby povinné osoby mali prístup k relevantným európskym metodickým a výkladovým dokumentom. Rovnako ako pri odporúčaniach Európskej komisie sa zároveň uvádza informácia o ich uplatňovaní alebo neuplatňovaní príslušným orgánom dohľadu. Povinná osoba tak získava informáciu nielen o existencii príslušného dokumentu AMLA, ale aj o jeho praktickom význame pre výkon dohľadu v Slovenskej republike. </w:t>
      </w:r>
    </w:p>
    <w:p w14:paraId="742114B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K písmenu d): Podľa písmena d) orgán dohľadu zverejňuje informácie o tretích krajinách identifikovaných podľa kapitoly III oddielu 2 nariadenia (EÚ) 2024/1624. Ide o transpozíciu </w:t>
      </w:r>
      <w:r w:rsidRPr="00146994">
        <w:rPr>
          <w:rFonts w:ascii="Times New Roman" w:hAnsi="Times New Roman"/>
          <w:sz w:val="24"/>
          <w:szCs w:val="24"/>
        </w:rPr>
        <w:lastRenderedPageBreak/>
        <w:t xml:space="preserve">článku 39 ods. 2 písm. d) smernice (EÚ) 2024/1640. Informácie o rizikových tretích krajinách majú bezprostredný význam pre uplatňovanie starostlivosti vo vzťahu ku klientovi a rizikovo orientovaného prístupu. Povinným osobám umožňujú identifikovať geografický rizikový faktor a uplatniť opatrenia vyžadované priamo použiteľným nariadením (EÚ) 2024/1624. Priebežné sprístupňovanie týchto informácií má význam aj vzhľadom na to, že zoznamy a kategorizácia tretích krajín sa môžu v závislosti od vývoja rizík meniť. </w:t>
      </w:r>
    </w:p>
    <w:p w14:paraId="3425876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K písmenu e): Písmeno e) transponuje článok 39 ods. 2 písm. e) smernice (EÚ) 2024/1640 a vytvára širší informačný rámec zahŕňajúci relevantné usmernenia, správy, typológie a ďalšie poznatky z oblasti AML/CFT. Orgán dohľadu sprístupňuje najmä relevantné dokumenty vypracované úradom AMLA, inými orgánmi dohľadu, Finančnou spravodajskou jednotkou, medzinárodnými organizáciami a ďalšími subjektmi pôsobiacimi v oblasti AML/CFT/CPF. Nejde iba o právne alebo metodické dokumenty. Predmetom poskytovania sú aj informácie o formách, metódach a spôsoboch legalizácie a financovania terorizmu relevantných pre konkrétny sektor a poznatky umožňujúce lepšie identifikovať transakcie alebo činnosti spojené so zvýšeným rizikom. Smernica výslovne zahŕňa informácie, ktoré môžu uľahčiť identifikáciu transakcií alebo činností, pri ktorých existuje riziko spojenia s legalizáciou alebo financovaním terorizmu v príslušnom sektore. Uvedená informačná povinnosť má preto výrazný praktický význam. Povinné osoby získavajú prostredníctvom spätnej väzby orgánov verejnej moci poznatky o nových typológiách, rizikových vzorcoch správania a spôsoboch obchádzania AML/CFT mechanizmov, ktoré môžu následne premietnuť do vlastných systémov hodnotenia rizík, monitorovania obchodov a vnútorných kontrolných mechanizmov. Súčasťou poskytovaných informácií sú aj usmernenia týkajúce sa povinností pri vykonávaní cielených finančných sankcií. Tým sa vytvára väzba medzi AML/CFT systémom a povinnosťami súvisiacimi so zmrazovaním majetku, zákazom sprístupňovania finančných prostriedkov a predchádzaním obchádzaniu cielených finančných sankcií. </w:t>
      </w:r>
    </w:p>
    <w:p w14:paraId="1EC948A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K písmenu f): Písmeno f) transponuje článok 39 ods. 4 smernice a upravuje poskytovanie informácií o osobách, na ktoré sa vzťahujú cielené finančné sankcie a finančné sankcie Organizácie Spojených národov. Orgán dohľadu zverejňuje tieto informácie s odkazom na webové sídlo príslušného orgánu štátnej správy, ktorý ich bezodkladne zverejňuje. Článok 39 ods. 4 smernice vyžaduje, aby orgány dohľadu tieto informácie sprístupňovali povinným subjektom okamžite. Dôvodom je bezprostredný význam sankčných označení pre činnosť povinných osôb. Zmeny sankčných zoznamov môžu viesť k okamžitej potrebe zmrazenia finančných prostriedkov alebo iných aktív, k zákazu ich sprístupnenia alebo k prijatiu ďalších opatrení podľa príslušných sankčných predpisov. Odkaz na aktuálny zdroj príslušného orgánu štátnej správy má zároveň zabezpečiť, aby povinné osoby vychádzali z aktuálnych a autoritatívnych údajov a nie zo sekundárnych alebo neaktualizovaných zoznamov</w:t>
      </w:r>
    </w:p>
    <w:p w14:paraId="2AF5D3C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ustanovuje povinnosť orgánu dohľadu priebežne aktualizovať informácie zverejnené podľa odseku 1. Účelom ustanovenia je zabezpečiť, aby informačná povinnosť orgánu dohľadu nebola splnená iba jednorazovým zverejnením príslušných materiálov. Riziká legalizácie a financovania terorizmu, typológie trestnej činnosti, zoznamy rizikových tretích krajín, sankčné označenia, ako aj európske a vnútroštátne usmernenia sa priebežne menia. Aktuálnosť informácií je preto nevyhnutnou podmienkou ich využiteľnosti pri uplatňovaní rizikovo orientovaného prístupu. Zastaraná informácia môže viesť nielen k nesprávnemu posúdeniu </w:t>
      </w:r>
      <w:r w:rsidRPr="00146994">
        <w:rPr>
          <w:rFonts w:ascii="Times New Roman" w:hAnsi="Times New Roman"/>
          <w:sz w:val="24"/>
          <w:szCs w:val="24"/>
        </w:rPr>
        <w:lastRenderedPageBreak/>
        <w:t xml:space="preserve">rizika, ale v niektorých prípadoch aj k nesprávnemu plneniu zákonných povinností povinnej osoby. </w:t>
      </w:r>
    </w:p>
    <w:p w14:paraId="33CAB60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transponuje článok 39 ods. 3 smernice (EÚ) 2024/1640 a upravuje informačné a vzdelávacie aktivity orgánov dohľadu. Orgán dohľadu podľa potreby vykonáva vo vzťahu k povinným osobám, nad ktorými vykonáva dohľad, informačné a vzdelávacie činnosti a prijíma ďalšie opatrenia zamerané na zvyšovanie ich informovanosti o povinnostiach vyplývajúcich zo zákona a príslušných priamo použiteľných predpisov Únie. Článok 39 ods. 3 smernice požaduje, aby orgány dohľadu podľa potreby vykonávali osvetovú činnosť s cieľom informovať povinné subjekty o ich povinnostiach. Na rozdiel od odseku 1, ktorý ustanovuje konkrétny okruh informácií určených na priebežné zverejňovanie, odsek 3 vytvára priestor na aktívnu a cielenejšiu komunikáciu orgánu dohľadu s povinnými osobami podľa potrieb príslušného sektora, vývoja rizík a poznatkov získaných z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praxe. Účelom tejto činnosti nie je nahrádzať individuálne právne poradenstvo povinnej osobe, ale zvyšovať úroveň porozumenia AML/CFT povinnostiam, podporovať jednotnejšie uplatňovanie právnej úpravy a preventívne reagovať na opakujúce sa alebo systémové nedostatky identifikované v jednotlivých sektoroch.</w:t>
      </w:r>
    </w:p>
    <w:p w14:paraId="02B66651"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37:</w:t>
      </w:r>
    </w:p>
    <w:p w14:paraId="2A7FEC3F"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transponuje článok 40 smernice (EÚ) 2024/1640 upravujúci dohľad založený na hodnotení rizika, článok 43 písm. c) tejto smernice a v relevantnom rozsahu nadväzuje na požiadavky článku 37 ods. 5. Ustanovenie vytvára rámec pre systematické posudzovanie rizík, určovanie rizikového profilu povinných osôb, plánovanie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činností, výmenu výsledkov hodnotenia rizík s Finančnou spravodajskou jednotkou a transparentné zverejňovanie výsledkov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činnosti. Cieľom ustanovenia je zabezpečiť, aby výkon AML/CFT dohľadu vychádzal zo systematického posudzovania rizík legalizácie výnosov a financovania terorizmu a aby intenzita, frekvencia, rozsah a forma dohľadu zodpovedali rizikovému profilu konkrétnych povinných osôb a rizikovosti jednotlivých sektorov. Sčasti sa preberá ustanovenie § 29 ods. 9 súčasného AML zákona.</w:t>
      </w:r>
    </w:p>
    <w:p w14:paraId="0896F6E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Rizikovo orientovaný dohľad vychádza z predpokladu, že riziká nie sú rovnomerne rozložené medzi všetky povinné osoby, sektory, produkty alebo obchodné modely. Orgán dohľadu preto nemá svoje kapacity a kontrolné aktivity rozdeľovať mechanicky, ale musí ich prioritne smerovať do oblastí, v ktorých je pravdepodobnosť alebo možný dopad legalizácie alebo financovania terorizmu vyšší. Takto nastavený systém zároveň umožňuje účelnejšie využitie personálnych a odborných zdrojov orgánov dohľadu, zvyšuje efektívnosť kontroly a podporuje preventívnu funkciu AML/CFT regulácie. </w:t>
      </w:r>
    </w:p>
    <w:p w14:paraId="228B718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transponuje predovšetkým článok 40 ods. 1 písm. a) a b) a ods. 4 smernice (EÚ) 2024/1640. Výkon dohľadu je založený na analýze rizík jednotlivých druhov povinných osôb. Pri jej vypracovaní orgán dohľadu zohľadňuje najmä výsledky národného hodnotenia rizík, hodnotenia rizík vypracované orgánmi Európskej únie a ďalšími medzinárodnými inštitúciami, ako aj štandardy, správy a ďalšie relevantné informácie orgánov dohľadu, Finančnej spravodajskej jednotky alebo obdobných orgánov iných členských štátov. Takto koncipovaný informačný základ zodpovedá článku 40 ods. 1 smernice, podľa ktorého majú orgány dohľadu jasne chápať vnútroštátne AML/CFT riziká a posudzovať všetky relevantné informácie o </w:t>
      </w:r>
      <w:r w:rsidRPr="00146994">
        <w:rPr>
          <w:rFonts w:ascii="Times New Roman" w:hAnsi="Times New Roman"/>
          <w:sz w:val="24"/>
          <w:szCs w:val="24"/>
        </w:rPr>
        <w:lastRenderedPageBreak/>
        <w:t xml:space="preserve">domácich a medzinárodných rizikách spojených najmä s klientmi, produktmi a službami povinných subjektov. Analýza rizík nemá statický charakter. Orgán dohľadu ju aktualizuje podľa vývoja rizikového prostredia, nových typológií, zmien regulačného rámca, nových obchodných modelov alebo iných skutočností, ktoré môžu ovplyvniť rizikový profil sektora alebo konkrétnej povinnej osoby. Pravidelná aktualizácia je nevyhnutná preto, aby dohľad reagoval na aktuálne riziká. </w:t>
      </w:r>
    </w:p>
    <w:p w14:paraId="5A8F584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Ustanovenie zároveň vyžaduje, aby orgány dohľadu pri hodnotení plnenia AML/CFT povinností zohľadnili mieru voľného uváženia, ktorú právna úprava ponecháva povinnej osobe pri uplatňovaní rizikovo orientovaného prístupu. Účelom nie je nahradiť vlastné hodnotenie rizika povinnej osoby hodnotením orgánu dohľadu, ale preveriť, či povinná osoba pri využití zákonom alebo nariadením priznanej miery uváženia vychádzala z primeraných, zdokumentovaných a vecne odôvodnených podkladov a či prijaté opatrenia zodpovedajú identifikovanej úrovni rizika</w:t>
      </w:r>
    </w:p>
    <w:p w14:paraId="483A8EE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transponuje článok 40 ods. 1 písm. c) smernice (EÚ) 2024/1640 vo vzťahu k stanovovaniu frekvencie a intenzity dohľadu a upravuje praktické plánovanie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činnosti. Orgán dohľadu pri plánovaní frekvencie a rozsahu dohľadu na mieste, dohľadu na diaľku a tematického dohľadu zohľadňuje rizikový profil konkrétnej povinnej osoby. Tematickým dohľadom sa pritom rozumie dohľad zameraný na jednu alebo viacero vybraných oblastí predchádzania legalizácii a financovaniu terorizmu alebo na hodnotenie konkrétneho rizika legalizácie alebo financovania terorizmu vo vybranej skupine dohliadaných subjektov. Profil konkrétnej povinnej osoby sa pravidelne aktualizuje a aktualizácia sa vykoná aj vtedy, ak dôjde k významnej udalosti alebo významnej zmene prevádzkových procesov alebo štruktúry riadenia povinnej osoby. Smernica výslovne požaduje, aby frekvencia a intenzita dohľadu na mieste, na diaľku a tematického dohľadu zodpovedala rizikovému profilu povinných subjektov a AML/CFT rizikám v príslušnom členskom štáte. Rizikový profil povinnej osoby preto predstavuje základný nástroj určovania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priority. Povinné osoby s vyšším rizikovým profilom môžu byť predmetom častejšieho, intenzívnejšieho alebo širšieho dohľadu, zatiaľ čo pri subjektoch s nižším a stabilným rizikom môže byť primeraná nižšia intenzita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aktivít. </w:t>
      </w:r>
    </w:p>
    <w:p w14:paraId="09884DF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Významnou udalosťou alebo zmenou môžu byť najmä podstatné zmeny vlastníckej alebo riadiacej štruktúry, významné rozšírenie alebo zmena obchodného modelu, zavedenie nového produktu alebo distribučného kanála, výrazná zmena klientskeho portfólia alebo geografického pôsobenia, prípadne závažné zistenie získané pri dohľade, z hlásení alebo z iného dôveryhodného zdroja. Na zabezpečenie systematického výkonu dohľadu orgán dohľadu každoročne vypracúva plán dohľadu. Tento plán má vychádzať z výsledkov rizikového hodnotenia a má zabezpečiť primerané rozdelenie personálnych, odborných a časových kapacít. Smernica pritom výslovne požaduje ročné programy dohľadu, ktoré zohľadňujú načasovanie a zdroje potrebné na rýchlu reakciu pri objektívnych a významných náznakoch porušenia príslušných AML/CFT predpisov. Ročný plán preto nemá byť rigidným dokumentom, ktorý by orgánu dohľadu bránil reagovať na nové riziká. Naopak, musí ponechávať dostatočnú kapacitu na operatívne začatie dohľadu v prípadoch, keď sa objaví nové podozrenie alebo významné rizikové zistenie. </w:t>
      </w:r>
    </w:p>
    <w:p w14:paraId="4D22E83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 xml:space="preserve">Odsek 3 transponuje článok 43 písm. c) smernice (EÚ) 2024/1640 a upravuje poskytovanie výsledkov rizikových analýz Finančnej spravodajskej jednotke. Národná banka Slovenska a Úrad pre reguláciu hazardných hier poskytujú Finančnej spravodajskej jednotke raz ročne v súhrnnej podobe výsledok analýzy rizík povinných osôb, nad ktorými vykonávajú dohľad. Tým sa zabezpečuje požiadavka článku 43 písm. c), podľa ktorého orgány dohľadu poskytujú FIU výsledky posúdení rizík vykonaných v rámci dohľadu založeného na hodnotení rizika, a to v súhrnnej forme. Toto ustanovenie je významné pre vzájomné prepojenie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a analytickej činnosti. Finančná spravodajská jednotka získava prostredníctvom sektorových výsledkov dohľadu informácie o vývoji rizík v sektoroch, ktoré sama priamo nedohliada. Súhrnná podoba zároveň znamená, že účelom tejto informačnej povinnosti nie je poskytovanie jednotlivých kontrolných spisov alebo individuálnych rizikových profilov všetkých dohliadaných subjektov, ale sprostredkovanie agregovaného obrazu o rizikách príslušného sektora. Takto získané informácie môže Finančná spravodajská jednotka využívať najmä pri strategickej analýze, národnom hodnotení rizík, identifikovaní nových typológií, nastavovaní vlastných priorít a pri poskytovaní spätnej väzby ostatným orgánom dohľadu. </w:t>
      </w:r>
    </w:p>
    <w:p w14:paraId="4F33AC1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4 transponuje článok 40 ods. 5 smernice (EÚ) 2024/1640 a ustanovuje povinnosť orgánu dohľadu vypracúvať a zverejňovať výročné informácie o svojej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činnosti. Uvedená povinnosť bola doposiaľ všeobecne upravená v § 27 súčasného AML zákona, resp. v osobitných právnych predpisoch, podľa ktorých orgány dohľadu už v súčasnosti spracúvajú uvedené súhrnné informácie z výkonu dohľadu.</w:t>
      </w:r>
    </w:p>
    <w:p w14:paraId="0C5E095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Cieľom je zvýšiť transparentnosť AML/CFT dohľadu a umožniť verejnosti, povinným osobám a ďalším relevantným orgánom posúdiť rozsah a základné výsledky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činnosti. Výročná správa zahŕňa najmä opis právomocí a úloh orgánu dohľadu, údaje o personálnych zdrojoch, počte a výsledkoch dohľadov na mieste a na diaľku, uložených sankciách, výške pokút a pravidelných penále, ako aj kategóriách a počte povinných osôb, nad ktorými orgán dohľadu vykonáva dohľad. Tieto údaje umožňujú dlhodobé porovnávanie intenzity a výsledkov výkonu dohľadu a vytvárajú základ na hodnotenie toho, či sú </w:t>
      </w:r>
      <w:proofErr w:type="spellStart"/>
      <w:r w:rsidRPr="00146994">
        <w:rPr>
          <w:rFonts w:ascii="Times New Roman" w:hAnsi="Times New Roman"/>
          <w:sz w:val="24"/>
          <w:szCs w:val="24"/>
        </w:rPr>
        <w:t>dohľadové</w:t>
      </w:r>
      <w:proofErr w:type="spellEnd"/>
      <w:r w:rsidRPr="00146994">
        <w:rPr>
          <w:rFonts w:ascii="Times New Roman" w:hAnsi="Times New Roman"/>
          <w:sz w:val="24"/>
          <w:szCs w:val="24"/>
        </w:rPr>
        <w:t xml:space="preserve"> kapacity a aktivity primerané rozsahu dohliadaného sektora a jeho rizikovému profilu. Výročná správa zároveň nesmie obsahovať informácie umožňujúce identifikovať konkrétnu fyzickú alebo právnickú osobu. Toto obmedzenie chráni dôvernosť informácií získaných pri výkone dohľadu a zabraňuje tomu, aby prostredníctvom verejnej výročnej správy boli identifikované jednotlivé kontrolované povinné osoby alebo osoby dotknuté </w:t>
      </w:r>
      <w:proofErr w:type="spellStart"/>
      <w:r w:rsidRPr="00146994">
        <w:rPr>
          <w:rFonts w:ascii="Times New Roman" w:hAnsi="Times New Roman"/>
          <w:sz w:val="24"/>
          <w:szCs w:val="24"/>
        </w:rPr>
        <w:t>dohľadovými</w:t>
      </w:r>
      <w:proofErr w:type="spellEnd"/>
      <w:r w:rsidRPr="00146994">
        <w:rPr>
          <w:rFonts w:ascii="Times New Roman" w:hAnsi="Times New Roman"/>
          <w:sz w:val="24"/>
          <w:szCs w:val="24"/>
        </w:rPr>
        <w:t xml:space="preserve"> zisteniami. Výročná správa má teda pracovať predovšetkým so súhrnnými a agregovanými údajmi.</w:t>
      </w:r>
    </w:p>
    <w:p w14:paraId="0E97E774"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38:</w:t>
      </w:r>
    </w:p>
    <w:p w14:paraId="7497191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Ustanovením sa transponuje článok 41 smernice (EÚ) 2024/1640, ktorý umožňuje Národnej banke Slovenska požadovať, aby zahraničná banka, zahraničná inštitúcia elektronických peňazí, zahraničná platobná inštitúcia alebo zahraničný poskytovateľ služieb </w:t>
      </w:r>
      <w:proofErr w:type="spellStart"/>
      <w:r w:rsidRPr="00146994">
        <w:rPr>
          <w:rFonts w:ascii="Times New Roman" w:hAnsi="Times New Roman"/>
          <w:sz w:val="24"/>
          <w:szCs w:val="24"/>
        </w:rPr>
        <w:t>kryptoaktív</w:t>
      </w:r>
      <w:proofErr w:type="spellEnd"/>
      <w:r w:rsidRPr="00146994">
        <w:rPr>
          <w:rFonts w:ascii="Times New Roman" w:hAnsi="Times New Roman"/>
          <w:sz w:val="24"/>
          <w:szCs w:val="24"/>
        </w:rPr>
        <w:t xml:space="preserve"> zriadili na území Slovenskej republiky centrálne kontaktné miesto. </w:t>
      </w:r>
    </w:p>
    <w:p w14:paraId="63AB74C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Cieľom ustanovenia je odstrániť praktické prekážky dohľadu, ktoré môžu vzniknúť v dôsledku cezhraničného poskytovania služieb, najmä rozptýlenia činnosti medzi väčší počet agentov, distribútorov alebo iných foriem infraštruktúry a absencie subjektu, ktorý by na území Slovenskej republiky zabezpečoval jednotnú komunikáciu s orgánom dohľadu. Centrálne </w:t>
      </w:r>
      <w:r w:rsidRPr="00146994">
        <w:rPr>
          <w:rFonts w:ascii="Times New Roman" w:hAnsi="Times New Roman"/>
          <w:sz w:val="24"/>
          <w:szCs w:val="24"/>
        </w:rPr>
        <w:lastRenderedPageBreak/>
        <w:t>kontaktné miesto má v takýchto prípadoch vytvoriť stabilné organizačné a komunikačné prepojenie medzi zahraničnou povinnou osobou, osobami alebo organizačnými štruktúrami, prostredníctvom ktorých vykonáva svoju činnosť, a Národnou bankou Slovenska.</w:t>
      </w:r>
    </w:p>
    <w:p w14:paraId="43ABF14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Zriadením centrálneho kontaktného miesta sa nemení rozdelenie zodpovednosti za plnenie zákonných povinností. Za dodržiavanie povinností v oblasti AML/CFT zostáva zodpovedná príslušná povinná osoba. </w:t>
      </w:r>
    </w:p>
    <w:p w14:paraId="365300D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Oprávnenie Národnej banky Slovenska požadovať zriadenie centrálneho kontaktného miesta je koncipované na základe zásady proporcionality. Samotné cezhraničné poskytovanie služieb preto automaticky nezakladá povinnosť zriadiť centrálne kontaktné miesto. Takáto požiadavka sa uplatní len v prípade, ak spôsob, rozsah alebo rizikovosť pôsobenia zahraničného subjektu na území Slovenskej republiky odôvodňujú potrebu trvalého kontaktného a koordinačného mechanizmu a sú súčasne splnené kritériá ustanovené príslušnou regulačnou technickou normou.</w:t>
      </w:r>
    </w:p>
    <w:p w14:paraId="2954E53E"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39:</w:t>
      </w:r>
    </w:p>
    <w:p w14:paraId="38EB55E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transponuje články 42 a 43 smernice (EÚ) 2024/1640 a upravuje poskytovanie informácií FSJ zo strany Národnej banky Slovenska a Úradu pre reguláciu hazardných hier ako orgánov vykonávajúcich AML/CFT dohľad nad povinnými osobami vo svojej pôsobnosti. Cieľom ustanovenia je zabezpečiť včasný a účinný tok informácií medzi sektorovými orgánmi dohľadu a FSJ tak, aby FSJ mohla pri plnení svojich analytických, preventívnych a koordinačných úloh využívať relevantné poznatky získané pri výkone dohľadu. Takáto výmena informácií je významná najmä preto, že orgány dohľadu môžu pri kontrole vnútorných AML/CFT systémov, transakčných procesov, ohlasovacích mechanizmov alebo konkrétnych obchodných vzťahov identifikovať informácie, ktoré presahujú rámec samotného porušenia administratívnej povinnosti a môžu byť významné z hľadiska operačnej alebo strategickej analýzy FSJ.</w:t>
      </w:r>
    </w:p>
    <w:p w14:paraId="374AC18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1 transponuje relevantné požiadavky článku 42 a článku 43 písm. b) smernice (EÚ) 2024/1640. Ak Národná banka Slovenska alebo Úrad pre reguláciu hazardných hier pri výkone dohľadu zistí závažné nedostatky v systémoch ohlasovania hlásení podľa § 15 alebo iné skutočnosti, ktoré by mohli súvisieť s legalizáciou alebo financovaním terorizmu, sú povinní tieto skutočnosti bezodkladne oznámiť FSJ. Takým nedostatkom môže byť napríklad nefunkčný alebo nedostatočne nastavený vnútorný mechanizmus identifikácie podozrivých transakcií, systematické neoznamovanie relevantných prípadov, nedostatočné vnútorné eskalačné postupy alebo iné systémové zlyhanie, ktoré môže negatívne ovplyvniť schopnosť povinnej osoby riadne si plniť ohlasovaciu povinnosť. Druhá skupina zahŕňa širšie formulované iné skutočnosti, ktoré by mohli súvisieť s legalizáciou alebo financovaním terorizmu. Účelom je zabezpečiť, aby sa FSJ dozvedela aj o konkrétnych podozreniach alebo rizikových skutočnostiach zistených orgánom dohľadu, hoci nejde priamo o systémový nedostatok ohlasovacieho mechanizmu. Môže ísť najmä o situáciu, keď orgán dohľadu pri preverovaní povinnej osoby identifikuje transakciu alebo činnosť vykazujúcu znaky podozrenia, zistí možné zapojenie člena vrcholového manažmentu alebo konečného užívateľa výhod do podozrivej činnosti alebo zistí, že povinná osoba relevantnú skutočnosť FSJ neoznámila. Takýto účel výslovne vyplýva aj z odôvodnenia smernice.</w:t>
      </w:r>
    </w:p>
    <w:p w14:paraId="49F0212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Povinnosť informovať Finančnú spravodajskú jednotku sa má splniť bezodkladne, keďže oneskorené poskytnutie informácie by mohlo znížiť jej význam pre operačnú analýzu alebo prípadné ďalšie opatrenia. Zároveň sa výslovne ustanovuje, že oznámením Finančnej spravodajskej jednotke nie je dotknutá povinnosť orgánu dohľadu oznámiť príslušnému orgánu činnému v trestnom konaní skutočnosti nasvedčujúce spáchaniu trestného činu. Tieto dve informačné povinnosti majú odlišný účel a navzájom sa nenahrádzajú. Rovnaký princíp obsahuje smernica, podľa ktorej povinnosť informovať FIU nenahrádza povinnosť orgánov verejnej moci oznamovať príslušným orgánom trestnú činnosť, ktorú zistia pri výkone svojich úloh.</w:t>
      </w:r>
    </w:p>
    <w:p w14:paraId="1C33BFD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2 transponuje článok 43 písm. a) smernice (EÚ) 2024/1640 a upravuje informačnú povinnosť Národnej banky Slovenska vo vzťahu k organizačným jednotkám a infraštruktúram zahraničných povinných osôb podľa § 35 pôsobiacich na území Slovenskej republiky. Účelom informačnej povinnosti je zabezpečiť, aby FSJ mala aktuálny prehľad o cezhraničnom pôsobení povinných osôb z finančného sektory na území Slovenskej republiky bez ohľadu na právnu alebo organizačnú formu, prostredníctvom ktorej svoju činnosť vykonávajú. Tieto informácie sú významné najmä pri vyhodnocovaní hlásení o podozrivých transakciách, určovaní príslušnosti FIU, výmene informácií so zahraničnými FIU a pri identifikácii cezhraničných rizík.</w:t>
      </w:r>
    </w:p>
    <w:p w14:paraId="08534E36"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rPr>
        <w:t xml:space="preserve">Odsek 3, 4 zachováva a precizuje vnútroštátny mechanizmus informovania FSJ o začatých dohľadoch a sankčných konaniach vedených Národnou bankou Slovenska alebo Úradom pre reguláciu hazardných hier. Ustanovenie preberá už existujúcu úpravu § 29 ods. 4 a 5 súčasného AML zákona. </w:t>
      </w:r>
      <w:r w:rsidRPr="00146994">
        <w:rPr>
          <w:rFonts w:ascii="Times New Roman" w:hAnsi="Times New Roman"/>
          <w:sz w:val="24"/>
          <w:szCs w:val="24"/>
          <w:lang w:eastAsia="sk-SK"/>
        </w:rPr>
        <w:t xml:space="preserve">Oznamovanie už </w:t>
      </w:r>
      <w:r w:rsidRPr="00146994">
        <w:rPr>
          <w:rFonts w:ascii="Times New Roman" w:hAnsi="Times New Roman"/>
          <w:bCs/>
          <w:sz w:val="24"/>
          <w:szCs w:val="24"/>
          <w:lang w:eastAsia="sk-SK"/>
        </w:rPr>
        <w:t>začatia sankčného konania</w:t>
      </w:r>
      <w:r w:rsidRPr="00146994">
        <w:rPr>
          <w:rFonts w:ascii="Times New Roman" w:hAnsi="Times New Roman"/>
          <w:sz w:val="24"/>
          <w:szCs w:val="24"/>
          <w:lang w:eastAsia="sk-SK"/>
        </w:rPr>
        <w:t xml:space="preserve">, a nie až právoplatného rozhodnutia, zabezpečuje včasnosť informačného toku. Zaslanie právoplatného rozhodnutia následne umožňuje FSJ poznať konečný výsledok konania a skutkové a právne závery príslušného sektorového orgánu dohľadu. Ustanovenie tak umožňuje </w:t>
      </w:r>
      <w:r w:rsidRPr="00146994">
        <w:rPr>
          <w:rFonts w:ascii="Times New Roman" w:hAnsi="Times New Roman"/>
          <w:sz w:val="24"/>
          <w:szCs w:val="24"/>
        </w:rPr>
        <w:t xml:space="preserve">FSJ </w:t>
      </w:r>
      <w:r w:rsidRPr="00146994">
        <w:rPr>
          <w:rFonts w:ascii="Times New Roman" w:hAnsi="Times New Roman"/>
          <w:sz w:val="24"/>
          <w:szCs w:val="24"/>
          <w:lang w:eastAsia="sk-SK"/>
        </w:rPr>
        <w:t>získavať komplexný prehľad o porušeniach AML/CFT povinností zistených sektorovými orgánmi dohľadu a o výsledkoch sankčných konaní. Tieto informácie môžu byť využité najmä pri identifikácii opakujúcich sa alebo systémových nedostatkov, pri národnom a sektorovom hodnotení rizík, pri vedení štatistických údajov, pri metodickej a koordinačnej činnosti a pri posudzovaní celkovej efektívnosti vnútroštátneho systému AML/CFT.</w:t>
      </w:r>
    </w:p>
    <w:p w14:paraId="7EEC1C72"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40:</w:t>
      </w:r>
    </w:p>
    <w:p w14:paraId="430C2F69"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Cs/>
          <w:sz w:val="24"/>
          <w:szCs w:val="24"/>
          <w:lang w:eastAsia="sk-SK"/>
        </w:rPr>
        <w:t>Navrhované ustanovenie transponuje článok 45 smernice (EÚ) 2024/1640 a upravuje výmenu informácií medzi orgánmi dohľadu domovského a hostiteľského členského štátu v súvislosti s cezhraničným pôsobením povinných osôb. Cieľom je zabezpečiť, aby orgán dohľadu hostiteľského členského štátu mal včas k dispozícii úplné a aktuálne informácie o zamýšľanom a skutočnom vykonávaní činnosti povinnej osoby na jeho území a aby oba orgány mohli účinne koordinovať výkon dohľadu a reagovať na riziká spojené s cezhraničnou činnosťou.</w:t>
      </w:r>
    </w:p>
    <w:p w14:paraId="45839B7F"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1 transponuje článok 45 ods. 1 smernice (EÚ) 2024/1640 a upravuje prvotné informovanie orgánu dohľadu hostiteľského členského štátu o zamýšľanom cezhraničnom pôsobení povinnej osoby. Ak orgán dohľadu dostane oznámenie podľa článku 8 ods. 1 nariadenia (EÚ) 2024/1624, je povinný bez zbytočného odkladu, najneskôr však do troch mesiacov, informovať orgán dohľadu hostiteľského členského štátu o činnostiach, ktoré </w:t>
      </w:r>
      <w:r w:rsidRPr="00146994">
        <w:rPr>
          <w:rFonts w:ascii="Times New Roman" w:hAnsi="Times New Roman"/>
          <w:sz w:val="24"/>
          <w:szCs w:val="24"/>
          <w:lang w:eastAsia="sk-SK"/>
        </w:rPr>
        <w:lastRenderedPageBreak/>
        <w:t>povinná osoba zamýšľa vykonávať na jeho území. Táto povinnosť zabezpečuje, aby hostiteľský orgán dohľadu nebol o cezhraničnej činnosti informovaný až po jej faktickom začatí, ale už vo fáze, keď povinná osoba oznámi zámer pôsobiť v inom členskom štáte. Článok 45 ods. 1 smernice stanovuje rovnakú maximálnu trojmesačnú lehotu na poskytnutie informácie hostiteľskému orgánu dohľadu. Ustanovenie zároveň upravuje oznamovanie následných zmien. Každá zmena údajov, ktorú povinná osoba oznámi domovskému orgánu dohľadu, sa oznámi hostiteľskému orgánu bez zbytočného odkladu, najneskôr do jedného mesiaca od jej doručenia. Táto povinnosť zabraňuje tomu, aby hostiteľský orgán dohľadu pracoval s neaktuálnymi údajmi o rozsahu, forme alebo spôsobe cezhraničného pôsobenia povinnej osoby.</w:t>
      </w:r>
    </w:p>
    <w:p w14:paraId="64F1347F"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2 transponuje článok 45 ods. 2 smernice (EÚ) 2024/1640 a upravuje priebežnú spoluprácu orgánov dohľadu po začatí cezhraničnej činnosti. Orgán dohľadu spolupracuje s orgánom dohľadu hostiteľského členského štátu a vymieňa si s ním všetky relevantné informácie súvisiace s činnosťami vykonávanými povinnou osobou na území hostiteľského členského štátu. Táto výmena sa uskutočňuje najmenej raz ročne. Na rozdiel od odseku 1, ktorý sa týka predovšetkým oznámenia zamýšľanej činnosti a zmien oznámených údajov, odsek 2 sa zameriava na </w:t>
      </w:r>
      <w:r w:rsidRPr="00146994">
        <w:rPr>
          <w:rFonts w:ascii="Times New Roman" w:hAnsi="Times New Roman"/>
          <w:bCs/>
          <w:sz w:val="24"/>
          <w:szCs w:val="24"/>
          <w:lang w:eastAsia="sk-SK"/>
        </w:rPr>
        <w:t>skutočne vykonávanú činnosť</w:t>
      </w:r>
      <w:r w:rsidRPr="00146994">
        <w:rPr>
          <w:rFonts w:ascii="Times New Roman" w:hAnsi="Times New Roman"/>
          <w:sz w:val="24"/>
          <w:szCs w:val="24"/>
          <w:lang w:eastAsia="sk-SK"/>
        </w:rPr>
        <w:t xml:space="preserve"> povinnej osoby. Uvedený článok vyžaduje výmenu informácií o činnostiach skutočne vykonávaných povinným subjektom na území hostiteľského členského štátu, vrátane informácií získaných pri </w:t>
      </w:r>
      <w:proofErr w:type="spellStart"/>
      <w:r w:rsidRPr="00146994">
        <w:rPr>
          <w:rFonts w:ascii="Times New Roman" w:hAnsi="Times New Roman"/>
          <w:sz w:val="24"/>
          <w:szCs w:val="24"/>
          <w:lang w:eastAsia="sk-SK"/>
        </w:rPr>
        <w:t>dohľadovej</w:t>
      </w:r>
      <w:proofErr w:type="spellEnd"/>
      <w:r w:rsidRPr="00146994">
        <w:rPr>
          <w:rFonts w:ascii="Times New Roman" w:hAnsi="Times New Roman"/>
          <w:sz w:val="24"/>
          <w:szCs w:val="24"/>
          <w:lang w:eastAsia="sk-SK"/>
        </w:rPr>
        <w:t xml:space="preserve"> činnosti a informácií predložených povinnými subjektmi v reakcii na </w:t>
      </w:r>
      <w:proofErr w:type="spellStart"/>
      <w:r w:rsidRPr="00146994">
        <w:rPr>
          <w:rFonts w:ascii="Times New Roman" w:hAnsi="Times New Roman"/>
          <w:sz w:val="24"/>
          <w:szCs w:val="24"/>
          <w:lang w:eastAsia="sk-SK"/>
        </w:rPr>
        <w:t>dohľadové</w:t>
      </w:r>
      <w:proofErr w:type="spellEnd"/>
      <w:r w:rsidRPr="00146994">
        <w:rPr>
          <w:rFonts w:ascii="Times New Roman" w:hAnsi="Times New Roman"/>
          <w:sz w:val="24"/>
          <w:szCs w:val="24"/>
          <w:lang w:eastAsia="sk-SK"/>
        </w:rPr>
        <w:t xml:space="preserve"> dotazníky. Rozsah výmeny preto nie je obmedzený len na základné identifikačné alebo registračné údaje. Orgány dohľadu si majú poskytovať všetky relevantné informácie potrebné na pochopenie reálneho rozsahu cezhraničného pôsobenia povinnej osoby a rizík s ním spojených. Takýmito informáciami môžu byť najmä údaje o rozsahu poskytovaných služieb, charaktere klientely, využívaných distribučných kanáloch, objeme alebo povahe vykonávaných činností, ako aj relevantné </w:t>
      </w:r>
      <w:proofErr w:type="spellStart"/>
      <w:r w:rsidRPr="00146994">
        <w:rPr>
          <w:rFonts w:ascii="Times New Roman" w:hAnsi="Times New Roman"/>
          <w:sz w:val="24"/>
          <w:szCs w:val="24"/>
          <w:lang w:eastAsia="sk-SK"/>
        </w:rPr>
        <w:t>dohľadové</w:t>
      </w:r>
      <w:proofErr w:type="spellEnd"/>
      <w:r w:rsidRPr="00146994">
        <w:rPr>
          <w:rFonts w:ascii="Times New Roman" w:hAnsi="Times New Roman"/>
          <w:sz w:val="24"/>
          <w:szCs w:val="24"/>
          <w:lang w:eastAsia="sk-SK"/>
        </w:rPr>
        <w:t xml:space="preserve"> zistenia a údaje ovplyvňujúce rizikový profil cezhraničnej činnosti.</w:t>
      </w:r>
    </w:p>
    <w:p w14:paraId="1477D26B"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Ak sa informácie poskytujú v súhrnnej alebo agregovanej forme, domovský orgán dohľadu je povinný bez zbytočného odkladu reagovať na žiadosť hostiteľského orgánu o doplňujúce informácie. Táto povinnosť zabraňuje tomu, aby agregovaná forma informácií obmedzovala schopnosť hostiteľského orgánu vykonať konkrétnejšie posúdenie rizika alebo dohľadu.</w:t>
      </w:r>
    </w:p>
    <w:p w14:paraId="53D00406"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41:</w:t>
      </w:r>
    </w:p>
    <w:p w14:paraId="6E373A0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transponuje články 44, 46, 47 a 48 smernice (EÚ) 2024/1640 a vytvára rámec pre spoluprácu orgánov dohľadu Slovenskej republiky s orgánmi dohľadu ostatných členských štátov a s úradom AMLA. Účinný AML/CFT dohľad nad cezhranične pôsobiacimi povinnými osobami nemožno zabezpečiť výlučne prostredníctvom činnosti orgánu dohľadu jedného členského štátu. Informácie významné z hľadiska posúdenia rizika, vlastníckej a riadiacej štruktúry, vnútorných kontrolných mechanizmov, starostlivosti vo vzťahu ku klientovi alebo zistených porušení môžu byť rozdelené medzi viaceré členské štáty. Smernica preto vychádza zo zásady čo najširšej spolupráce orgánov dohľadu bez ohľadu na ich povahu alebo postavenie. </w:t>
      </w:r>
    </w:p>
    <w:p w14:paraId="57B96B2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Cieľom ustanovenia je zabezpečiť, aby cezhraničný charakter činnosti povinnej osoby, jej členstvo v skupine alebo rozdelenie jednotlivých častí skupiny medzi viaceré členské štáty nevytváralo medzery v AML/CFT dohľade. Orgány dohľadu preto musia disponovať </w:t>
      </w:r>
      <w:r w:rsidRPr="00146994">
        <w:rPr>
          <w:rFonts w:ascii="Times New Roman" w:hAnsi="Times New Roman"/>
          <w:sz w:val="24"/>
          <w:szCs w:val="24"/>
        </w:rPr>
        <w:lastRenderedPageBreak/>
        <w:t xml:space="preserve">mechanizmami umožňujúcimi vzájomnú výmenu informácií, koordináciu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postupov, vykonanie zisťovania v prospech iného orgánu dohľadu a riešenie prípadných sporov prostredníctvom úradu AMLA.</w:t>
      </w:r>
    </w:p>
    <w:p w14:paraId="7F502D3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Základným princípom je čo najširšia spolupráca medzi orgánmi dohľadu bez ohľadu na ich právnu povahu alebo postavenie. Článok 44 smernice výslovne počíta aj s tým, že požiadaný orgán dohľadu vykoná zisťovanie v mene žiadajúceho orgánu a následne mu poskytne získané informácie. Pri cezhraničných skupinách má spolupráca zabezpečiť najmä konzistentný dohľad nad uplatňovaním </w:t>
      </w:r>
      <w:proofErr w:type="spellStart"/>
      <w:r w:rsidRPr="00146994">
        <w:rPr>
          <w:rFonts w:ascii="Times New Roman" w:hAnsi="Times New Roman"/>
          <w:sz w:val="24"/>
          <w:szCs w:val="24"/>
        </w:rPr>
        <w:t>celoskupinových</w:t>
      </w:r>
      <w:proofErr w:type="spellEnd"/>
      <w:r w:rsidRPr="00146994">
        <w:rPr>
          <w:rFonts w:ascii="Times New Roman" w:hAnsi="Times New Roman"/>
          <w:sz w:val="24"/>
          <w:szCs w:val="24"/>
        </w:rPr>
        <w:t xml:space="preserve"> politík, postupov a kontrol, vzájomné posudzovanie rizík a koordináciu nápravných a sankčných opatrení. </w:t>
      </w:r>
    </w:p>
    <w:p w14:paraId="41E2F7A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Osobitnú koordinačnú a mediačnú úlohu v tomto systéme plní úrad AMLA. Význam čo najširšej spolupráce domovských a hostiteľských orgánov dohľadu a úradu AMLA zdôrazňuje aj odôvodnenie smernice (EÚ) 2024/1640.</w:t>
      </w:r>
    </w:p>
    <w:p w14:paraId="3B43EB3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transponuje článok 44 smernice (EÚ) 2024/1640 a v relevantnom rozsahu článok 46 ods. 1 tejto smernice. Ustanovuje sa všeobecná zásada, podľa ktorej orgány dohľadu spolupracujú s orgánmi dohľadu iných členských štátov z vlastného podnetu alebo na základe dožiadania, poskytujú si informácie potrebné na plnenie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úloh a poskytujú si potrebnú súčinnosť. Súčasne sa výslovne ustanovuje spolupráca s úradom AMLA. Spolupráca teda nie je viazaná výlučne na formálnu žiadosť zahraničného orgánu. Ak orgán dohľadu disponuje informáciou, o ktorej možno dôvodne predpokladať, že je významná pre výkon dohľadu v inom členskom štáte, právna úprava umožňuje jej poskytnutie aj z vlastného podnetu. Článok 44 smernice zakotvuje všeobecný princíp čo najširšej spolupráce orgánov dohľadu a výslovne predpokladá aj vykonanie zisťovania v mene žiadajúceho orgánu alebo uľahčenie takého zisťovania. Ustanovenie predstavuje všeobecný rámec, na ktorý nadväzujú podrobnejšie pravidlá spolupráce v ďalších odsekoch.</w:t>
      </w:r>
    </w:p>
    <w:p w14:paraId="37A4124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transponuje predovšetkým článok 46 ods. 1 a 2 smernice a upravuje rozdelenie a koordináciu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úloh medzi domovským a hostiteľským orgánom dohľadu pri skupinách pôsobiacich vo viacerých členských štátoch. Ustanovenie pokrýva situácie, keď má povinná osoba so sídlom v Slovenskej republike organizačnú jednotku v inom členskom štáte, ako aj opačnú situáciu, keď zahraničná povinná osoba pôsobí prostredníctvom organizačnej jednotky na území Slovenskej republiky. Súčasne upravuje spoluprácu pri dohľade nad uplatňovaním skupinových politík, postupov a kontrol. Základným princípom je rozdelenie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zodpovednosti medzi domovský a hostiteľský orgán. Domovský orgán dohľadu sleduje najmä účinné vykonávanie </w:t>
      </w:r>
      <w:proofErr w:type="spellStart"/>
      <w:r w:rsidRPr="00146994">
        <w:rPr>
          <w:rFonts w:ascii="Times New Roman" w:hAnsi="Times New Roman"/>
          <w:sz w:val="24"/>
          <w:szCs w:val="24"/>
        </w:rPr>
        <w:t>celoskupinových</w:t>
      </w:r>
      <w:proofErr w:type="spellEnd"/>
      <w:r w:rsidRPr="00146994">
        <w:rPr>
          <w:rFonts w:ascii="Times New Roman" w:hAnsi="Times New Roman"/>
          <w:sz w:val="24"/>
          <w:szCs w:val="24"/>
        </w:rPr>
        <w:t xml:space="preserve"> AML/CFT politík, postupov a kontrol, zatiaľ čo hostiteľský orgán dohliada na plnenie povinností organizačnými jednotkami pôsobiacimi na jeho území. Tento princíp výslovne vyplýva z článku 46 ods. 2 smernice (EÚ) 2024/1640. Cieľom nie je vytvoriť paralelné alebo konkurenčné dohľady, ale zabezpečiť ich vzájomné dopĺňanie.</w:t>
      </w:r>
    </w:p>
    <w:p w14:paraId="2C5EBB9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transponuje požiadavky článku 46 smernice týkajúce sa minimálneho rozsahu informácií vymieňaných medzi orgánmi dohľadu nad skupinou. Orgány dohľadu si vymieňajú predovšetkým informácie, ktoré môžu mať významný vplyv na posúdenie inherentného alebo reziduálneho AML/CFT rizika povinnej osoby alebo inej časti skupiny v inom členskom štáte. Ide najmä o informácie o právnej, riadiacej a organizačnej štruktúre skupiny vrátane dcérskych </w:t>
      </w:r>
      <w:r w:rsidRPr="00146994">
        <w:rPr>
          <w:rFonts w:ascii="Times New Roman" w:hAnsi="Times New Roman"/>
          <w:sz w:val="24"/>
          <w:szCs w:val="24"/>
        </w:rPr>
        <w:lastRenderedPageBreak/>
        <w:t>spoločností a pobočiek, o konečných užívateľoch výhod a členoch vrcholového manažmentu vrátane výsledkov posúdenia ich odbornej spôsobilosti, bezúhonnosti a dôveryhodnosti, o skupinových politikách, postupoch a kontrolných mechanizmoch, ako aj o plnení povinností starostlivosti vo vzťahu ku klientovi vrátane relevantnej dokumentácie a záznamov o transakciách. Súčasťou výmeny sú aj informácie o nepriaznivom vývoji v ktorejkoľvek časti skupiny, ktorý môže mať závažný vplyv na ďalšie subjekty skupiny. Takto nastavený rozsah výmeny umožňuje orgánom dohľadu vytvoriť si konsolidovaný pohľad na riziko skupiny, a nie iba izolovaný pohľad na subjekt nachádzajúci sa v ich vlastnej jurisdikcii.</w:t>
      </w:r>
    </w:p>
    <w:p w14:paraId="49502CE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4 dopĺňa informačný rámec o informácie týkajúce sa závažných nedostatkov, porušení a plánovaných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opatrení. Orgány dohľadu sa navzájom informujú o závažných, opakovaných alebo systematických porušeniach, o peňažných sankciách a administratívnych opatreniach, ktoré zamýšľajú uložiť alebo uplatniť, ako aj o ďalších relevantných zisteniach z výkonu dohľadu. Včasná výmena týchto informácií umožňuje ostatným orgánom posúdiť, či rovnaký nedostatok alebo rizikový faktor nemá dopad aj na nimi dohliadanú časť skupiny. Informovanie ešte pred uložením alebo uplatnením opatrenia zároveň umožňuje koordináciu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reakcie. Pri cezhraničnej skupine by totiž rozdielne alebo nekoordinované opatrenia prijaté jednotlivými orgánmi mohli oslabiť účinnosť nápravy alebo vyvolať neprimerané dôsledky v iných častiach skupiny.</w:t>
      </w:r>
    </w:p>
    <w:p w14:paraId="23D6B27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5 transponuje článok 47 smernice (EÚ) 2024/1640 a rozširuje primeraný režim cezhraničnej spolupráce aj na povinné osoby, ktoré vykonávajú cezhraničnú činnosť, ale nie sú súčasťou skupiny. V takom prípade si orgány dohľadu na žiadosť alebo z vlastného podnetu poskytujú relevantné informácie najmä o právnej a organizačnej štruktúre povinnej osoby, konečných užívateľoch výhod, členoch vrcholového manažmentu, starostlivosti vo vzťahu ku klientovi, závažných porušeniach a pripravovaných sankčných alebo nápravných opatreniach. Osobitne sa poskytujú informácie o nepriaznivom vývoji vo vzťahu k povinnej osobe, jej prevádzkarni alebo inej forme infraštruktúry, ktorý môže mať závažný vplyv na dodržiavanie AML/CFT požiadaviek. Účelom je zabezpečiť primeranú spoluprácu aj v prípadoch, keď cezhraničná činnosť nie je vykonávaná prostredníctvom skupinovej štruktúry, ale riziká a </w:t>
      </w:r>
      <w:proofErr w:type="spellStart"/>
      <w:r w:rsidRPr="00146994">
        <w:rPr>
          <w:rFonts w:ascii="Times New Roman" w:hAnsi="Times New Roman"/>
          <w:sz w:val="24"/>
          <w:szCs w:val="24"/>
        </w:rPr>
        <w:t>dohľadová</w:t>
      </w:r>
      <w:proofErr w:type="spellEnd"/>
      <w:r w:rsidRPr="00146994">
        <w:rPr>
          <w:rFonts w:ascii="Times New Roman" w:hAnsi="Times New Roman"/>
          <w:sz w:val="24"/>
          <w:szCs w:val="24"/>
        </w:rPr>
        <w:t xml:space="preserve"> zodpovednosť sú napriek tomu rozdelené medzi viacero členských štátov.</w:t>
      </w:r>
    </w:p>
    <w:p w14:paraId="7E8878C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6 ustanovuje subsidiárny charakter pravidiel spolupráce podľa odsekov 2 až 5 vo vzťahu ku kolégiám orgánov dohľadu. Ak bolo pre príslušnú skupinu alebo povinnú osobu zriadené kolégium dohľadu podľa § 42 alebo § 43, pravidlá spolupráce podľa odsekov 2 až 5 sa neuplatnia, keďže koordinácia a výmena informácií sa uskutočňuje prostredníctvom osobitného režimu kolégia. Cieľom ustanovenia je zabrániť duplicite paralelných mechanizmov spolupráce. Pravidlá zosilnenej bilaterálnej alebo multilaterálnej spolupráce majú význam najmä tam, kde formálne kolégium dohľadu zriadené nebolo.</w:t>
      </w:r>
    </w:p>
    <w:p w14:paraId="548F7C4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7 transponuje článok 44 smernice v časti upravujúcej možnosť vykonať zisťovanie v mene žiadajúceho orgánu dohľadu. Na základe písomného dožiadania zahraničného orgánu dohľadu vykoná slovenský orgán dohľadu zisťovanie v jeho mene a výsledné informácie mu poskytne. Orgán dohľadu nie je striktne viazaný iba jednotlivými úkonmi výslovne uvedenými v dožiadaní. Ak sa pri zisťovaní ukáže potreba vykonať ďalší nevyhnutný úkon súvisiaci s predmetom dožiadania, môže ho vykonať aj bez toho, aby bol osobitne uvedený v žiadosti. Ak </w:t>
      </w:r>
      <w:r w:rsidRPr="00146994">
        <w:rPr>
          <w:rFonts w:ascii="Times New Roman" w:hAnsi="Times New Roman"/>
          <w:sz w:val="24"/>
          <w:szCs w:val="24"/>
        </w:rPr>
        <w:lastRenderedPageBreak/>
        <w:t>slovenský orgán dohľadu nie je na vykonanie požadovaného zisťovania príslušný, ale iný vnútroštátny orgán ho môže vykonať, dožiadanie mu postúpi, ak je taký postup účelný. O postúpení informuje zahraničný orgán dohľadu. Ustanovenie tak vytvára praktický procesný mechanizmus realizácie všeobecnej zásady článku 44, podľa ktorej môže spolupráca zahŕňať vykonanie zisťovania v mene žiadajúceho orgánu a následnú výmenu získaných informácií.</w:t>
      </w:r>
    </w:p>
    <w:p w14:paraId="1F9FC35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8 upravuje dokumentovanie výsledku dožiadaného zisťovania vykonaného orgánom dohľadu a jeho procesné pravidlá. Orgán dohľadu vypracuje správu o vybavení dožiadania, ktorá obsahuje najmä výsledky vykonaného zisťovania. Procesné práva a povinnosti upraví technický predpis.</w:t>
      </w:r>
    </w:p>
    <w:p w14:paraId="4F1539F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9 transponuje mechanizmus zapojenia úradu AMLA pri nedostatočnej cezhraničnej spolupráci alebo pri nezhode medzi orgánmi dohľadu. Orgán dohľadu sa môže obrátiť na úrad AMLA najmä vtedy, ak zahraničný orgán neposkytol požadované informácie, ak bola žiadosť o spoluprácu zamietnutá alebo nebola vybavená v primeranej lehote alebo ak medzi orgánmi vznikne objektívne odôvodnená nezhoda týkajúca sa zisteného porušenia a sankcie alebo administratívneho opatrenia potrebného na jeho nápravu. Ustanovenie reflektuje koordinačné postavenie úradu AMLA v novom európskom </w:t>
      </w:r>
      <w:proofErr w:type="spellStart"/>
      <w:r w:rsidRPr="00146994">
        <w:rPr>
          <w:rFonts w:ascii="Times New Roman" w:hAnsi="Times New Roman"/>
          <w:sz w:val="24"/>
          <w:szCs w:val="24"/>
        </w:rPr>
        <w:t>dohľadovom</w:t>
      </w:r>
      <w:proofErr w:type="spellEnd"/>
      <w:r w:rsidRPr="00146994">
        <w:rPr>
          <w:rFonts w:ascii="Times New Roman" w:hAnsi="Times New Roman"/>
          <w:sz w:val="24"/>
          <w:szCs w:val="24"/>
        </w:rPr>
        <w:t xml:space="preserve"> systéme. AMLA má pôsobiť ako mechanizmus riešenia situácií, v ktorých bežná bilaterálna alebo multilaterálna spolupráca medzi vnútroštátnymi orgánmi neposkytla uspokojivý výsledok. Cieľom nie je nahradiť štandardnú komunikáciu vnútroštátnych orgánov, ale zabezpečiť funkčný európsky mechanizmus na riešenie sporov a prekážok, ktoré môžu ohroziť konzistentnosť cezhraničného dohľadu.</w:t>
      </w:r>
    </w:p>
    <w:p w14:paraId="7C5CB6E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10 transponuje článok 48 smernice (EÚ) 2024/1640 a upravuje výmenu informácií v prípadoch, keď právny poriadok tretej krajiny neumožňuje riadne vykonávanie </w:t>
      </w:r>
      <w:proofErr w:type="spellStart"/>
      <w:r w:rsidRPr="00146994">
        <w:rPr>
          <w:rFonts w:ascii="Times New Roman" w:hAnsi="Times New Roman"/>
          <w:sz w:val="24"/>
          <w:szCs w:val="24"/>
        </w:rPr>
        <w:t>celoskupinových</w:t>
      </w:r>
      <w:proofErr w:type="spellEnd"/>
      <w:r w:rsidRPr="00146994">
        <w:rPr>
          <w:rFonts w:ascii="Times New Roman" w:hAnsi="Times New Roman"/>
          <w:sz w:val="24"/>
          <w:szCs w:val="24"/>
        </w:rPr>
        <w:t xml:space="preserve"> AML/CFT politík a postupov. Orgány dohľadu sa navzájom, vrátane úradu AMLA, informujú o zistení, že právne predpisy tretej krajiny bránia vykonávaniu skupinových politík a postupov požadovaných právnym rámcom Únie. Pri posudzovaní existencie takejto právnej prekážky sa zohľadňujú všetky relevantné obmedzenia právneho poriadku tretej krajiny, najmä pravidlá služobného alebo profesijného tajomstva, nedostatočná úroveň ochrany osobných údajov alebo iné obmedzenia brániace prenosu a výmene informácií v rámci skupiny. Cieľom je zabezpečiť, aby orgány dohľadu v Únii mali spoločný obraz o právnych prekážkach, ktoré môžu obmedzovať plnenie </w:t>
      </w:r>
      <w:proofErr w:type="spellStart"/>
      <w:r w:rsidRPr="00146994">
        <w:rPr>
          <w:rFonts w:ascii="Times New Roman" w:hAnsi="Times New Roman"/>
          <w:sz w:val="24"/>
          <w:szCs w:val="24"/>
        </w:rPr>
        <w:t>celoskupinových</w:t>
      </w:r>
      <w:proofErr w:type="spellEnd"/>
      <w:r w:rsidRPr="00146994">
        <w:rPr>
          <w:rFonts w:ascii="Times New Roman" w:hAnsi="Times New Roman"/>
          <w:sz w:val="24"/>
          <w:szCs w:val="24"/>
        </w:rPr>
        <w:t xml:space="preserve"> AML/CFT povinností, a mohli voči nim uplatňovať koordinovaný prístup.</w:t>
      </w:r>
    </w:p>
    <w:p w14:paraId="0BE0B7E6"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42:</w:t>
      </w:r>
    </w:p>
    <w:p w14:paraId="46FBA43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Ustanovením sa transponuje článok 49 smernice (EÚ) 2024/1640. Zavádza sa záväzný právny rámec pre zriaďovanie a fungovanie kolégií orgánov dohľadu v oblasti AML/CFT vo finančnom sektore pri cezhraničnom pôsobení finančných inštitúcií (vrátane bánk) a skupín týchto subjektov. Cieľom tejto právnej úpravy je posilniť cezhraničnú spoluprácu, výmenu informácií a koordináciu dohľadu v oblasti AML/CFT v rámci Ú. Spolupráca by mala, za predpokladu zachovania mlčanlivosti a ochrany údajov, zahŕňať aj orgány dohľadu tretích krajín.</w:t>
      </w:r>
    </w:p>
    <w:p w14:paraId="3ED855AF"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Kolégium zriaďuje príslušný orgán dohľadu zodpovedný za dohľad nad materským podnikom skupiny alebo nad ústredím finančnej inštitúcie, ak sú splnené podmienky stanovené smernicou (EÚ) 2024/1640.</w:t>
      </w:r>
    </w:p>
    <w:p w14:paraId="0C5BE3C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Povinnosť zriadiť kolégium vzniká vtedy, ak finančná inštitúcia alebo skupina zriadila organizačné jednotky najmenej v dvoch členských štátoch mimo Slovenskej republiky  , alebo ak finančná inštitúcia z tretej krajiny zriadila organizačné jednotky aspoň v troch členských štátoch, pričom jedna z nich je zriadená v Slovenskej republike Orgán dohľadu – Národná banka Slovenska, môže zriadiť kolégium aj v prípade, ak ňou dohliadaná finančná inštitúcia má organizačnú jednotku aspoň v dvoch tretích krajinách. </w:t>
      </w:r>
    </w:p>
    <w:p w14:paraId="3C3E34E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4 ukladá orgánu dohľadu, t. j. Národnej banke Slovenska, povinnosť identifikovať povinné osoby vo finančnom sektore s organizačnými jednotkami v zahraničí, ako aj organizačné jednotky zahraničných finančných inštitúcií pôsobiacich na území Slovenskej republiky. Cieľom je, aby mal orgán dohľadu dostatočné informácie o všetkých relevantných subjektoch pre účely posúdenia, či sú splnené kritéria pre zriadenie kolégia. </w:t>
      </w:r>
    </w:p>
    <w:p w14:paraId="397FE260" w14:textId="23ED3935"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Ustanovenia odsekov 5 až </w:t>
      </w:r>
      <w:r w:rsidR="001E0A1D">
        <w:rPr>
          <w:rFonts w:ascii="Times New Roman" w:hAnsi="Times New Roman"/>
          <w:sz w:val="24"/>
          <w:szCs w:val="24"/>
        </w:rPr>
        <w:t>9</w:t>
      </w:r>
      <w:r w:rsidRPr="00146994">
        <w:rPr>
          <w:rFonts w:ascii="Times New Roman" w:hAnsi="Times New Roman"/>
          <w:sz w:val="24"/>
          <w:szCs w:val="24"/>
        </w:rPr>
        <w:t xml:space="preserve"> stanovujú okruh členov a pozorovateľov kolégia, ako aj podmienky účasti orgánov dohľadu z tretích krajín, vrátane požiadaviek na zabezpečenie ochrany osobných údajov a zachovávanie mlčanlivosti. </w:t>
      </w:r>
    </w:p>
    <w:p w14:paraId="7A1C44A7" w14:textId="3A87A36A"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odseku </w:t>
      </w:r>
      <w:r w:rsidR="001E0A1D">
        <w:rPr>
          <w:rFonts w:ascii="Times New Roman" w:hAnsi="Times New Roman"/>
          <w:sz w:val="24"/>
          <w:szCs w:val="24"/>
        </w:rPr>
        <w:t>10</w:t>
      </w:r>
      <w:r w:rsidRPr="00146994">
        <w:rPr>
          <w:rFonts w:ascii="Times New Roman" w:hAnsi="Times New Roman"/>
          <w:sz w:val="24"/>
          <w:szCs w:val="24"/>
        </w:rPr>
        <w:t xml:space="preserve"> sa stanovuje, že pri organizovaní činnosti kolégia  (vrátane frekvencie a formy stretnutí kolégia, ako aj rozsahu výmeny informácií) sa zohľadňuje rizikový profil a rozsah cezhraničných činností dohliadaného subjektu alebo skupiny.  Ďalej sa vymedzujú základné účely využívania kolégií, ktorými sú  najmä výmena informácií, poskytovanie vzájomnej pomoci, koordinácia prístupu v rámci dohľadu nad finančnými inštitúciami a prijímanie opatrení pri závažných porušeniach povinností v oblasti AML/CFT.  </w:t>
      </w:r>
    </w:p>
    <w:p w14:paraId="2982BB52" w14:textId="69D8D693"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Ustanovením odseku </w:t>
      </w:r>
      <w:r w:rsidR="007E46F0">
        <w:rPr>
          <w:rFonts w:ascii="Times New Roman" w:hAnsi="Times New Roman"/>
          <w:sz w:val="24"/>
          <w:szCs w:val="24"/>
        </w:rPr>
        <w:t>1</w:t>
      </w:r>
      <w:r w:rsidR="001E0A1D">
        <w:rPr>
          <w:rFonts w:ascii="Times New Roman" w:hAnsi="Times New Roman"/>
          <w:sz w:val="24"/>
          <w:szCs w:val="24"/>
        </w:rPr>
        <w:t>1</w:t>
      </w:r>
      <w:r w:rsidR="007E46F0">
        <w:rPr>
          <w:rFonts w:ascii="Times New Roman" w:hAnsi="Times New Roman"/>
          <w:sz w:val="24"/>
          <w:szCs w:val="24"/>
        </w:rPr>
        <w:t xml:space="preserve"> </w:t>
      </w:r>
      <w:r w:rsidRPr="00146994">
        <w:rPr>
          <w:rFonts w:ascii="Times New Roman" w:hAnsi="Times New Roman"/>
          <w:sz w:val="24"/>
          <w:szCs w:val="24"/>
        </w:rPr>
        <w:t>sa upravuje možnosť obrátiť sa na úrad AMLA, ak sa členovia kolégia nezhodnú na opatreniach, ktoré sa majú prijať vo vzťahu k povinnej osobe.</w:t>
      </w:r>
    </w:p>
    <w:p w14:paraId="17590DFC" w14:textId="0456B1C3"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AMLA vypracuje návrh regulačných technických predpisov, ktoré stanovia všeobecné podmienky pre riadne fungovanie kolégií orgánov dohľadu v oblasti AML/CF</w:t>
      </w:r>
      <w:r w:rsidR="007E46F0">
        <w:rPr>
          <w:rFonts w:ascii="Times New Roman" w:hAnsi="Times New Roman"/>
          <w:sz w:val="24"/>
          <w:szCs w:val="24"/>
        </w:rPr>
        <w:t>T vo finančnom sektore (odsek 1</w:t>
      </w:r>
      <w:r w:rsidR="001E0A1D">
        <w:rPr>
          <w:rFonts w:ascii="Times New Roman" w:hAnsi="Times New Roman"/>
          <w:sz w:val="24"/>
          <w:szCs w:val="24"/>
        </w:rPr>
        <w:t>2</w:t>
      </w:r>
      <w:r w:rsidRPr="00146994">
        <w:rPr>
          <w:rFonts w:ascii="Times New Roman" w:hAnsi="Times New Roman"/>
          <w:sz w:val="24"/>
          <w:szCs w:val="24"/>
        </w:rPr>
        <w:t>).</w:t>
      </w:r>
    </w:p>
    <w:p w14:paraId="4E7A442E"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43:</w:t>
      </w:r>
    </w:p>
    <w:p w14:paraId="43966510"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Navrhované ustanovenie transponuje článok 50 smernice (EÚ) 2024/1640 a zavádza osobitný rámec pre zriaďovanie a fungovanie kolégií orgánov dohľadu v nefinančnom sektore. Účelom kolégií je zabezpečiť účinný a koordinovaný výkon dohľadu v prípadoch, keď povinná osoba alebo skupina povinných osôb v nefinančnom sektore pôsobí vo viacerých členských štátoch alebo tretích krajinách a jej činnosť preto podlieha pôsobnosti viacerých orgánov dohľadu. Samostatný výkon dohľadu jednotlivými vnútroštátnymi orgánmi bez vzájomnej koordinácie by pri cezhraničných štruktúrach mohol viesť k rozdielnemu posudzovaniu rizík, duplicite </w:t>
      </w:r>
      <w:proofErr w:type="spellStart"/>
      <w:r w:rsidRPr="00146994">
        <w:rPr>
          <w:rFonts w:ascii="Times New Roman" w:hAnsi="Times New Roman"/>
          <w:sz w:val="24"/>
          <w:szCs w:val="24"/>
          <w:lang w:eastAsia="sk-SK"/>
        </w:rPr>
        <w:t>dohľadových</w:t>
      </w:r>
      <w:proofErr w:type="spellEnd"/>
      <w:r w:rsidRPr="00146994">
        <w:rPr>
          <w:rFonts w:ascii="Times New Roman" w:hAnsi="Times New Roman"/>
          <w:sz w:val="24"/>
          <w:szCs w:val="24"/>
          <w:lang w:eastAsia="sk-SK"/>
        </w:rPr>
        <w:t xml:space="preserve"> činností, vzniku medzier v dohľade alebo k nejednotnému postupu pri odstraňovaní zistených nedostatkov. Kolégiá v nefinančnom sektore preto vytvárajú trvalý mechanizmus na výmenu relevantných informácií, poskytovanie vzájomnej pomoci, koordináciu </w:t>
      </w:r>
      <w:proofErr w:type="spellStart"/>
      <w:r w:rsidRPr="00146994">
        <w:rPr>
          <w:rFonts w:ascii="Times New Roman" w:hAnsi="Times New Roman"/>
          <w:sz w:val="24"/>
          <w:szCs w:val="24"/>
          <w:lang w:eastAsia="sk-SK"/>
        </w:rPr>
        <w:t>dohľadových</w:t>
      </w:r>
      <w:proofErr w:type="spellEnd"/>
      <w:r w:rsidRPr="00146994">
        <w:rPr>
          <w:rFonts w:ascii="Times New Roman" w:hAnsi="Times New Roman"/>
          <w:sz w:val="24"/>
          <w:szCs w:val="24"/>
          <w:lang w:eastAsia="sk-SK"/>
        </w:rPr>
        <w:t xml:space="preserve"> postupov a podľa okolností aj koordináciu opatrení prijímaných pri závažných porušeniach AML/CFT pravidiel. Úprava vychádza z princípu rizikovo </w:t>
      </w:r>
      <w:r w:rsidRPr="00146994">
        <w:rPr>
          <w:rFonts w:ascii="Times New Roman" w:hAnsi="Times New Roman"/>
          <w:sz w:val="24"/>
          <w:szCs w:val="24"/>
          <w:lang w:eastAsia="sk-SK"/>
        </w:rPr>
        <w:lastRenderedPageBreak/>
        <w:t>orientovaného dohľadu. Zriadenie a fungovanie kolégií má umožniť, aby jednotlivé orgány dohľadu získali ucelený obraz o rizikovom profile povinnej osoby alebo skupiny ako celku, vrátane rizík vznikajúcich z jej cezhraničného pôsobenia a z činností vykonávaných prostredníctvom organizačných jednotiek v iných členských štátoch alebo tretích krajinách.</w:t>
      </w:r>
    </w:p>
    <w:p w14:paraId="7BAFF42B"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Kolégium nie je samostatným orgánom dohľadu a nenahrádza právomoci jednotlivých príslušných orgánov dohľadu. Predstavuje platformu na koordináciu výkonu právomocí, ktoré jednotlivým orgánom dohľadu vyplývajú z ich vnútroštátneho práva, tohto zákona, nariadenia (EÚ) 2024/1624 a ďalších priamo uplatniteľných právnych aktov Únie. Ustanovenie zároveň upravuje zapojenie úradu AMLA, podmienky účasti orgánov dohľadu tretích krajín, ochranu dôverných informácií a mechanizmus riešenia nezhôd medzi členmi kolégia.</w:t>
      </w:r>
    </w:p>
    <w:p w14:paraId="28372243"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1 ustanovuje základné situácie, v ktorých môže príslušný orgán dohľadu v nefinančnom sektore zriadiť kolégium. Oprávnenie na zriadenie kolégia má orgán dohľadu, ktorý vykonáva dohľad nad materským podnikom skupiny povinných osôb v nefinančnom sektore alebo nad ústredím povinnej osoby. Ide o transpozíciu pravidla, podľa ktorého majú členské štáty zabezpečiť, aby príslušné orgány dohľadu v nefinančnom sektore mali právomoc vytvárať osobitné AML/CFT kolégiá, ak cezhraničná štruktúra povinnej osoby alebo skupiny dosiahne rozsah ustanovený smernicou.</w:t>
      </w:r>
    </w:p>
    <w:p w14:paraId="662A3BEE"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a) sa vzťahuje na povinnú osobu v nefinančnom sektore alebo skupinu takýchto povinných osôb, ktoré zriadili organizačné jednotky najmenej v dvoch ďalších členských štátoch odlišných od členského štátu, v ktorom sa nachádza ich ústredie. Cieľom je vytvoriť koordinačný mechanizmus pre prípady, keď cezhraničná štruktúra povinnej osoby vyvoláva potrebu spolupráce najmenej troch členských štátov.</w:t>
      </w:r>
    </w:p>
    <w:p w14:paraId="7D4A0042"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b) upravuje situáciu, keď subjekt z tretej krajiny podliehajúci AML/CFT požiadavkám, ktorý nie je úverovou inštitúciou ani finančnou inštitúciou, zriadil organizačné jednotky najmenej v troch členských štátoch. Ide o prípady, v ktorých sa ústredie subjektu nachádza mimo Únie, avšak jeho činnosť na území Únie dosahuje taký rozsah, že je potrebné koordinovať dohľad medzi viacerými členskými štátmi.</w:t>
      </w:r>
    </w:p>
    <w:p w14:paraId="1AF8EC46"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Písmeno c) umožňuje zriadenie kolégia aj v prípade, keď povinná osoba v nefinančnom sektore usadená v členskom štáte zriadila organizačné jednotky najmenej v dvoch tretích krajinách. Ide o osobitný mechanizmus spolupráce presahujúci vnútorný trh Únie, ktorého účelom je vytvoriť pri splnení potrebných podmienok rámec spolupráce aj s príslušnými orgánmi dohľadu tretích krajín.</w:t>
      </w:r>
    </w:p>
    <w:p w14:paraId="5A8CFC7D"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2 vymedzuje základné funkcie kolégia. Kolégiá slúžia predovšetkým na cezhraničnú výmenu informácií, poskytovanie vzájomnej pomoci a koordináciu prístupu k dohľadu nad povinnými osobami alebo ich skupinami. Výmena informácií umožňuje jednotlivým orgánom dohľadu získať informácie, ktoré by pri výlučne vnútroštátnom výkone dohľadu nemuseli mať k dispozícii. Ide najmä o poznatky o rizikovom profile povinnej osoby, zistených nedostatkoch, opatreniach uložených v inom členskom štáte, fungovaní vnútorných kontrolných mechanizmov a o ďalších skutočnostiach významných na posúdenie rizík na úrovni celej skupiny. Kolégium umožňuje koordinovať </w:t>
      </w:r>
      <w:proofErr w:type="spellStart"/>
      <w:r w:rsidRPr="00146994">
        <w:rPr>
          <w:rFonts w:ascii="Times New Roman" w:hAnsi="Times New Roman"/>
          <w:sz w:val="24"/>
          <w:szCs w:val="24"/>
          <w:lang w:eastAsia="sk-SK"/>
        </w:rPr>
        <w:t>dohľadový</w:t>
      </w:r>
      <w:proofErr w:type="spellEnd"/>
      <w:r w:rsidRPr="00146994">
        <w:rPr>
          <w:rFonts w:ascii="Times New Roman" w:hAnsi="Times New Roman"/>
          <w:sz w:val="24"/>
          <w:szCs w:val="24"/>
          <w:lang w:eastAsia="sk-SK"/>
        </w:rPr>
        <w:t xml:space="preserve"> prístup tak, aby jednotlivé orgány nevykonávali svoje činnosti izolovane alebo protichodne, ale aby ich postup zohľadňoval </w:t>
      </w:r>
      <w:r w:rsidRPr="00146994">
        <w:rPr>
          <w:rFonts w:ascii="Times New Roman" w:hAnsi="Times New Roman"/>
          <w:sz w:val="24"/>
          <w:szCs w:val="24"/>
          <w:lang w:eastAsia="sk-SK"/>
        </w:rPr>
        <w:lastRenderedPageBreak/>
        <w:t>celkový rizikový profil povinnej osoby alebo skupiny. V relevantných prípadoch môže spolupráca v kolégiu zahŕňať aj koordináciu vhodných a primeraných opatrení pri závažných porušeniach AML/CFT pravidiel zistených na úrovni skupiny, jednotlivých povinných osôb alebo ich organizačných jednotiek.</w:t>
      </w:r>
    </w:p>
    <w:p w14:paraId="6DBF370D"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3 rozširuje pôsobnosť pravidiel o kolégiách aj na osobitné štruktúry, ktoré nemusia mať formálnu podobu skupiny v tradičnom </w:t>
      </w:r>
      <w:proofErr w:type="spellStart"/>
      <w:r w:rsidRPr="00146994">
        <w:rPr>
          <w:rFonts w:ascii="Times New Roman" w:hAnsi="Times New Roman"/>
          <w:sz w:val="24"/>
          <w:szCs w:val="24"/>
          <w:lang w:eastAsia="sk-SK"/>
        </w:rPr>
        <w:t>korporátnom</w:t>
      </w:r>
      <w:proofErr w:type="spellEnd"/>
      <w:r w:rsidRPr="00146994">
        <w:rPr>
          <w:rFonts w:ascii="Times New Roman" w:hAnsi="Times New Roman"/>
          <w:sz w:val="24"/>
          <w:szCs w:val="24"/>
          <w:lang w:eastAsia="sk-SK"/>
        </w:rPr>
        <w:t xml:space="preserve"> zmysle, ale sú vzájomne prepojené spoločným vlastníctvom, riadením alebo kontrolou dodržiavania súladu. Ide najmä o siete alebo partnerstvá, na ktoré sa podľa článku 16 nariadenia (EÚ) 2024/1624 vzťahujú požiadavky uplatňované na úrovni celej skupiny. Cieľom je zabrániť tomu, aby sa cezhraničná koordinácia dohľadu obmedzovala iba na formálne skupiny spoločností, hoci z hľadiska AML/CFT riadenia, kontroly a rizík môže existovať obdobná miera vzájomného prepojenia aj medzi subjektmi fungujúcimi v sieťach, partnerstvách alebo obdobných štruktúrach.</w:t>
      </w:r>
    </w:p>
    <w:p w14:paraId="5BAFE049"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4 vymedzuje stálych členov kolégia. Stálym členom je predovšetkým orgán dohľadu v nefinančnom sektore, ktorý vykonáva dohľad nad materskou spoločnosťou skupiny alebo ústredím povinnej osoby. Ďalšími stálymi členmi sú orgány dohľadu v nefinančnom sektore zodpovedné za dohľad nad organizačnými jednotkami v hostiteľských členských štátoch. Do stáleho členstva sa zahŕňajú aj orgány dohľadu vykonávajúce dohľad nad povinnou osobou v inom členskom štáte v prípadoch, keď táto povinná osoba vykonáva činnosť v rámci slobody poskytovať služby a jej pôsobenie podlieha osobitným požiadavkám na povolenie a dohľadu príslušného orgánu. Takto vymedzené stále členstvo zabezpečuje, aby sa na činnosti kolégia pravidelne zúčastňovali tie orgány, ktoré vykonávajú priamy dohľad nad významnými časťami cezhraničnej činnosti povinnej osoby alebo skupiny.</w:t>
      </w:r>
    </w:p>
    <w:p w14:paraId="053C4663"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5 upravuje postup pre prípad, keď kolégium nebolo zriadené, hoci najmenej dva dotknuté orgány dohľadu považujú jeho zriadenie za potrebné. Pri posudzovaní potreby zriadenia kolégia sa prihliada najmä na riziká legalizácie a financovania terorizmu, ktorým je povinná osoba alebo skupina vystavená, a na rozsah jej cezhraničnej činnosti. Ak najmenej dva príslušné orgány dohľadu dospejú k záveru, že vzhľadom na uvedené okolnosti by kolégium malo byť zriadené, môžu svoje stanovisko predložiť orgánu dohľadu zodpovednému za materský podnik alebo ústredie povinnej osoby, úradu AMLA a ostatným dotknutým orgánom dohľadu v nefinančnom sektore.</w:t>
      </w:r>
    </w:p>
    <w:p w14:paraId="7464ECB9"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6 upravuje následný postup v prípade, keď ani po predložení stanoviska príslušný orgán dohľadu zodpovedný za materskú spoločnosť alebo ústredie povinnej osoby nepovažuje zriadenie kolégia za potrebné. V takom prípade môžu ostatné príslušné orgány dohľadu vytvoriť kolégium samostatne, ak sa na jeho činnosti zúčastnia najmenej dva orgány dohľadu. Orgán dohľadu nad materskou spoločnosťou alebo ústredím povinnej osoby zostáva informovaný o činnosti takto vytvoreného kolégia a má možnosť sa k nemu kedykoľvek pripojiť. Cieľom je zabrániť tomu, aby rozdielny názor jednotlivých orgánov na potrebu vytvorenia kolégia znemožnil koordinovaný dohľad v prípadoch, keď najmenej dva ďalšie príslušné orgány považujú vzhľadom na identifikované riziká a rozsah cezhraničnej činnosti koordináciu za potrebnú.</w:t>
      </w:r>
    </w:p>
    <w:p w14:paraId="5EDA6E37"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7 ustanovuje povinnosť orgánov dohľadu v nefinančnom sektore identifikovať cezhraničné štruktúry povinných osôb, ktoré sú relevantné pre uplatňovanie pravidiel o </w:t>
      </w:r>
      <w:r w:rsidRPr="00146994">
        <w:rPr>
          <w:rFonts w:ascii="Times New Roman" w:hAnsi="Times New Roman"/>
          <w:sz w:val="24"/>
          <w:szCs w:val="24"/>
          <w:lang w:eastAsia="sk-SK"/>
        </w:rPr>
        <w:lastRenderedPageBreak/>
        <w:t>kolégiách. Orgán dohľadu identifikuje povinné osoby so sídlom alebo ústredím v Slovenskej republike, ktoré majú organizačné jednotky v iných členských štátoch alebo tretích krajinách, ako aj jednotlivé organizačné jednotky týchto subjektov. Zároveň identifikuje organizačné jednotky nachádzajúce sa na území Slovenskej republiky, ktoré boli zriadené povinnými osobami z iných členských štátov alebo tretích krajín. Táto identifikačná povinnosť je základným predpokladom praktického fungovania systému kolégií. Orgán dohľadu musí mať dostatočný prehľad o cezhraničnom pôsobení subjektov patriacich do jeho pôsobnosti, aby mohol posúdiť, či sú splnené podmienky na zriadenie kolégia a ktoré zahraničné orgány dohľadu majú byť do spolupráce zapojené.</w:t>
      </w:r>
    </w:p>
    <w:p w14:paraId="7CC31B4E"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8 umožňuje prizvať ako pozorovateľa orgán dohľadu v nefinančnom sektore z členského štátu, v ktorom povinná osoba vykonáva činnosti v rámci slobody poskytovať služby. Ide o prípady, keď povinná osoba pôsobí cezhranične bez zriadenia organizačnej jednotky. Aj takáto činnosť však môže mať z hľadiska AML/CFT významný rozsah a môže byť relevantná pre celkové hodnotenie rizík povinnej osoby.</w:t>
      </w:r>
    </w:p>
    <w:p w14:paraId="63FB6BAE"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9 rieši vzťah kolégia v nefinančnom sektore k dohľadu nad úverovými alebo finančnými inštitúciami, ktoré sú súčasťou príslušnej skupiny. Ak skupina zahŕňa banku alebo finančnú inštitúciu a súčasne neboli splnené podmienky na zriadenie samostatného kolégia podľa § 42, orgán dohľadu v nefinančnom sektore zriaďujúci kolégium vyzve príslušný orgán finančného dohľadu na účasť v kolégiu. Cieľom je zabezpečiť, aby prítomnosť subjektov finančného sektora v inak prevažne nefinančnej skupine neviedla k oddelenému alebo neúplnému hodnoteniu skupinových AML/CFT rizík.</w:t>
      </w:r>
    </w:p>
    <w:p w14:paraId="3F5EE53A"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10 upravuje možnosť prizvať orgán dohľadu pôsobiaci v tretej krajine pri zriaďovaní kolégia v prípadoch podľa odseku 1 písm. c). Ide o prípady, keď povinná osoba usadená v Únii zriadila organizačné jednotky najmenej v dvoch tretích krajinách. Zapojenie orgánov dohľadu tretích krajín môže významne prispieť k efektívnemu dohľadu nad cezhraničnými činnosťami a k získaniu informácií o fungovaní organizačných jednotiek mimo Únie.</w:t>
      </w:r>
    </w:p>
    <w:p w14:paraId="368CB4F1"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11 ustanovuje povinnosť orgánov dohľadu zúčastnených v kolégiu uzavrieť písomnú dohodu, ktorá podrobne upraví podmienky a postupy spolupráce a výmeny informácií. Písomná dohoda predstavuje základný procesný rámec fungovania konkrétneho kolégia. Jej cieľom je vopred a jednoznačne upraviť najmä spôsob výmeny informácií, komunikačné mechanizmy, koordináciu </w:t>
      </w:r>
      <w:proofErr w:type="spellStart"/>
      <w:r w:rsidRPr="00146994">
        <w:rPr>
          <w:rFonts w:ascii="Times New Roman" w:hAnsi="Times New Roman"/>
          <w:sz w:val="24"/>
          <w:szCs w:val="24"/>
          <w:lang w:eastAsia="sk-SK"/>
        </w:rPr>
        <w:t>dohľadových</w:t>
      </w:r>
      <w:proofErr w:type="spellEnd"/>
      <w:r w:rsidRPr="00146994">
        <w:rPr>
          <w:rFonts w:ascii="Times New Roman" w:hAnsi="Times New Roman"/>
          <w:sz w:val="24"/>
          <w:szCs w:val="24"/>
          <w:lang w:eastAsia="sk-SK"/>
        </w:rPr>
        <w:t xml:space="preserve"> činností, úlohy jednotlivých členov a podmienky nakladania s informáciami získanými v rámci kolégia. Ak je kolégium zriadené vo vzťahu k povinným osobám uvedeným v článku 3 bode 3 písm. a) a b) nariadenia (EÚ) 2024/1624 alebo k ich skupinám, dohoda musí obsahovať aj postupy zabezpečujúce rešpektovanie obmedzení podľa článku 21 ods. 2 uvedeného nariadenia. Cieľom osobitnej ochrany je zabezpečiť, aby pri výmene informácií v rámci kolégia nedošlo k sprístupneniu informácií, ktoré podliehajú osobitnému režimu ochrany v súvislosti s poskytovaním právnych služieb, pokiaľ nie sú splnené podmienky ustanovené priamo uplatniteľným právom Únie.</w:t>
      </w:r>
    </w:p>
    <w:p w14:paraId="4F065758"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12 upravuje účasť úradu AMLA na zasadnutiach kolégia. Orgán dohľadu v nefinančnom sektore je povinný umožniť úradu AMLA účasť v postavení pozorovateľa, ak o to AMLA požiada. Účasť AMLA podporuje zbližovanie </w:t>
      </w:r>
      <w:proofErr w:type="spellStart"/>
      <w:r w:rsidRPr="00146994">
        <w:rPr>
          <w:rFonts w:ascii="Times New Roman" w:hAnsi="Times New Roman"/>
          <w:sz w:val="24"/>
          <w:szCs w:val="24"/>
          <w:lang w:eastAsia="sk-SK"/>
        </w:rPr>
        <w:t>dohľadových</w:t>
      </w:r>
      <w:proofErr w:type="spellEnd"/>
      <w:r w:rsidRPr="00146994">
        <w:rPr>
          <w:rFonts w:ascii="Times New Roman" w:hAnsi="Times New Roman"/>
          <w:sz w:val="24"/>
          <w:szCs w:val="24"/>
          <w:lang w:eastAsia="sk-SK"/>
        </w:rPr>
        <w:t xml:space="preserve"> postupov v členských štátoch, </w:t>
      </w:r>
      <w:r w:rsidRPr="00146994">
        <w:rPr>
          <w:rFonts w:ascii="Times New Roman" w:hAnsi="Times New Roman"/>
          <w:sz w:val="24"/>
          <w:szCs w:val="24"/>
          <w:lang w:eastAsia="sk-SK"/>
        </w:rPr>
        <w:lastRenderedPageBreak/>
        <w:t>výmenu skúseností medzi jednotlivými kolégiami a konzistentné uplatňovanie AML/CFT pravidiel v rámci Európskej únie.</w:t>
      </w:r>
    </w:p>
    <w:p w14:paraId="4151A3FC"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13 ustanovuje podmienky, za ktorých sa môžu orgány dohľadu tretích krajín zúčastniť kolégia ako pozorovatelia. Takáto účasť je možná najmä v prípadoch, keď ide o subjekt z tretej krajiny s organizačnými jednotkami v členských štátoch alebo keď povinné osoby či skupiny z členského štátu pôsobia prostredníctvom pobočiek alebo dcérskych spoločností v tretích krajinách. Zapojenie orgánov tretích krajín je podmienené ich žiadosťou a súhlasom členov kolégia alebo dohodou členov na ich prizvaní. Zároveň musia byť dodržané pravidlá Únie o ochrane osobných údajov pri prenose údajov do tretích krajín. Orgán dohľadu tretej krajiny musí pristúpiť k písomnej dohode o spolupráci a musí byť pripravený zdieľať relevantné informácie, ktoré má k dispozícii a ktoré sú potrebné na dohľad nad povinnou osobou alebo skupinou. Nevyhnutnou podmienkou je tiež zabezpečenie ochrany služobného tajomstva na úrovni najmenej rovnocennej ochrane vyžadovanej právom Európskej únie a týmto zákonom. Informácie získané v rámci kolégia sa môžu používať výlučne na účely plnenia </w:t>
      </w:r>
      <w:proofErr w:type="spellStart"/>
      <w:r w:rsidRPr="00146994">
        <w:rPr>
          <w:rFonts w:ascii="Times New Roman" w:hAnsi="Times New Roman"/>
          <w:sz w:val="24"/>
          <w:szCs w:val="24"/>
          <w:lang w:eastAsia="sk-SK"/>
        </w:rPr>
        <w:t>dohľadových</w:t>
      </w:r>
      <w:proofErr w:type="spellEnd"/>
      <w:r w:rsidRPr="00146994">
        <w:rPr>
          <w:rFonts w:ascii="Times New Roman" w:hAnsi="Times New Roman"/>
          <w:sz w:val="24"/>
          <w:szCs w:val="24"/>
          <w:lang w:eastAsia="sk-SK"/>
        </w:rPr>
        <w:t xml:space="preserve"> úloh zúčastnených orgánov. Účelom týchto podmienok je umožniť užitočnú spoluprácu s tretími krajinami bez zníženia úrovne ochrany údajov, dôvernosti a služobného tajomstva požadovanej v rámci Únie.</w:t>
      </w:r>
    </w:p>
    <w:p w14:paraId="740CCC4A"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14 zavádza povinnosť vykonať pred zapojením orgánu dohľadu tretej krajiny posúdenie splnenia zákonom ustanovených podmienok jeho účasti. Posúdenie sa vykonáva ešte predtým, ako je orgánu dohľadu tretej krajiny umožnené pripojiť sa ku kolégiu. Cieľom je overiť, či sú vytvorené dostatočné záruky najmä z hľadiska ochrany údajov, dôvernosti, služobného tajomstva, účelového používania informácií a schopnosti orgánu tretej krajiny poskytovať relevantné informácie. Pri vykonávaní posúdenia možno požiadať o podporu úrad AMLA, čím sa podporuje jednotnejšie posudzovanie primeranosti podmienok spolupráce s orgánmi tretích krajín v rámci </w:t>
      </w:r>
      <w:proofErr w:type="spellStart"/>
      <w:r w:rsidRPr="00146994">
        <w:rPr>
          <w:rFonts w:ascii="Times New Roman" w:hAnsi="Times New Roman"/>
          <w:sz w:val="24"/>
          <w:szCs w:val="24"/>
          <w:lang w:eastAsia="sk-SK"/>
        </w:rPr>
        <w:t>Úúnie</w:t>
      </w:r>
      <w:proofErr w:type="spellEnd"/>
      <w:r w:rsidRPr="00146994">
        <w:rPr>
          <w:rFonts w:ascii="Times New Roman" w:hAnsi="Times New Roman"/>
          <w:sz w:val="24"/>
          <w:szCs w:val="24"/>
          <w:lang w:eastAsia="sk-SK"/>
        </w:rPr>
        <w:t>.</w:t>
      </w:r>
    </w:p>
    <w:p w14:paraId="2A06399B"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15 umožňuje stálym členom kolégia prizvať ďalších pozorovateľov, ak to považujú za potrebné a sú dodržané požiadavky na zachovanie dôvernosti. Ide o flexibilný mechanizmus umožňujúci zapojiť do činnosti kolégia ďalšie orgány alebo subjekty, ktorých odborné poznatky alebo informácie môžu byť relevantné pre konkrétnu </w:t>
      </w:r>
      <w:proofErr w:type="spellStart"/>
      <w:r w:rsidRPr="00146994">
        <w:rPr>
          <w:rFonts w:ascii="Times New Roman" w:hAnsi="Times New Roman"/>
          <w:sz w:val="24"/>
          <w:szCs w:val="24"/>
          <w:lang w:eastAsia="sk-SK"/>
        </w:rPr>
        <w:t>dohľadovú</w:t>
      </w:r>
      <w:proofErr w:type="spellEnd"/>
      <w:r w:rsidRPr="00146994">
        <w:rPr>
          <w:rFonts w:ascii="Times New Roman" w:hAnsi="Times New Roman"/>
          <w:sz w:val="24"/>
          <w:szCs w:val="24"/>
          <w:lang w:eastAsia="sk-SK"/>
        </w:rPr>
        <w:t xml:space="preserve"> problematiku. Medzi takýchto pozorovateľov môžu patriť aj finančné spravodajské jednotky. Účasť finančnej spravodajskej jednotky môže byť významná najmä v prípadoch, keď sú predmetom činnosti kolégia riziká alebo poznatky, pri ktorých je relevantná analytická alebo strategická expertíza FIU.</w:t>
      </w:r>
    </w:p>
    <w:p w14:paraId="4BDCB990"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16 upravuje mechanizmus riešenia nezhôd medzi členmi kolégia. Ak sa členovia kolégia nezhodnú na opatreniach, ktoré by mali byť prijaté vo vzťahu ku konkrétnej povinnej osobe, môžu vec postúpiť úradu AMLA a požiadať ho o pomoc podľa nariadenia (EÚ) 2024/1620. Účelom je vytvoriť mechanizmus na riešenie situácií, keď rozdielne hodnotenie rizík alebo rozdielny </w:t>
      </w:r>
      <w:proofErr w:type="spellStart"/>
      <w:r w:rsidRPr="00146994">
        <w:rPr>
          <w:rFonts w:ascii="Times New Roman" w:hAnsi="Times New Roman"/>
          <w:sz w:val="24"/>
          <w:szCs w:val="24"/>
          <w:lang w:eastAsia="sk-SK"/>
        </w:rPr>
        <w:t>dohľadový</w:t>
      </w:r>
      <w:proofErr w:type="spellEnd"/>
      <w:r w:rsidRPr="00146994">
        <w:rPr>
          <w:rFonts w:ascii="Times New Roman" w:hAnsi="Times New Roman"/>
          <w:sz w:val="24"/>
          <w:szCs w:val="24"/>
          <w:lang w:eastAsia="sk-SK"/>
        </w:rPr>
        <w:t xml:space="preserve"> prístup jednotlivých orgánov bránia dosiahnutiu koordinovaného postupu. Postúpenie veci úradu AMLA nemení základné rozdelenie právomocí medzi vnútroštátne orgány dohľadu, ale poskytuje mechanizmus odbornej a koordinačnej pomoci pri riešení cezhraničných nezhôd.</w:t>
      </w:r>
    </w:p>
    <w:p w14:paraId="6DC7A360"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44:</w:t>
      </w:r>
    </w:p>
    <w:p w14:paraId="1ED38074"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lastRenderedPageBreak/>
        <w:t>Navrhované ustanovenie transponuje článok 51 smernice (EÚ) 2024/1640 a upravuje podmienky spolupráce a výmeny dôverných informácií medzi orgánmi dohľadu Slovenskej republiky a príslušnými orgánmi dohľadu tretích štátov. Cieľom ustanovenia je umožniť účinný výkon AML/CFT dohľadu aj v prípadoch s väzbou na tretie krajiny a súčasne zabezpečiť, aby pri cezhraničnej výmene informácií zostala zachovaná primeraná úroveň ich dôvernosti, ochrany osobných údajov a účelového obmedzenia ich použitia. Spolupráca s orgánmi dohľadu tretích krajín má význam najmä pri povinných osobách alebo skupinách pôsobiacich vo viacerých jurisdikciách, pri cezhraničných obchodných modeloch alebo v prípadoch, keď sa informácie potrebné na riadne posúdenie AML/CFT rizika nachádzajú mimo Únie. Keďže výmenou informácií s treťou krajinou sa informácie dostávajú mimo rámca spolupráce orgánov členských štátov Únie, ustanovujú sa osobitné podmienky, ktorých cieľom je zabrániť oslabeniu ochrany dôverných informácií.</w:t>
      </w:r>
    </w:p>
    <w:p w14:paraId="32F3AF3E"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1 ustanovuje základné podmienky, za ktorých môžu orgány dohľadu spolupracovať a vymieňať si dôverné informácie s príslušnými orgánmi dohľadu tretích krajín. Takáto spolupráca je prípustná na účely výkonu dohľadu nad povinnými osobami a musí byť založená na písomnej dohode o vzájomnej spolupráci. Nevyhnutným predpokladom uzavretia dohody je, aby v treťom štáte boli zabezpečené požiadavky na zachovávanie mlčanlivosti a ochranu osobných údajov, ktoré sú rovnocenné s požiadavkami vyplývajúcimi z vnútroštátnej a európskej právnej úpravy. Požiadavka rovnocennosti má zabrániť tomu, aby dôverné informácie získané pri AML/CFT dohľade boli odovzdané orgánu, pri ktorom nie sú vytvorené dostatočné právne záruky proti ich neoprávnenému použitiu, sprístupneniu alebo ďalšiemu poskytovaniu. Dohodu možno uzavrieť iba na základe vzájomnosti. Predpokladá sa teda porovnateľná možnosť oboch strán poskytovať si informácie a spolupracovať pri výkone dohľadu. Orgán dohľadu oznámi uzavretie takejto dohody úradu AMLA do jedného mesiaca od jej uzavretia. Táto informačná povinnosť umožňuje úradu AMLA získať prehľad o mechanizmoch spolupráce vytvorených medzi orgánmi dohľadu členských štátov a tretích krajín.</w:t>
      </w:r>
    </w:p>
    <w:p w14:paraId="4996B3D7"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2 ustanovuje zásadu účelového obmedzenia použitia dôverných informácií získaných na základe dohody podľa odseku 1. Takto získané informácie možno zásadne použiť iba na účely výkonu dohľadu. Ich použitie na iný účel, ďalšie sprístupnenie, poskytnutie alebo zverejnenie je možné iba s predchádzajúcim písomným súhlasom orgánu, ktorý informáciu poskytol. Ustanovenie vychádza zo zásady, že orgán, ktorý dôvernú informáciu poskytuje, si zachováva kontrolu nad jej ďalším použitím mimo pôvodne dohodnutého účelu.</w:t>
      </w:r>
    </w:p>
    <w:p w14:paraId="357E2289"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3 ustanovuje zvýšenú ochranu informácií, ktoré slovenský orgán dohľadu nezískal vlastnou činnosťou, ale od orgánu dohľadu iného členského štátu. Takúto informáciu možno následne poskytnúť orgánu dohľadu tretej krajiny iba s predchádzajúcim písomným súhlasom orgánu dohľadu členského štátu, ktorý ju pôvodne poskytol. Ustanovenie chráni dôvernosť informácií v rámci európskeho systému dohľadu a zabraňuje ich ďalšiemu prenosu mimo Únie bez vedomia a súhlasu pôvodného poskytovateľa.</w:t>
      </w:r>
    </w:p>
    <w:p w14:paraId="42FFBD08"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4 umožňuje orgánu dohľadu požiadať úrad AMLA o pomoc pri posúdení, či príslušný orgán dohľadu tretej krajiny spĺňa rovnocenné požiadavky na zachovávanie mlčanlivosti. Posúdenie právneho režimu tretej krajiny môže byť vzhľadom na rozdielnosť jednotlivých </w:t>
      </w:r>
      <w:r w:rsidRPr="00146994">
        <w:rPr>
          <w:rFonts w:ascii="Times New Roman" w:hAnsi="Times New Roman"/>
          <w:sz w:val="24"/>
          <w:szCs w:val="24"/>
          <w:lang w:eastAsia="sk-SK"/>
        </w:rPr>
        <w:lastRenderedPageBreak/>
        <w:t>právnych poriadkov odborne a prakticky náročné. Zapojenie úradu AMLA umožňuje využiť jeho odborné kapacity a súčasne podporuje jednotnejší prístup orgánov dohľadu členských štátov pri hodnotení podmienok spolupráce s tretími krajinami.</w:t>
      </w:r>
    </w:p>
    <w:p w14:paraId="6803BEE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b/>
          <w:bCs/>
          <w:sz w:val="24"/>
          <w:szCs w:val="24"/>
          <w:u w:val="single"/>
        </w:rPr>
        <w:t>K § 45:</w:t>
      </w:r>
    </w:p>
    <w:p w14:paraId="72BEE24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Ustanovenie vytvára právny rámec na spoluprácu Národnej banky Slovenska s vnútroštátnymi orgánmi, orgánmi iných členských štátov a orgánmi a úradmi Európskej únie pri výkone dohľadu nad povinnými osobami vo finančnom sektore. </w:t>
      </w:r>
    </w:p>
    <w:p w14:paraId="1FFBB98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Účelom právnej úpravy je zabezpečiť, aby Národná banka Slovenska mala pri plnení svojich úloh k dispozícii informácie potrebné na komplexné posúdenie rizikového profilu povinnej osoby a aby relevantné zistenia z AML/CFT dohľadu mohli byť zohľadnené aj pri výkone </w:t>
      </w:r>
      <w:proofErr w:type="spellStart"/>
      <w:r w:rsidRPr="00146994">
        <w:rPr>
          <w:rFonts w:ascii="Times New Roman" w:hAnsi="Times New Roman"/>
          <w:sz w:val="24"/>
          <w:szCs w:val="24"/>
        </w:rPr>
        <w:t>prudenciálneho</w:t>
      </w:r>
      <w:proofErr w:type="spellEnd"/>
      <w:r w:rsidRPr="00146994">
        <w:rPr>
          <w:rFonts w:ascii="Times New Roman" w:hAnsi="Times New Roman"/>
          <w:sz w:val="24"/>
          <w:szCs w:val="24"/>
        </w:rPr>
        <w:t xml:space="preserve"> dohľadu, najmä pri posudzovaní vnútorného riadenia finančnej inštitúcie a jednotlivých rizík, ktorým je alebo môže byť finančná inštitúcia vystavená, ako aj pri príprave a realizácii opatrení krízového riadenia. </w:t>
      </w:r>
    </w:p>
    <w:p w14:paraId="1708392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Ustanovenie preto umožňuje výmenu informácií v širšom okruhu príslušných orgánov a spolupracujúcich subjektov, ak je takáto výmena nevyhnutná na plnenie ich zákonných úloh. Zahrnutie osôb, ktoré majú zmluvný vzťah s príslušnými orgánmi, zohľadňuje skutočnosť, že niektoré odborné, technické alebo podporné činnosti môžu orgány verejnej moci zabezpečovať prostredníctvom externých osôb. Prístup takýchto osôb k informáciám je však viazaný na účel spolupráce a podlieha rovnakým požiadavkám na ochranu dôverných informácií.</w:t>
      </w:r>
    </w:p>
    <w:p w14:paraId="31850B8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Prelomenie povinnosti mlčanlivosti sa ustanovuje výlučne na účely zákonom predpokladanej spolupráce. Nejde o všeobecné sprístupnenie informácií, ale o osobitný právny titul umožňujúci ich odovzdanie presne vymedzenému okruhu orgánov a osôb, ak je to potrebné na plnenie ich úloh. Tým sa odstraňuje riziko, že by povinnosť mlčanlivosti bránila včasnej a účinnej koordinácii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spravodajských alebo krízových opatrení.</w:t>
      </w:r>
    </w:p>
    <w:p w14:paraId="5817C74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Súčasne sa ustanovujú materiálne a procesné záruky proti neoprávnenému použitiu alebo ďalšiemu šíreniu získaných informácií. Informácie možno používať len na zákonom určené </w:t>
      </w:r>
      <w:proofErr w:type="spellStart"/>
      <w:r w:rsidRPr="00146994">
        <w:rPr>
          <w:rFonts w:ascii="Times New Roman" w:hAnsi="Times New Roman"/>
          <w:sz w:val="24"/>
          <w:szCs w:val="24"/>
        </w:rPr>
        <w:t>dohľadové</w:t>
      </w:r>
      <w:proofErr w:type="spellEnd"/>
      <w:r w:rsidRPr="00146994">
        <w:rPr>
          <w:rFonts w:ascii="Times New Roman" w:hAnsi="Times New Roman"/>
          <w:sz w:val="24"/>
          <w:szCs w:val="24"/>
        </w:rPr>
        <w:t xml:space="preserve">, sankčné a konania s nimi bezprostredne súvisiace. </w:t>
      </w:r>
    </w:p>
    <w:p w14:paraId="2345DAF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Výnimka z informačnej výmeny chráni integritu činnosti Finančnej spravodajskej jednotky, ako aj priebeh trestného stíhania alebo správneho konania. Informácia sa preto neposkytne, ak by jej sprístupnenie mohlo viesť k prezradeniu preverovania podozrivej transakcie, narušiť spravodajskú analýzu, upozorniť dotknutú osobu na záujem príslušných orgánov alebo inak ohroziť účel prebiehajúceho konania. Ustanovenie tým vyvažuje potrebu </w:t>
      </w:r>
      <w:proofErr w:type="spellStart"/>
      <w:r w:rsidRPr="00146994">
        <w:rPr>
          <w:rFonts w:ascii="Times New Roman" w:hAnsi="Times New Roman"/>
          <w:sz w:val="24"/>
          <w:szCs w:val="24"/>
        </w:rPr>
        <w:t>medziinštitucionálnej</w:t>
      </w:r>
      <w:proofErr w:type="spellEnd"/>
      <w:r w:rsidRPr="00146994">
        <w:rPr>
          <w:rFonts w:ascii="Times New Roman" w:hAnsi="Times New Roman"/>
          <w:sz w:val="24"/>
          <w:szCs w:val="24"/>
        </w:rPr>
        <w:t xml:space="preserve"> spolupráce s požiadavkou zachovať dôvernosť citlivých operatívnych informácií.</w:t>
      </w:r>
    </w:p>
    <w:p w14:paraId="49ED471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Odsekmi 5 a 6 sa zabezpečuje prepojenie dohľadu v oblasti AML/CFT s </w:t>
      </w:r>
      <w:proofErr w:type="spellStart"/>
      <w:r w:rsidRPr="00146994">
        <w:rPr>
          <w:rFonts w:ascii="Times New Roman" w:hAnsi="Times New Roman"/>
          <w:sz w:val="24"/>
          <w:szCs w:val="24"/>
        </w:rPr>
        <w:t>prudenciálnym</w:t>
      </w:r>
      <w:proofErr w:type="spellEnd"/>
      <w:r w:rsidRPr="00146994">
        <w:rPr>
          <w:rFonts w:ascii="Times New Roman" w:hAnsi="Times New Roman"/>
          <w:sz w:val="24"/>
          <w:szCs w:val="24"/>
        </w:rPr>
        <w:t xml:space="preserve"> dohľadom nad bankami. Nedostatky v systéme vnútorných kontrol alebo v uplatňovaní príslušných opatrení môžu poukazovať na širšie nedostatky v systéme správy a riadenia banky a ovplyvniť jej celkový rizikový profil. Zistenia, ktoré vedú alebo môžu viesť k zvýšeniu rizika legalizácie výnosov z trestnej činnosti, financovania terorizmu alebo neuplatňovania či obchádzania medzinárodných sankcií, sa preto bezodkladne oznamujú Európskemu orgánu pre bankovníctvo alebo Európskej centrálnej  banke. Pri významných bankách sa zohľadňuje rozdelenie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kompetencií v rámci jednotného mechanizmu dohľadu. Spoločné </w:t>
      </w:r>
      <w:r w:rsidRPr="00146994">
        <w:rPr>
          <w:rFonts w:ascii="Times New Roman" w:hAnsi="Times New Roman"/>
          <w:sz w:val="24"/>
          <w:szCs w:val="24"/>
        </w:rPr>
        <w:lastRenderedPageBreak/>
        <w:t xml:space="preserve">posúdenie Národnej banky Slovenska a Európskej centrálnej banky má zabezpečiť jednotné vyhodnotenie vplyvu zistených nedostatkov na rizikový profil banky a koordináciu ďalšieho </w:t>
      </w:r>
      <w:proofErr w:type="spellStart"/>
      <w:r w:rsidRPr="00146994">
        <w:rPr>
          <w:rFonts w:ascii="Times New Roman" w:hAnsi="Times New Roman"/>
          <w:sz w:val="24"/>
          <w:szCs w:val="24"/>
        </w:rPr>
        <w:t>dohľadového</w:t>
      </w:r>
      <w:proofErr w:type="spellEnd"/>
      <w:r w:rsidRPr="00146994">
        <w:rPr>
          <w:rFonts w:ascii="Times New Roman" w:hAnsi="Times New Roman"/>
          <w:sz w:val="24"/>
          <w:szCs w:val="24"/>
        </w:rPr>
        <w:t xml:space="preserve"> postupu. Informovanie Európskeho orgánu pre bankovníctvo a úradu AMLA umožní zohľadniť tieto zistenia pri podpore spolupráce a zbližovania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postupov na úrovni Európskej únie. Ustanovenie nemení kompetencie dotknutých orgánov, ale vytvára mechanizmus na včasnú výmenu a koordinované posúdenie relevantných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zistení.</w:t>
      </w:r>
    </w:p>
    <w:p w14:paraId="2ECBFFC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7 upravuje informačnú súčinnosť medzi Národnou bankou Slovenska a Radou pre riešenie krízových situácií</w:t>
      </w:r>
      <w:r w:rsidRPr="00146994">
        <w:rPr>
          <w:rFonts w:ascii="Times New Roman" w:hAnsi="Times New Roman"/>
          <w:sz w:val="24"/>
          <w:szCs w:val="24"/>
          <w:vertAlign w:val="superscript"/>
        </w:rPr>
        <w:t xml:space="preserve"> </w:t>
      </w:r>
      <w:r w:rsidRPr="00146994">
        <w:rPr>
          <w:rFonts w:ascii="Times New Roman" w:hAnsi="Times New Roman"/>
          <w:sz w:val="24"/>
          <w:szCs w:val="24"/>
        </w:rPr>
        <w:t>a Fondom na ochranu vkladov v situáciách, ak hrozí neschopnosť banky vyplácať vklady alebo ak banka, pobočka zahraničnej banky so sídlom mimo územia členského štátu alebo obchodník s cennými papiermi zlyháva alebo sa javí, že v blízkej dobe zlyhá. V takýchto prípadoch môžu byť informácie o pozastavených transakciách, účtoch alebo obchodných vzťahoch významné pre posúdenie rozsahu dostupných aktív, štruktúry záväzkov, uskutočniteľnosti riešenia krízovej situácie alebo zabezpečenia výplaty náhrad za nedostupné vklady. Poskytnutie informácií orgánom krízového riadenia a systému ochrany vkladov sa preto viaže na existenciu konkrétnej krízovej situácie, predchádzajúce oznámenie príslušným orgánom a ich žiadosť. Takto vymedzený režim zabezpečuje, aby sa citlivé informácie poskytovali len v rozsahu a v čase, keď sú objektívne potrebné na ochranu finančnej stability a vkladateľov.</w:t>
      </w:r>
    </w:p>
    <w:p w14:paraId="6320AD17" w14:textId="1A8E45DE" w:rsidR="00146994" w:rsidRPr="00146994" w:rsidRDefault="00761ABB" w:rsidP="00146994">
      <w:pPr>
        <w:spacing w:after="120" w:line="276" w:lineRule="auto"/>
        <w:jc w:val="both"/>
        <w:rPr>
          <w:rFonts w:ascii="Times New Roman" w:hAnsi="Times New Roman"/>
          <w:sz w:val="24"/>
          <w:szCs w:val="24"/>
        </w:rPr>
      </w:pPr>
      <w:r>
        <w:rPr>
          <w:rFonts w:ascii="Times New Roman" w:hAnsi="Times New Roman"/>
          <w:sz w:val="24"/>
          <w:szCs w:val="24"/>
        </w:rPr>
        <w:t>O</w:t>
      </w:r>
      <w:r w:rsidR="00146994" w:rsidRPr="00146994">
        <w:rPr>
          <w:rFonts w:ascii="Times New Roman" w:hAnsi="Times New Roman"/>
          <w:sz w:val="24"/>
          <w:szCs w:val="24"/>
        </w:rPr>
        <w:t>dsek</w:t>
      </w:r>
      <w:r>
        <w:rPr>
          <w:rFonts w:ascii="Times New Roman" w:hAnsi="Times New Roman"/>
          <w:sz w:val="24"/>
          <w:szCs w:val="24"/>
        </w:rPr>
        <w:t xml:space="preserve"> 8: R</w:t>
      </w:r>
      <w:r w:rsidR="00146994" w:rsidRPr="00146994">
        <w:rPr>
          <w:rFonts w:ascii="Times New Roman" w:hAnsi="Times New Roman"/>
          <w:sz w:val="24"/>
          <w:szCs w:val="24"/>
        </w:rPr>
        <w:t xml:space="preserve">očná správa predkladaná úradu AMLA </w:t>
      </w:r>
      <w:bookmarkStart w:id="0" w:name="_GoBack"/>
      <w:bookmarkEnd w:id="0"/>
      <w:r w:rsidR="00146994" w:rsidRPr="00146994">
        <w:rPr>
          <w:rFonts w:ascii="Times New Roman" w:hAnsi="Times New Roman"/>
          <w:sz w:val="24"/>
          <w:szCs w:val="24"/>
        </w:rPr>
        <w:t xml:space="preserve">má slúžiť na pravidelné vyhodnocovanie fungovania spolupráce medzi AML/CFT dohľadom, </w:t>
      </w:r>
      <w:proofErr w:type="spellStart"/>
      <w:r w:rsidR="00146994" w:rsidRPr="00146994">
        <w:rPr>
          <w:rFonts w:ascii="Times New Roman" w:hAnsi="Times New Roman"/>
          <w:sz w:val="24"/>
          <w:szCs w:val="24"/>
        </w:rPr>
        <w:t>prudenciálnymi</w:t>
      </w:r>
      <w:proofErr w:type="spellEnd"/>
      <w:r w:rsidR="00146994" w:rsidRPr="00146994">
        <w:rPr>
          <w:rFonts w:ascii="Times New Roman" w:hAnsi="Times New Roman"/>
          <w:sz w:val="24"/>
          <w:szCs w:val="24"/>
        </w:rPr>
        <w:t xml:space="preserve"> orgánmi a orgánmi systému ochrany vkladov. Jej účelom je umožniť úradu AMLA identifikovať nedostatky v informačnej výmene, rozdiely vo vnútroštátnej praxi a oblasti, v ktorých je potrebné posilniť koordináciu alebo zbližovať </w:t>
      </w:r>
      <w:proofErr w:type="spellStart"/>
      <w:r w:rsidR="00146994" w:rsidRPr="00146994">
        <w:rPr>
          <w:rFonts w:ascii="Times New Roman" w:hAnsi="Times New Roman"/>
          <w:sz w:val="24"/>
          <w:szCs w:val="24"/>
        </w:rPr>
        <w:t>dohľadové</w:t>
      </w:r>
      <w:proofErr w:type="spellEnd"/>
      <w:r w:rsidR="00146994" w:rsidRPr="00146994">
        <w:rPr>
          <w:rFonts w:ascii="Times New Roman" w:hAnsi="Times New Roman"/>
          <w:sz w:val="24"/>
          <w:szCs w:val="24"/>
        </w:rPr>
        <w:t xml:space="preserve"> postupy. Oznamovacia povinnosť má zároveň podporovať transparentnosť a zodpovednosť príslušných orgánov pri uplatňovaní mechanizmov spolupráce.</w:t>
      </w:r>
    </w:p>
    <w:p w14:paraId="779D3AD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b/>
          <w:bCs/>
          <w:sz w:val="24"/>
          <w:szCs w:val="24"/>
          <w:u w:val="single"/>
        </w:rPr>
        <w:t>K § 46:</w:t>
      </w:r>
    </w:p>
    <w:p w14:paraId="65E77B75"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Navrhované ustanovenie transponuje články 65 a 66 smernice (EÚ) 2024/1640 a upravuje osobitný mechanizmus spolupráce a výmeny informácií medzi Finančnou spravodajskou jednotkou, orgánmi dohľadu, orgánmi zodpovednými za vykonávanie cielených finančných sankcií a Úradom pre dohľad nad výkonom auditu. Cieľom právnej úpravy je zabezpečiť, aby orgány plniace úlohy v oblasti </w:t>
      </w:r>
      <w:r w:rsidRPr="00146994">
        <w:rPr>
          <w:rFonts w:ascii="Times New Roman" w:hAnsi="Times New Roman"/>
          <w:sz w:val="24"/>
          <w:szCs w:val="24"/>
        </w:rPr>
        <w:t>AML/CFT</w:t>
      </w:r>
      <w:r w:rsidRPr="00146994">
        <w:rPr>
          <w:rFonts w:ascii="Times New Roman" w:hAnsi="Times New Roman"/>
          <w:sz w:val="24"/>
          <w:szCs w:val="24"/>
          <w:lang w:eastAsia="sk-SK"/>
        </w:rPr>
        <w:t xml:space="preserve">, vykonávania cielených finančných sankcií a verejného dohľadu nad audítormi mohli v rozsahu svojich zákonných právomocí účinne spolupracovať a navzájom si poskytovať informácie relevantné na plnenie svojich úloh. Ustanovenie vychádza zo skutočnosti, že poznatky získané pri výkone AML/CFT dohľadu, finančnej analýzy, dohľadu nad audítormi alebo pri vykonávaní cielených finančných sankcií môžu byť významné aj pre činnosť ďalšieho príslušného orgánu. Bez možnosti ich vzájomnej výmeny by mohlo dochádzať k fragmentácii informácií a k situáciám, keď jeden orgán disponuje poznatkami relevantnými pre zákonnú činnosť iného orgánu, avšak tieto poznatky nie sú primerane využité. Navrhovaná právna úprava preto vytvára právny základ pre úzku </w:t>
      </w:r>
      <w:proofErr w:type="spellStart"/>
      <w:r w:rsidRPr="00146994">
        <w:rPr>
          <w:rFonts w:ascii="Times New Roman" w:hAnsi="Times New Roman"/>
          <w:sz w:val="24"/>
          <w:szCs w:val="24"/>
          <w:lang w:eastAsia="sk-SK"/>
        </w:rPr>
        <w:t>medziinštitucionálnu</w:t>
      </w:r>
      <w:proofErr w:type="spellEnd"/>
      <w:r w:rsidRPr="00146994">
        <w:rPr>
          <w:rFonts w:ascii="Times New Roman" w:hAnsi="Times New Roman"/>
          <w:sz w:val="24"/>
          <w:szCs w:val="24"/>
          <w:lang w:eastAsia="sk-SK"/>
        </w:rPr>
        <w:t xml:space="preserve"> spoluprácu a zároveň vymedzuje jej vecný účel, prípustný rozsah využitia poskytovaných informácií a podmienky, za ktorých možno ich poskytnutie obmedziť.</w:t>
      </w:r>
    </w:p>
    <w:p w14:paraId="7C78359B"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lastRenderedPageBreak/>
        <w:t>Odsek 1 transponuje článok 65 smernice (EÚ) 2024/1640. Účelom tejto úpravy je zabezpečiť prepojenie medzi orgánmi plniacimi úlohy podľa AML/CFT právnych predpisov a orgánom verejného dohľadu nad štatutárnymi audítormi a audítorskými spoločnosťami. Audítori a audítorské spoločnosti predstavujú subjekty, pri ktorých sa môžu poznatky získané v rámci AML/CFT dohľadu alebo finančnej analýzy prelínať s informáciami významnými pre výkon verejného dohľadu nad audítorskou činnosťou. Informácie poskytované Úradu pre dohľad nad výkonom auditu môžu byť relevantné najmä pri posudzovaní riadneho plnenia zákonných povinností audítorov a audítorských spoločností, ich vnútorných kontrolných mechanizmov, integrity, odbornej spôsobilosti alebo ďalších skutočností patriacich do pôsobnosti orgánu verejného dohľadu. Na druhej strane poznatky získané Úradom pre dohľad nad výkonom auditu pri výkone jeho pôsobnosti môžu byť relevantné pre Finančnú spravodajskú jednotku, ktorá je zároveň orgánom dohľadu nad audítormi v oblasti AML/CFT, ak  informácie poukazujú na možné porušovanie povinností podľa AML/CFT právnych predpisov alebo na skutočnosti, ktoré môžu byť významné z hľadiska finančnej analýzy alebo dohľadu. Navrhovaná úprava preto vytvára obojsmerný mechanizmus spolupráce, ktorý má zabrániť izolovanému posudzovaniu tých istých alebo súvisiacich skutočností jednotlivými orgánmi verejnej moci.</w:t>
      </w:r>
    </w:p>
    <w:p w14:paraId="2AAD700C"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2 transponuje článok 66 smernice (EÚ) 2024/1640. Cielené finančné sankcie predstavujú významnú súčasť systému ochrany finančného systému, najmä vo vzťahu k financovaniu terorizmu a k zabraňovaniu sprístupňovania finančných prostriedkov alebo hospodárskych zdrojov sankcionovaným osobám alebo subjektom. Účinné vykonávanie týchto opatrení si vyžaduje úzku spoluprácu medzi orgánmi zodpovednými za vykonávanie sankcií, Finančnou spravodajskou jednotkou a N</w:t>
      </w:r>
      <w:r w:rsidRPr="00146994">
        <w:rPr>
          <w:rFonts w:ascii="Times New Roman" w:hAnsi="Times New Roman"/>
          <w:sz w:val="24"/>
          <w:szCs w:val="24"/>
        </w:rPr>
        <w:t xml:space="preserve">árodnou bankou Slovenska a Úradom pre reguláciu hazardných hier, ako </w:t>
      </w:r>
      <w:r w:rsidRPr="00146994">
        <w:rPr>
          <w:rFonts w:ascii="Times New Roman" w:hAnsi="Times New Roman"/>
          <w:sz w:val="24"/>
          <w:szCs w:val="24"/>
          <w:lang w:eastAsia="sk-SK"/>
        </w:rPr>
        <w:t>orgánmi dohľadu. Vzájomná výmena týchto informácií preto prispieva k včasnému a efektívnemu uplatňovaniu opatrení smerujúcich k zabráneniu zneužitia finančného systému na obchádzanie alebo nevykonávanie cielených finančných sankcií.</w:t>
      </w:r>
    </w:p>
    <w:p w14:paraId="5AB05632"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Informácie sa medzi vyššie uvedenými orgánmi poskytujú iba v rozsahu potrebnom na plnenie úloh podľa tohto zákona a osobitných právnych predpisov. Poskytovanie informácií musí byť vždy spojené s konkrétnou zákonnou pôsobnosťou orgánu a s potrebou informácie na plnenie jeho úloh. Nejde preto o všeobecné oprávnenie jednotlivých orgánov na prístup ku všetkým informáciám, ktorými disponujú ostatné orgány. Pri každej výmene informácií musí existovať dostatočná vecná súvislosť medzi poskytovanou informáciou a zákonnou úlohou prijímajúceho orgánu. Osobitne sa upravuje aj použitie informácií v správnom alebo súdnom konaní. Použitie informácie v takomto konaní je prípustné len vtedy, ak konanie výslovne súvisí s výkonom funkcií príslušného orgánu.</w:t>
      </w:r>
    </w:p>
    <w:p w14:paraId="39E7B433"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3 upravuje výnimku z povinnosti spolupráce a poskytovania informácií. Cieľom tejto výnimky je chrániť integritu prebiehajúcich analytických, vyšetrovacích, </w:t>
      </w:r>
      <w:proofErr w:type="spellStart"/>
      <w:r w:rsidRPr="00146994">
        <w:rPr>
          <w:rFonts w:ascii="Times New Roman" w:hAnsi="Times New Roman"/>
          <w:sz w:val="24"/>
          <w:szCs w:val="24"/>
          <w:lang w:eastAsia="sk-SK"/>
        </w:rPr>
        <w:t>dohľadových</w:t>
      </w:r>
      <w:proofErr w:type="spellEnd"/>
      <w:r w:rsidRPr="00146994">
        <w:rPr>
          <w:rFonts w:ascii="Times New Roman" w:hAnsi="Times New Roman"/>
          <w:sz w:val="24"/>
          <w:szCs w:val="24"/>
          <w:lang w:eastAsia="sk-SK"/>
        </w:rPr>
        <w:t xml:space="preserve"> a procesných postupov a zabrániť tomu, aby povinnosť spolupráce medzi príslušnými orgánmi mala negatívny vplyv na ich riadne dokončenie. Výnimka sa uplatňuje individuálne podľa okolností konkrétneho prípadu. Samotná existencia prebiehajúceho konania alebo analýzy preto automaticky nevylučuje akúkoľvek spoluprácu medzi dotknutými orgánmi. Rozhodujúce je, či by poskytnutie konkrétnej informácie mohlo danú činnosť alebo konanie zmariť alebo ohroziť.</w:t>
      </w:r>
    </w:p>
    <w:p w14:paraId="08F8E1EC"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lastRenderedPageBreak/>
        <w:t>K § 47:</w:t>
      </w:r>
    </w:p>
    <w:p w14:paraId="4EFFC298"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Navrhované ustanovenie upravuje štatistické zisťovanie ako osobitný nástroj AML/CFT dohľadu, prostredníctvom ktorého môže orgán dohľadu systematicky získavať od povinných osôb údaje potrebné na výkon svojich úloh. Ustanovenie súčasne vytvára podmienky na plnenie úloh orgánov dohľadu vyplývajúcich z právnych predpisov Únie, vrátane poskytovania štatistických informácií úradu AMLA podľa nariadenia (EÚ) 2024/1620. Účelom štatistického zisťovania je umožniť orgánu dohľadu získavať nielen informácie z jednotlivých dohľadov alebo konkrétnych kontrolných prípadov, ale aj súhrnné a systematické údaje potrebné na sledovanie vývoja rizík v príslušnom sektore, hodnotenie rizikových profilov povinných osôb a plánovanie </w:t>
      </w:r>
      <w:proofErr w:type="spellStart"/>
      <w:r w:rsidRPr="00146994">
        <w:rPr>
          <w:rFonts w:ascii="Times New Roman" w:hAnsi="Times New Roman"/>
          <w:sz w:val="24"/>
          <w:szCs w:val="24"/>
          <w:lang w:eastAsia="sk-SK"/>
        </w:rPr>
        <w:t>dohľadových</w:t>
      </w:r>
      <w:proofErr w:type="spellEnd"/>
      <w:r w:rsidRPr="00146994">
        <w:rPr>
          <w:rFonts w:ascii="Times New Roman" w:hAnsi="Times New Roman"/>
          <w:sz w:val="24"/>
          <w:szCs w:val="24"/>
          <w:lang w:eastAsia="sk-SK"/>
        </w:rPr>
        <w:t xml:space="preserve"> činností. Takto získané údaje môžu byť využívané najmä pri rizikovo orientovanom dohľade, sektorových analýzach, určovaní </w:t>
      </w:r>
      <w:proofErr w:type="spellStart"/>
      <w:r w:rsidRPr="00146994">
        <w:rPr>
          <w:rFonts w:ascii="Times New Roman" w:hAnsi="Times New Roman"/>
          <w:sz w:val="24"/>
          <w:szCs w:val="24"/>
          <w:lang w:eastAsia="sk-SK"/>
        </w:rPr>
        <w:t>dohľadových</w:t>
      </w:r>
      <w:proofErr w:type="spellEnd"/>
      <w:r w:rsidRPr="00146994">
        <w:rPr>
          <w:rFonts w:ascii="Times New Roman" w:hAnsi="Times New Roman"/>
          <w:sz w:val="24"/>
          <w:szCs w:val="24"/>
          <w:lang w:eastAsia="sk-SK"/>
        </w:rPr>
        <w:t xml:space="preserve"> priorít, vyhodnocovaní účinnosti AML/CFT opatrení a pri plnení informačných a štatistických povinností voči úradu AMLA. Štatistické zisťovanie predstavuje flexibilný nástroj dohľadu. Nemusí sa vzťahovať na celý kalendárny rok ani na celý rozsah činnosti povinnej osoby. Orgán dohľadu môže podľa svojich informačných potrieb požadovať údaje za konkrétne obdobie, určitú skupinu produktov, klientov, transakcií alebo inú oblasť relevantnú pre hodnotenie AML/CFT rizika.</w:t>
      </w:r>
    </w:p>
    <w:p w14:paraId="44D93356"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1 ustanovuje oprávnenie orgánu dohľadu požadovať od povinných osôb informácie prostredníctvom štatistického zisťovania. Predmetom zisťovania môžu byť najmä agregované údaje o počte a objeme transakcií, štruktúre klientov, produktoch a službách, distribučných kanáloch, geografickom pôsobení, rizikových kategóriách klientov alebo obchodných vzťahov, uplatňovaní opatrení starostlivosti vo vzťahu ku klientovi, počte identifikovaných neobvyklých alebo podozrivých prípadov a ďalšie údaje významné pre hodnotenie rizika. Štatistické zisťovanie umožňuje orgánu dohľadu identifikovať trendy a odchýlky, ktoré nemusia byť zrejmé z individuálneho dohľadu nad jednotlivou povinnou osobou. Takto získané informácie môžu zároveň predstavovať jeden zo vstupov pre vytváranie a aktualizáciu rizikových profilov povinných osôb a následné určovanie frekvencie a intenzity rizikovo orientovaného dohľadu.</w:t>
      </w:r>
    </w:p>
    <w:p w14:paraId="5B933638"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2 ustanovuje minimálne obsahové náležitosti každého štatistického zisťovania. Orgán dohľadu musí uviesť účel a obsah zisťovania, spôsob spracovania získaných údajov a lehotu na ich poskytnutie. Požiadavka na vopred určený účel zabezpečuje, aby povinné osoby vedeli, na aký </w:t>
      </w:r>
      <w:proofErr w:type="spellStart"/>
      <w:r w:rsidRPr="00146994">
        <w:rPr>
          <w:rFonts w:ascii="Times New Roman" w:hAnsi="Times New Roman"/>
          <w:sz w:val="24"/>
          <w:szCs w:val="24"/>
          <w:lang w:eastAsia="sk-SK"/>
        </w:rPr>
        <w:t>dohľadový</w:t>
      </w:r>
      <w:proofErr w:type="spellEnd"/>
      <w:r w:rsidRPr="00146994">
        <w:rPr>
          <w:rFonts w:ascii="Times New Roman" w:hAnsi="Times New Roman"/>
          <w:sz w:val="24"/>
          <w:szCs w:val="24"/>
          <w:lang w:eastAsia="sk-SK"/>
        </w:rPr>
        <w:t xml:space="preserve"> účel sú údaje požadované a aby rozsah zisťovania neprekračoval potreby výkonu dohľadu. Vymedzenie obsahu zisťovania musí povinnej osobe umožniť jednoznačne určiť, aké údaje má poskytnúť. Určenie spôsobu spracovania údajov prispieva k transparentnosti zisťovania a umožňuje nastaviť jeho technické a metodické parametre tak, aby boli údaje získané od jednotlivých povinných osôb porovnateľné a použiteľné na analytické a </w:t>
      </w:r>
      <w:proofErr w:type="spellStart"/>
      <w:r w:rsidRPr="00146994">
        <w:rPr>
          <w:rFonts w:ascii="Times New Roman" w:hAnsi="Times New Roman"/>
          <w:sz w:val="24"/>
          <w:szCs w:val="24"/>
          <w:lang w:eastAsia="sk-SK"/>
        </w:rPr>
        <w:t>dohľadové</w:t>
      </w:r>
      <w:proofErr w:type="spellEnd"/>
      <w:r w:rsidRPr="00146994">
        <w:rPr>
          <w:rFonts w:ascii="Times New Roman" w:hAnsi="Times New Roman"/>
          <w:sz w:val="24"/>
          <w:szCs w:val="24"/>
          <w:lang w:eastAsia="sk-SK"/>
        </w:rPr>
        <w:t xml:space="preserve"> účely. Lehota na poskytnutie údajov musí zohľadňovať ich rozsah, charakter a náročnosť ich získania a spracovania.</w:t>
      </w:r>
    </w:p>
    <w:p w14:paraId="3993E33A"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3 ustanovuje zodpovedajúcu povinnosť povinnej osoby poskytnúť požadované informácie v lehote určenej orgánom dohľadu a v požadovanom rozsahu, formáte a štruktúre. Požiadavka dodržania určeného formátu a štruktúry je významná najmä z dôvodu automatizovaného spracovania väčšieho objemu údajov a zabezpečenia ich vzájomnej porovnateľnosti. Povinná osoba preto nemôže splniť povinnosť iba formálnym odovzdaním </w:t>
      </w:r>
      <w:r w:rsidRPr="00146994">
        <w:rPr>
          <w:rFonts w:ascii="Times New Roman" w:hAnsi="Times New Roman"/>
          <w:sz w:val="24"/>
          <w:szCs w:val="24"/>
          <w:lang w:eastAsia="sk-SK"/>
        </w:rPr>
        <w:lastRenderedPageBreak/>
        <w:t>údajov v podobe, ktorá nezodpovedá požiadavkám zisťovania a neumožňuje ich riadne spracovanie. Povinnosť poskytovať údaje prostredníctvom štatistického zisťovania je súčasťou súčinnosti povinnej osoby s orgánom dohľadu a slúži na vytvorenie dostatočnej informačnej základne pre rizikovo orientovaný výkon AML/CFT dohľadu.</w:t>
      </w:r>
    </w:p>
    <w:p w14:paraId="7980FC96" w14:textId="77777777" w:rsidR="00146994" w:rsidRPr="00146994" w:rsidRDefault="00146994" w:rsidP="00146994">
      <w:pPr>
        <w:spacing w:after="120" w:line="276" w:lineRule="auto"/>
        <w:jc w:val="both"/>
        <w:rPr>
          <w:rFonts w:ascii="Times New Roman" w:hAnsi="Times New Roman"/>
          <w:b/>
          <w:bCs/>
          <w:sz w:val="24"/>
          <w:szCs w:val="24"/>
          <w:u w:val="single"/>
        </w:rPr>
      </w:pPr>
    </w:p>
    <w:p w14:paraId="6467027F"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48:</w:t>
      </w:r>
    </w:p>
    <w:p w14:paraId="5ED7B3A7"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Navrhované ustanovenie upravuje osobitné podmienky spracúvania a uchovávania údajov vrátane osobných údajov získaných orgánmi dohľadu pri výkone ich AML/CFT pôsobnosti. Ustanovenie nadväzuje na požiadavky smernice (EÚ) 2024/1640 týkajúce sa spracúvania osobných údajov a vytvára osobitný právny rámec, ktorý má zabezpečiť rovnováhu medzi potrebou uchovávať informácie nevyhnutné na účinný výkon AML/CFT dohľadu a požiadavkou, aby údaje neboli spracúvané alebo uchovávané dlhšie, než je potrebné na splnenie zákonom ustanoveného účelu. Osobitný režim je odôvodnený charakterom AML/CFT dohľadu. Legalizácia a financovanie terorizmu môžu zahŕňať dlhodobé, komplexné a cezhraničné schémy a zistenia získané pri jednom dohľade môžu byť relevantné aj pre neskoršie </w:t>
      </w:r>
      <w:proofErr w:type="spellStart"/>
      <w:r w:rsidRPr="00146994">
        <w:rPr>
          <w:rFonts w:ascii="Times New Roman" w:hAnsi="Times New Roman"/>
          <w:sz w:val="24"/>
          <w:szCs w:val="24"/>
          <w:lang w:eastAsia="sk-SK"/>
        </w:rPr>
        <w:t>dohľadové</w:t>
      </w:r>
      <w:proofErr w:type="spellEnd"/>
      <w:r w:rsidRPr="00146994">
        <w:rPr>
          <w:rFonts w:ascii="Times New Roman" w:hAnsi="Times New Roman"/>
          <w:sz w:val="24"/>
          <w:szCs w:val="24"/>
          <w:lang w:eastAsia="sk-SK"/>
        </w:rPr>
        <w:t>, správne alebo súdne konanie.</w:t>
      </w:r>
    </w:p>
    <w:p w14:paraId="1413EEA1"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1 ustanovuje základnú zásadu nevyhnutnosti spracúvania údajov. Orgány dohľadu sú oprávnené spracúvať údaje vrátane osobných údajov získané pri výkone dohľadu iba v rozsahu nevyhnutnom na plnenie úloh, ktoré im vyplývajú z príslušných právnych predpisov Únie alebo z tohto zákona. Ustanovenie teda neposkytuje orgánom dohľadu všeobecné oprávnenie spracúvať akékoľvek údaje, ku ktorým získajú prístup. Medzi spracúvaním konkrétneho údaja a plnením zákonnej úlohy orgánu dohľadu musí existovať vecná súvislosť. Zásada nevyhnutnosti sa vzťahuje tak na rozsah spracúvaných údajov, ako aj na účel ich spracúvania. Orgán dohľadu má spracúvať iba údaje, ktoré potrebuje na výkon konkrétnych AML/CFT úloh. Tým sa zároveň zabezpečuje uplatňovanie zásad ochrany osobných údajov a obmedzuje sa neprimerané zhromažďovanie alebo ďalšie používanie informácií získaných pri výkone dohľadu.</w:t>
      </w:r>
    </w:p>
    <w:p w14:paraId="5BB64B9C"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2 ustanovuje všeobecnú maximálnu dobu uchovávania údajov získaných pri výkone dohľadu na desať rokov odo dňa ich získania, ak tento zákon neustanovuje inak. Desaťročná lehota zohľadňuje potrebu orgánov dohľadu pracovať s historickými informáciami pri posudzovaní vývoja rizikového profilu povinnej osoby, opakovaných alebo systematických porušení povinností, účinnosti predchádzajúcich nápravných opatrení alebo pri nadväzujúcich správnych a súdnych konaniach. Ustanovenie zároveň stanovuje hornú hranicu uchovávania. Po jej uplynutí nemožno údaje naďalej uchovávať na základe tohto ustanovenia, ak neexistuje iný zákonný dôvod na ich ďalšie uchovávanie alebo ak nenastala niektorá zo situácií podľa odseku 3.</w:t>
      </w:r>
    </w:p>
    <w:p w14:paraId="7B7F978E"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3 upravuje neplynutie desaťročnej lehoty na uchovávanie údajov v prípadoch, keď ich ďalšie zachovanie zostáva nevyhnutné z dôvodu prebiehajúceho konania, výkonu rozhodnutia alebo vymáhania uloženej povinnosti. Podľa písmena a) lehota neplynie počas obdobia, keď sa v danej veci vedie konanie pred súdom alebo iným orgánom verejnej moci. Účelom je zabrániť situácii, keď by zákonná lehota na uchovávanie uplynula počas prebiehajúceho konania a orgán </w:t>
      </w:r>
      <w:r w:rsidRPr="00146994">
        <w:rPr>
          <w:rFonts w:ascii="Times New Roman" w:hAnsi="Times New Roman"/>
          <w:sz w:val="24"/>
          <w:szCs w:val="24"/>
          <w:lang w:eastAsia="sk-SK"/>
        </w:rPr>
        <w:lastRenderedPageBreak/>
        <w:t>dohľadu by bol nútený odstrániť údaje, ktoré sú naďalej potrebné na jeho riadne vedenie, na dokazovanie alebo na ochranu práv účastníkov konania. Podľa písmena b) lehota neplynie ani počas výkonu rozhodnutia alebo vymáhania povinnosti uloženej orgánom dohľadu alebo úradom AMLA. Právoplatným skončením konania totiž nemusí zaniknúť potreba uchovávať relevantné údaje. Môžu byť naďalej potrebné na kontrolu splnenia uloženej povinnosti, výkon rozhodnutia alebo jej vymáhanie. Ustanovenie preto zabezpečuje, aby uplynutie lehoty na uchovávanie údajov neohrozilo účinnosť právoplatne uloženého opatrenia alebo sankcie. Počas existencie zákonom ustanoveného dôvodu sa plynutie lehoty iba dočasne zastavuje. Po jeho zániku lehota pokračuje, čím sa zachováva rovnováha medzi potrebou dostupnosti údajov a zásadou časového obmedzenia ich uchovávania.</w:t>
      </w:r>
    </w:p>
    <w:p w14:paraId="68E6146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b/>
          <w:bCs/>
          <w:sz w:val="24"/>
          <w:szCs w:val="24"/>
          <w:u w:val="single"/>
        </w:rPr>
        <w:t>K § 49:</w:t>
      </w:r>
    </w:p>
    <w:p w14:paraId="5DA989F5"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Navrhované ustanovenie transponuje článok 60 smernice (EÚ) 2024/1640 a upravuje mechanizmus nahlasovania porušení povinností v oblasti AML/CFT, ochranu osôb, ktoré takéto porušenia nahlasujú, a základné povinnosti orgánov dohľadu pri prijímaní a vybavovaní týchto oznámení. Účelom ustanovenia je vytvoriť bezpečný, dôverný a funkčný mechanizmus umožňujúci oznamovať porušenia povinností ustanovených priamo uplatniteľnými právnymi predpismi Únie a týmto zákonom a zabezpečiť, aby orgány dohľadu mohli na základe takýchto oznámení prijať primerané následné opatrenia. Ustanovenie súčasne zabezpečuje ochranu nahlasujúcich osôb pred nepriaznivými následkami spojenými s podaním oznámenia a ochranu osôb, ktorých sa oznámenie týka. Ochrana oznamovateľov a dôvernosť systému sú významným predpokladom jeho praktickej funkčnosti, keďže bez dostatočných záruk by osoby disponujúce informáciami o porušení nemuseli byť ochotné tieto informácie príslušnému orgánu poskytnúť. Navrhovaná úprava nadväzuje na všeobecný rámec ochrany oznamovateľov podľa smernice (EÚ) 2019/1937, ktorá je vo vnútroštátnom práve transponovaná zákonom č. 54/2019 Z. z. o ochrane oznamovateľov protispoločenskej činnosti.</w:t>
      </w:r>
    </w:p>
    <w:p w14:paraId="4C1E7457"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1 ustanovuje, že na oznamovanie porušení povinností podľa príslušných právnych predpisov Únie a tohto zákona, ako aj na ochranu oznamovateľov a osôb dotknutých takýmto oznámením sa vzťahuje osobitný predpis upravujúci ochranu oznamovateľov protispoločenskej činnosti. Ustanovenie transponuje článok 60 ods. 1 smernice (EÚ) 2024/1640, podľa ktorého sa na nahlasovanie porušení nariadenia (EÚ) 2024/1624, nariadenia (EÚ) 2023/1113 a smernice (EÚ) 2024/1640, ako aj na ochranu nahlasujúcich osôb a osôb, ktorých sa nahlásenia týkajú, vzťahuje smernica (EÚ) 2019/1937. Cieľom je zabezpečiť, aby oznamovanie porušení AML/CFT povinností nevytváralo samostatný a izolovaný systém ochrany oznamovateľov, ale bolo začlenené do všeobecného vnútroštátneho mechanizmu ochrany </w:t>
      </w:r>
      <w:proofErr w:type="spellStart"/>
      <w:r w:rsidRPr="00146994">
        <w:rPr>
          <w:rFonts w:ascii="Times New Roman" w:hAnsi="Times New Roman"/>
          <w:sz w:val="24"/>
          <w:szCs w:val="24"/>
          <w:lang w:eastAsia="sk-SK"/>
        </w:rPr>
        <w:t>whistleblowerov</w:t>
      </w:r>
      <w:proofErr w:type="spellEnd"/>
      <w:r w:rsidRPr="00146994">
        <w:rPr>
          <w:rFonts w:ascii="Times New Roman" w:hAnsi="Times New Roman"/>
          <w:sz w:val="24"/>
          <w:szCs w:val="24"/>
          <w:lang w:eastAsia="sk-SK"/>
        </w:rPr>
        <w:t>. Osobitný predpis tak upravuje najmä podmienky poskytnutia ochrany oznamovateľovi, dôvernosť jeho totožnosti, ochranu pred odvetnými opatreniami a procesné pravidlá súvisiace s externým oznamovaním.</w:t>
      </w:r>
    </w:p>
    <w:p w14:paraId="4761FC81"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2 osobitne upravuje postup Národnej banky Slovenska pri prijímaní a skúmaní oznámení týkajúcich sa povinných osôb, nad ktorými vykonáva dohľad. Národná banka Slovenska postupuje podľa osobitného procesného režimu ustanoveného zákonom č. 747/2004 Z. z. Ustanovenie zohľadňuje existujúci sektorový právny rámec Národnej banky Slovenska a nevytvára pre ňu duplicitný alebo paralelný procesný režim. Z hľadiska článku 60 ods. 2 </w:t>
      </w:r>
      <w:r w:rsidRPr="00146994">
        <w:rPr>
          <w:rFonts w:ascii="Times New Roman" w:hAnsi="Times New Roman"/>
          <w:sz w:val="24"/>
          <w:szCs w:val="24"/>
          <w:lang w:eastAsia="sk-SK"/>
        </w:rPr>
        <w:lastRenderedPageBreak/>
        <w:t>smernice je podstatné, že orgán dohľadu musí byť príslušným orgánom na zriadenie externého oznamovacieho kanála a prijímanie následných opatrení v súvislosti s oznámeniami týkajúcimi sa povinných osôb, nad ktorými vykonáva dohľad. Vnútroštátna úprava preto využíva existujúci osobitný procesný rámec Národnej banky Slovenska na zabezpečenie tejto funkcie.</w:t>
      </w:r>
    </w:p>
    <w:p w14:paraId="1520C4F8"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Odsek 3 ukladá orgánom dohľadu povinnosť zaviesť systém na prijímanie oznámení o porušení AML/CFT povinností. Systém musí obsahovať najmenej podrobné postupy na prijatie oznámenia, preskúmanie jeho dôvodnosti a nakladanie s výsledkami preskúmania. Ustanovenie transponuje požiadavku článku 60 ods. 2 smernice (EÚ) 2024/1640, podľa ktorej sú orgány dohľadu príslušnými orgánmi na zriadenie externých kanálov nahlasovania a prijímanie následných opatrení. Nestačí preto iba formálna možnosť zaslať orgánu dohľadu podnet alebo oznámenie. Orgán dohľadu musí mať vytvorený funkčný procesný mechanizmus, ktorý zabezpečí riadne prijatie oznámenia, jeho zaevidovanie, posúdenie dôvodnosti, rozhodnutie o ďalšom postupe a prijatie primeraných následných opatrení. Postupy majú byť nastavené tak, aby zabezpečovali dôvernosť, predvídateľnosť a jednotnosť vybavovania oznámení.</w:t>
      </w:r>
    </w:p>
    <w:p w14:paraId="25312B59"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4 transponuje článok 60 ods. 4 smernice (EÚ) 2024/1640 a ustanovuje osobitnú ročnú </w:t>
      </w:r>
      <w:proofErr w:type="spellStart"/>
      <w:r w:rsidRPr="00146994">
        <w:rPr>
          <w:rFonts w:ascii="Times New Roman" w:hAnsi="Times New Roman"/>
          <w:sz w:val="24"/>
          <w:szCs w:val="24"/>
          <w:lang w:eastAsia="sk-SK"/>
        </w:rPr>
        <w:t>reportovaciu</w:t>
      </w:r>
      <w:proofErr w:type="spellEnd"/>
      <w:r w:rsidRPr="00146994">
        <w:rPr>
          <w:rFonts w:ascii="Times New Roman" w:hAnsi="Times New Roman"/>
          <w:sz w:val="24"/>
          <w:szCs w:val="24"/>
          <w:lang w:eastAsia="sk-SK"/>
        </w:rPr>
        <w:t xml:space="preserve"> povinnosť Finančnej spravodajskej jednotky a Úradu pre reguláciu hazardných hier voči úradu AMLA. Táto povinnosť sa viaže na skutočnosť, že článok 60 ods. 4 smernice (EÚ) 2024/1640 ukladá povinnosť každoročne podávať správu úradu AMLA orgánom dohľadu v nefinančnom sektore. Výročná správa obsahuje súhrnné údaje o oznámeniach prijatých za predchádzajúci kalendárny rok. Uvádza sa celkový počet prijatých oznámení, počet oznámení, v prípade ktorých boli prijaté alebo sa plánujú prijať následné opatrenia, opis týchto opatrení a stav vybavenia oznámení. Súčasťou správy je aj počet zamietnutých oznámení vrátane dôvodov ich zamietnutia a druhy oznámených nezrovnalostí. Účelom tejto informačnej povinnosti nie je poskytovať úradu AMLA údaje o jednotlivých oznamovateľoch alebo jednotlivých prípadoch, ale vytvoriť agregovaný informačný základ umožňujúci AMLA sledovať fungovanie oznamovacích mechanizmov v nefinančnom sektore v jednotlivých členských štátoch. Takto získané informácie môžu slúžiť najmä na identifikovanie opakujúcich sa druhov porušení, posudzovanie účinnosti </w:t>
      </w:r>
      <w:proofErr w:type="spellStart"/>
      <w:r w:rsidRPr="00146994">
        <w:rPr>
          <w:rFonts w:ascii="Times New Roman" w:hAnsi="Times New Roman"/>
          <w:sz w:val="24"/>
          <w:szCs w:val="24"/>
          <w:lang w:eastAsia="sk-SK"/>
        </w:rPr>
        <w:t>dohľadových</w:t>
      </w:r>
      <w:proofErr w:type="spellEnd"/>
      <w:r w:rsidRPr="00146994">
        <w:rPr>
          <w:rFonts w:ascii="Times New Roman" w:hAnsi="Times New Roman"/>
          <w:sz w:val="24"/>
          <w:szCs w:val="24"/>
          <w:lang w:eastAsia="sk-SK"/>
        </w:rPr>
        <w:t xml:space="preserve"> systémov a porovnávanie spôsobu vybavovania oznámení v jednotlivých členských štátoch.</w:t>
      </w:r>
    </w:p>
    <w:p w14:paraId="6A58B338"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lang w:eastAsia="sk-SK"/>
        </w:rPr>
        <w:t xml:space="preserve">Odsek 5 ustanovuje osobitnú ochranu identity oznamovateľov pri plnení </w:t>
      </w:r>
      <w:proofErr w:type="spellStart"/>
      <w:r w:rsidRPr="00146994">
        <w:rPr>
          <w:rFonts w:ascii="Times New Roman" w:hAnsi="Times New Roman"/>
          <w:sz w:val="24"/>
          <w:szCs w:val="24"/>
          <w:lang w:eastAsia="sk-SK"/>
        </w:rPr>
        <w:t>reportovacej</w:t>
      </w:r>
      <w:proofErr w:type="spellEnd"/>
      <w:r w:rsidRPr="00146994">
        <w:rPr>
          <w:rFonts w:ascii="Times New Roman" w:hAnsi="Times New Roman"/>
          <w:sz w:val="24"/>
          <w:szCs w:val="24"/>
          <w:lang w:eastAsia="sk-SK"/>
        </w:rPr>
        <w:t xml:space="preserve"> povinnosti podľa odseku 4. Výročná správa nesmie obsahovať údaje umožňujúce identifikáciu oznamovateľov protispoločenskej činnosti. Ustanovenie transponuje druhý </w:t>
      </w:r>
      <w:proofErr w:type="spellStart"/>
      <w:r w:rsidRPr="00146994">
        <w:rPr>
          <w:rFonts w:ascii="Times New Roman" w:hAnsi="Times New Roman"/>
          <w:sz w:val="24"/>
          <w:szCs w:val="24"/>
          <w:lang w:eastAsia="sk-SK"/>
        </w:rPr>
        <w:t>pododsek</w:t>
      </w:r>
      <w:proofErr w:type="spellEnd"/>
      <w:r w:rsidRPr="00146994">
        <w:rPr>
          <w:rFonts w:ascii="Times New Roman" w:hAnsi="Times New Roman"/>
          <w:sz w:val="24"/>
          <w:szCs w:val="24"/>
          <w:lang w:eastAsia="sk-SK"/>
        </w:rPr>
        <w:t xml:space="preserve"> článku 60 ods. 4 smernice, podľa ktorého ročná správa nesmie obsahovať informácie o totožnosti alebo povolaní nahlasujúcej osoby ani iné informácie, ktoré by mohli viesť k jej identifikácii. Tým sa zabezpečuje zachovanie dôveryhodnosti oznamovacieho systému a predchádza sa riziku, že plnenie informačnej povinnosti voči úradu AMLA samo vytvorí riziko odhalenia identity oznamovateľa.</w:t>
      </w:r>
    </w:p>
    <w:p w14:paraId="67E06CE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b/>
          <w:bCs/>
          <w:sz w:val="24"/>
          <w:szCs w:val="24"/>
          <w:u w:val="single"/>
        </w:rPr>
        <w:t>K § 50:</w:t>
      </w:r>
    </w:p>
    <w:p w14:paraId="27BE693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zavádza registračný rámec pre finančné holdingové spoločnosti so zmiešanou činnosťou so sídlom v Slovenskej republike. Za finančnú holdingovú spoločnosť so zmiešanou činnosťou sa považuje spoločnosť so sídlom na území Slovenskej republiky, ktorá má právnu formu verejnej obchodnej spoločnosti, komanditnej spoločnosti, akciovej </w:t>
      </w:r>
      <w:r w:rsidRPr="00146994">
        <w:rPr>
          <w:rFonts w:ascii="Times New Roman" w:hAnsi="Times New Roman"/>
          <w:sz w:val="24"/>
          <w:szCs w:val="24"/>
        </w:rPr>
        <w:lastRenderedPageBreak/>
        <w:t>spoločnosti, jednoduchej spoločnosti na akcie, spoločnosti s ručením obmedzeným alebo európskej spoločnosti, nie je dcérskou spoločnosťou a vo svojej vlastníckej štruktúre má aspoň jednu banku alebo finančnú inštitúciu (ďalej spolu len „finančné inštitúcie“). Účelom registra je zabezpečiť, aby Národná banka Slovenska mala spoľahlivý a aktuálny prehľad o vlastníckych a riadiacich štruktúrach, prostredníctvom ktorých sa vykonáva kontrola nad finančnými inštitúciami. Finančná holdingová spoločnosť so zmiešanou činnosťou spravidla sama nevykonáva regulovanú finančnú činnosť, jej postavenie v skupine však môže mať významný vplyv na spôsob riadenia, vlastnícke vzťahy a rizikový profil finančnej inštitúcie. Identifikácia týchto spoločností je preto dôležitá najmä z hľadiska transparentnosti skupinovej štruktúry, posúdenia zdrojov a pôvodu majetkovej účasti, identifikácie osôb vykonávajúcich kontrolu a predchádzania zneužívaniu zložitých vlastníckych usporiadaní na zastretie skutočného vplyvu alebo toku finančných prostriedkov.</w:t>
      </w:r>
    </w:p>
    <w:p w14:paraId="4ED6CBD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Registrácia nemá povahu povolenia na výkon regulovanej činnosti ani sama osebe nezakladá oprávnenie vykonávať činnosť na finančnom trhu. Predstavuje evidenčný a </w:t>
      </w:r>
      <w:proofErr w:type="spellStart"/>
      <w:r w:rsidRPr="00146994">
        <w:rPr>
          <w:rFonts w:ascii="Times New Roman" w:hAnsi="Times New Roman"/>
          <w:sz w:val="24"/>
          <w:szCs w:val="24"/>
        </w:rPr>
        <w:t>dohľadový</w:t>
      </w:r>
      <w:proofErr w:type="spellEnd"/>
      <w:r w:rsidRPr="00146994">
        <w:rPr>
          <w:rFonts w:ascii="Times New Roman" w:hAnsi="Times New Roman"/>
          <w:sz w:val="24"/>
          <w:szCs w:val="24"/>
        </w:rPr>
        <w:t xml:space="preserve"> nástroj, prostredníctvom ktorého Národná banka Slovenska zachytáva vznik, trvanie a zánik relevantného vzťahu medzi finančnou holdingovou spoločnosťou so zmiešanou činnosťou a finančnou inštitúciou alebo zahraničnou finančnou inštitúciou.</w:t>
      </w:r>
    </w:p>
    <w:p w14:paraId="215658F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Zápis sa uskutočňuje na základe návrhu dotknutej spoločnosti, čím sa zodpovednosť za oznámenie vzniku registračnej povinnosti primárne prenáša na subjekt, ktorý má bezprostrednú vedomosť o svojej majetkovej účasti a postavení v skupine. Tridsaťdňová lehota poskytuje primeraný čas na prípravu návrhu a súčasne zabezpečuje, aby zmeny vo vlastníckej štruktúre finančných inštitúcií boli v registri zachytené bez neodôvodneného časového odstupu.</w:t>
      </w:r>
    </w:p>
    <w:p w14:paraId="08A094A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Navrhovaná úprava zároveň zohľadňuje prípady, v ktorých Národná banka Slovenska disponuje potrebnými informáciami z vlastnej rozhodovacej alebo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činnosti. Ak bolo postavenie finančnej holdingovej spoločnosti so zmiešanou činnosťou preukázané v konaní o udelení povolenia na výkon činnosti finančnej inštitúcie alebo v súvislosti s posudzovaním kvalifikovanej účasti, opätovné vyžadovanie totožných údajov v samostatnom registračnom konaní by predstavovalo neodôvodnenú administratívnu záťaž. Národná banka Slovenska preto v týchto prípadoch vykoná zápis z úradnej moci. Takýto postup vyjadruje zásadu hospodárnosti konania a princíp, podľa ktorého sa od dohliadaného subjektu nemajú opakovane požadovať údaje, ktoré už má orgán dohľadu k dispozícii.</w:t>
      </w:r>
    </w:p>
    <w:p w14:paraId="137309EF"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Podmienky zápisu sú založené na overení úplnosti a pravdivosti predložených údajov a na splnení poplatkovej povinnosti. Registračné konanie tak nemá slúžiť na nové vecné posudzovanie skutočností, ktoré už boli predmetom povoľovacieho alebo </w:t>
      </w:r>
      <w:proofErr w:type="spellStart"/>
      <w:r w:rsidRPr="00146994">
        <w:rPr>
          <w:rFonts w:ascii="Times New Roman" w:hAnsi="Times New Roman"/>
          <w:sz w:val="24"/>
          <w:szCs w:val="24"/>
        </w:rPr>
        <w:t>dohľadového</w:t>
      </w:r>
      <w:proofErr w:type="spellEnd"/>
      <w:r w:rsidRPr="00146994">
        <w:rPr>
          <w:rFonts w:ascii="Times New Roman" w:hAnsi="Times New Roman"/>
          <w:sz w:val="24"/>
          <w:szCs w:val="24"/>
        </w:rPr>
        <w:t xml:space="preserve"> konania, ale na overenie splnenia zákonných predpokladov na vykonanie zápisu. </w:t>
      </w:r>
    </w:p>
    <w:p w14:paraId="3F50CBB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Keďže využiteľnosť registra závisí od správnosti a aktuálnosti zapísaných údajov, finančnej holdingovej spoločnosti so zmiešanou činnosťou sa ukladá priebežná oznamovacia povinnosť. </w:t>
      </w:r>
    </w:p>
    <w:p w14:paraId="19A35C8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Zrušenie zápisu sa viaže na zánik postavenia finančnej holdingovej spoločnosti so zmiešanou činnosťou ako materskej spoločnosti príslušnej finančnej inštitúcie. Aj pri zrušení zápisu sa rozlišuje medzi prípadmi, keď Národná banka Slovenska pozná rozhodujúcu skutočnosť z vlastnej činnosti, a prípadmi, keď je potrebné jej zánik majetkovej účasti oznámiť. Ak Národná </w:t>
      </w:r>
      <w:r w:rsidRPr="00146994">
        <w:rPr>
          <w:rFonts w:ascii="Times New Roman" w:hAnsi="Times New Roman"/>
          <w:sz w:val="24"/>
          <w:szCs w:val="24"/>
        </w:rPr>
        <w:lastRenderedPageBreak/>
        <w:t>banka Slovenska disponuje potrebnými informáciami na základe výkonu svojej pôsobnosti, zápis zruší z vlastného podnetu. V ostatných prípadoch je iniciovanie zrušenia zápisu povinnosťou registrovanej spoločnosti.</w:t>
      </w:r>
    </w:p>
    <w:p w14:paraId="2B20AFD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Podrobnosti o obsahu návrhov a prikladaných dokladoch sa ponechávajú na opatrenie Národnej banky Slovenska. </w:t>
      </w:r>
    </w:p>
    <w:p w14:paraId="2006589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Sankčný mechanizmus má zabezpečiť účinné plnenie registračných a oznamovacích povinností. Je zameraný najmä na odstránenie protiprávneho stavu, preto sa popri pokute ukladá aj povinnosť vykonať opomenutý úkon.</w:t>
      </w:r>
    </w:p>
    <w:p w14:paraId="2E818D5F"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51:</w:t>
      </w:r>
    </w:p>
    <w:p w14:paraId="3B193A4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upravuje požiadavky na osoby, ktoré sú členmi vrcholového manažmentu, osobami zabezpečujúca plnenie úloh pri ochrane pred legalizáciou a financovaním terorizmu, ktorou sa rozumejú osoby podľa čl. 11 ods. 2 nariadenia 2024/1624, alebo konečnými užívateľmi výhod  niektorých povinných osôb. Cieľom ustanovenia je obmedziť riziko, že rozhodujúci vplyv na činnosť povinnej osoby budú vykonávať osoby, ktorých osobné, profesijné alebo vlastnícke väzby môžu ohroziť riadne plnenie jej zákonných povinností v oblasti AML/CFT/CPF</w:t>
      </w:r>
    </w:p>
    <w:p w14:paraId="51DE45B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Pri finančných holdingových spoločnostiach so zmiešanou činnosťou sa požiadavky na vrcholový manažment a osobu zabezpečujúcu plnenie úloh pri ochrane pred legalizáciou a financovaním terorizmu vzťahujú nielen na ich bezúhonnosť a dôveryhodnosť, ale aj na odbornú spôsobilosť primeranú zastávanej funkcii, charakteru skupiny ako aj druhu, rozsahu a zložitosti činnosti finančných inštitúcií, ktoré sú súčasťou jej vlastníckej štruktúry. Hoci finančná holdingová spoločnosť so zmiešanou činnosťou nemusí sama vykonávať regulované finančné služby, osoby pôsobiace v jej riadiacej alebo kontrolnej štruktúre môžu významne ovplyvňovať rozhodovanie, vnútorné kontrolné mechanizmy a rizikový profil celej skupiny.</w:t>
      </w:r>
    </w:p>
    <w:p w14:paraId="5725114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Osobitné požiadavky na poskytovateľov služieb hromadného financovania zohľadňujú povahu ich obchodného modelu a riziká vyplývajúce zo sprostredkovania finančných tokov medzi väčším počtom investorov a vlastníkov projektov. Okrem bezúhonnosti sa preto preveruje aj existencia relevantných väzieb na osoby právoplatne odsúdené za trestné činy súvisiace s legalizáciou výnosov z trestnej činnosti alebo financovaním terorizmu. Účelom tejto požiadavky je zabrániť obchádzaniu personálnych podmienok prostredníctvom formálne oddelených, ale personálne alebo majetkovo prepojených osôb.</w:t>
      </w:r>
    </w:p>
    <w:p w14:paraId="44140F6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Dohľad Národnej banky Slovenska sa vykonáva na základe rizikovo orientovaného prístupu. Rozsah a intenzita preverovania preto závisia od rizikového profilu povinnej osoby, od konkrétnych zistení orgánu dohľadu a od existencie okolností nasvedčujúcich možnému zneužitiu povinnej osoby na legalizáciu a financovanie terorizmu. </w:t>
      </w:r>
    </w:p>
    <w:p w14:paraId="509EE67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Povinnosť predkladať Národnej banke Slovenska potrebné doklady a informácie vytvára procesný rámec na overenie splnenia personálnych a vlastníckych požiadaviek. Výpočet dokladov má demonštratívny charakter a nevylučuje vyžiadanie ďalších podkladov, ak sú potrebné na spoľahlivé posúdenie bezúhonnosti, dôveryhodnosti, odbornej spôsobilosti alebo relevantných väzieb posudzovanej osoby.</w:t>
      </w:r>
    </w:p>
    <w:p w14:paraId="7AFD129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Primárnu zodpovednosť za posúdenie splnenia ustanovených podmienok osobami navrhovanými do vrcholového manažmentu alebo do funkcie osoby zabezpečujúcej plnenie úloh pri ochrane pred legalizáciou a financovaním terorizmu, ako aj osobou, ktorá má záujem stať sa konečným užívateľom výhod poskytovateľa služieb hromadného financovania, nesie samotný poskytovateľ služieb hromadného financovania. Splnenie týchto podmienok následne overuje Národná banka Slovenska v rámci predchádzajúceho oznámenia personálnych a vlastníckych zmien , čím sa  zabezpečuje možnosť preskúmania navrhovanej zmeny ešte pred jej uskutočnením. Zavedený mechanizmus fikcie súhlasu zároveň zabezpečuje časovú predvídateľnosť postupu a bráni tomu, aby nečinnosť orgánu dohľadu neprimerane odkladala uskutočnenie zmeny. Následok neplatnosti právneho úkonu má zabrániť obchádzaniu nesúhlasného stanoviska Národnej banky Slovenska pri personálnych a vlastníckych zmenách, ak dotknuté osoby nespĺňajú zákonom ustanovené podmienky, a tým zamedziť vystaveniu vybranej povinnej osoby zvýšenému riziku legalizácie a financovania terorizmu a zabezpečiť účinnosť preventívnej kontroly.</w:t>
      </w:r>
    </w:p>
    <w:p w14:paraId="59BFFCA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Ak sa preukáže nesplnenie ustanovených požiadaviek, Národná banka Slovenska je oprávnená uložiť opatrenia smerujúce k odstráneniu nevyhovujúceho personálneho alebo vlastníckeho usporiadania. Uložené opatrenie má predovšetkým nápravný charakter a musí zodpovedať povahe zisteného nedostatku. Dočasné pozastavenie výkonu funkcie umožňuje zachovať proporcionalitu najmä v prípadoch, keď možno chýbajúcu podmienku odbornej spôsobilosti alebo dôveryhodnosti odstrániť bez definitívneho ukončenia pôsobenia osoby vo funkcii.</w:t>
      </w:r>
    </w:p>
    <w:p w14:paraId="354BA66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Overovanie údajov prostredníctvom príslušných evidencií a centrálnej databázy umožňuje Národnej banke Slovenska vychádzať nielen z dokladov a vyhlásení predložených povinnou osobou, ale aj z informácií dostupných orgánom dohľadu. Tým sa posilňuje spoľahlivosť preverovania a obmedzuje riziko zatajenia skutočností významných pre posúdenie bezúhonnosti alebo dôveryhodnosti.</w:t>
      </w:r>
    </w:p>
    <w:p w14:paraId="323B5ED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Navrhovaná úprava tak vytvára preventívny a rizikovo orientovaný systém kontroly osôb, ktoré majú rozhodujúci vplyv na riadenie alebo vlastnícku štruktúru vybraných povinných osôb, a poskytuje Národnej banke Slovenska primerané nástroje na odstránenie zistených nedostatkov.</w:t>
      </w:r>
    </w:p>
    <w:p w14:paraId="2AB2120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b/>
          <w:bCs/>
          <w:sz w:val="24"/>
          <w:szCs w:val="24"/>
          <w:u w:val="single"/>
        </w:rPr>
        <w:t xml:space="preserve">K § 52: </w:t>
      </w:r>
    </w:p>
    <w:p w14:paraId="0C6A920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Navrhovaným ustanovením sa zriaďuje register zahraničných právnych subjektov ako informačný systém verejnej správy. Účelom registra je zabezpečiť evidenciu údajov o zahraničných právnych subjektoch a zahraničných právnych zoskupeniach a zabezpečiť dostupnosť údajov o ich konečných užívateľoch výhod príslušným orgánom. </w:t>
      </w:r>
    </w:p>
    <w:p w14:paraId="6F70D73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Úprava nadväzuje na čl. 67 nariadenia (EÚ) 2024/1624,  ktorý ustanovuje prípady, v ktorých sú právne subjekty zriadené mimo Európskej únie a zahraničné právne zoskupenia povinné predložiť informácie o svojich konečných užívateľoch výhod do centrálneho registra členského štátu. Ide najmä o prípady naviazania obchodného vzťahu, nadobudnutia nehnuteľnosti, uskutočnenia určených príležitostných transakcií alebo účasti na verejnom obstarávaní či koncesii za podmienok ustanovených týmto nariadením.  </w:t>
      </w:r>
    </w:p>
    <w:p w14:paraId="56FCDCB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odseku 1 sa ustanovuje právne postavenie registra zahraničných právnych subjektov a určuje sa jeho správca a prevádzkovateľ, ktorým je Ministerstvo vnútra Slovenskej republiky. </w:t>
      </w:r>
      <w:r w:rsidRPr="00146994">
        <w:rPr>
          <w:rFonts w:ascii="Times New Roman" w:hAnsi="Times New Roman"/>
          <w:sz w:val="24"/>
          <w:szCs w:val="24"/>
        </w:rPr>
        <w:lastRenderedPageBreak/>
        <w:t xml:space="preserve">Zverenie správy a prevádzky registra ministerstvu vytvára organizačný a technický rámec na jednotné vedenie registra a spracúvanie údajov zapisovaných do registra. </w:t>
      </w:r>
    </w:p>
    <w:p w14:paraId="3DACA8B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odseku 2 sa vymedzuje osobný rozsah zapisovaných subjektov. Do registra sa zapisujú údaje o zahraničných právnych subjektoch a zahraničných právnych zoskupeniach v prípadoch, v ktorých im registračná povinnosť vzniká podľa čl. 67 nariadenia (EÚ) 2024/1624. Na účely predmetnej právnej úpravy sa pre zahraničný právny subjekt a zahraničné právne zoskupenie zavádza spoločné legislatívne označenie „zahraničný právny subjekt“. </w:t>
      </w:r>
    </w:p>
    <w:p w14:paraId="23D0F92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odseku 3 sa taxatívne vymedzuje rozsah údajov zapisovaných do registra. Zapisuje sa najmä názov alebo iné pomenovanie zahraničného právneho subjektu, jeho sídlo, prípadne adresa miesta, z ktorého je spravovaný, ak sídlo nemá, a identifikátor pridelený alebo určený štátom, podľa práva ktorého bol zriadený. Súčasťou zápisu je aj kód štátu, ktorý identifikátor pridelil alebo určil, a označenie identifikátora alebo evidencie, z ktorej tento identifikátor pochádza. Takto vymedzený rozsah údajov umožňuje jednoznačnú identifikáciu zahraničného právneho subjektu aj v prípadoch, keď právny poriadok štátu jeho pôvodu používa odlišný systém identifikácie alebo evidencie právnych subjektov. </w:t>
      </w:r>
    </w:p>
    <w:p w14:paraId="22F2248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Do registra sa zároveň zapisujú identifikačné údaje o konečnom užívateľovi výhod v rozsahu podľa čl. 62 ods. 1 písm. a) nariadenia (EÚ) 2024/1624. Evidencia týchto údajov má zabezpečiť transparentnosť vlastníckych a riadiacich štruktúr zahraničných právnych subjektov a umožniť identifikáciu fyzických osôb, ktoré takýto subjekt v konečnom dôsledku vlastnia alebo kontrolujú. Nariadenie (EÚ) 2024/1624 upravuje pravidlá transparentnosti konečného užívateľa v rámci kapitoly IV.  </w:t>
      </w:r>
    </w:p>
    <w:p w14:paraId="3E6F479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odseku 4 sa určuje osoba oprávnená podať návrh na zápis a miestna pôsobnosť orgánu vykonávajúceho zápis. Návrh na zápis podáva správca zahraničného právneho subjektu, pričom ho môže podať na ktoromkoľvek okresnom úrade v sídle kraja. Možnosť podať návrh na ktoromkoľvek okresnom úrade v sídle kraja nie je viazaná na sídlo alebo pobyt navrhovateľa a má zjednodušiť splnenie registračnej povinnosti zahraničného právneho subjektu. </w:t>
      </w:r>
    </w:p>
    <w:p w14:paraId="4E199CA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odseku 5 sa upravuje pridelenie jedinečného identifikátora zahraničnému právnemu subjektu. Identifikátor prideľuje okresný úrad v sídle kraja, ktorý vykonal prvý zápis subjektu do registra. Pod týmto identifikátorom je zahraničný právny subjekt následne vedený v registri. Jedinečný identifikátor umožní jednoznačné rozlíšenie jednotlivých zahraničných právnych subjektov a predchádzanie duplicitným zápisom. </w:t>
      </w:r>
    </w:p>
    <w:p w14:paraId="479BB31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odseku 6 sa určuje rozsah verejne prístupných údajov. Verejnosti sa sprístupňuje názov alebo iné pomenovanie zahraničného právneho subjektu a jedinečný identifikátor pridelený okresným úradom v sídle kraja. Ostatné údaje vedené v registri, vrátane údajov o konečnom užívateľovi výhod, nebudú verejne prístupné podľa tohto ustanovenia. Obmedzenie verejného prístupu zohľadňuje potrebu primeranej ochrany osobných údajov zapisovaných fyzických osôb pri súčasnom zachovaní možnosti základnej identifikácie registrovaného zahraničného právneho subjektu. </w:t>
      </w:r>
    </w:p>
    <w:p w14:paraId="3B32864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odseku 7 sa upravujú povinné náležitosti návrhu na zápis. Návrh musí obsahovať všetky údaje ustanovené v odseku 3. Ak návrh tieto náležitosti neobsahuje, okresný úrad v sídle kraja </w:t>
      </w:r>
      <w:r w:rsidRPr="00146994">
        <w:rPr>
          <w:rFonts w:ascii="Times New Roman" w:hAnsi="Times New Roman"/>
          <w:sz w:val="24"/>
          <w:szCs w:val="24"/>
        </w:rPr>
        <w:lastRenderedPageBreak/>
        <w:t xml:space="preserve">zápis do registra zahraničných právnych subjektov nevykoná. Cieľom úpravy je zabezpečiť úplnosť, správnosť a využiteľnosť údajov vedených v registri. </w:t>
      </w:r>
    </w:p>
    <w:p w14:paraId="1C56DEA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odseku 8 sa ustanovuje povinnosť priložiť k návrhu na zápis údajov o konečnom užívateľovi výhod verifikačný dokument. Vo verifikačnom dokumente správca zahraničného právneho subjektu uvedie a odôvodní, na základe akých informácií identifikoval konečného užívateľa výhod, a opíše vlastnícku a riadiacu štruktúru zahraničného právneho subjektu. Verifikačný dokument má umožniť preskúmanie postupu, ktorým bol konečný užívateľ výhod identifikovaný, a posúdenie dôveryhodnosti predložených údajov. </w:t>
      </w:r>
    </w:p>
    <w:p w14:paraId="4BA7E29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Ak z obsahu verifikačného dokumentu vyplývajú pochybnosti o pravdivosti údajov o konečnom užívateľovi výhod, okresný úrad v sídle kraja zápis týchto údajov odmietne vykonať. Ustanovenie má zabrániť zápisu neúplných, nedôveryhodných alebo zjavne nesprávnych údajov a prispieť k zabezpečeniu materiálnej správnosti údajov vedených v registri. </w:t>
      </w:r>
    </w:p>
    <w:p w14:paraId="02AB95D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odseku 9 sa okresnému úradu v sídle kraja, ktorý vykonal zápis do registra, ukladá povinnosť vydať správcovi zahraničného právneho subjektu potvrdenie o vykonaní zápisu. Potvrdenie slúži na preukázanie splnenia registračnej povinnosti zahraničného právneho subjektu, najmä vo vzťahu k povinným osobám a príslušným orgánom. </w:t>
      </w:r>
    </w:p>
    <w:p w14:paraId="0BA11A2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V odseku 10 sa ustanovuje povinnosť FSJ poskytovať okresným úradom v sídle kraja súčinnosť pri zápise údajov do registra a pri vykonávaní ich zmien.</w:t>
      </w:r>
    </w:p>
    <w:p w14:paraId="52F23859"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53:</w:t>
      </w:r>
    </w:p>
    <w:p w14:paraId="3168943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 Navrhované ustanovenie transponuje články 53 a 55 smernice (EÚ) 2024/1640, ktoré upravujú základné pravidlá administratívnoprávnej zodpovednosti povinných osôb a požiadavky na ukladanie peňažných sankcií za porušenie povinností v oblasti ochrany pred legalizáciou a financovaním terorizmu. V súlade s článkom 53 ods. 2 smernice (EÚ) 2024/1640 sa ustanovuje sankčný mechanizmus umožňujúci orgánom dohľadu postihovať porušenia povinností vyplývajúcich najmä z nariadenia (EÚ) 2024/1624 alebo tohto zákona. Cieľom právnej úpravy je zabezpečiť, aby ukladané peňažné sankcie boli účinné, primerané a odrádzajúce a aby rozsah sankčnej zodpovednosti zodpovedal závažnosti a povahe porušenia. Navrhované ustanovenie sčasti preberá už existujúcu úpravu § 33 súčasného AML zákona.</w:t>
      </w:r>
    </w:p>
    <w:p w14:paraId="140B9CD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transponuje článok 55 ods. 1 a 2 smernice (EÚ) 2024/1640 a upravuje ukladanie peňažných sankcií povinnej osobe v nefinančnom sektore za závažné, opakované alebo systematické nesplnenie alebo porušenie povinností ustanovených v nariadení (EÚ) 2024/1624 alebo v príslušnom technickom predpise. Ide predovšetkým o povinnosti tvoriace základ preventívneho systému AML/CFT, najmä povinnosti súvisiace s vnútornými politikami, postupmi a kontrolami povinných osôb, hodnotením rizík legalizácie a financovania terorizmu, náležitou starostlivosťou vo vzťahu ku klientovi, identifikáciou a overením totožnosti klienta a konečného užívateľa výhod, zistením účelu a plánovanej povahy obchodného vzťahu a jeho priebežným monitorovaním, odmietnutím obchodu alebo uzavretia obchodného vzťahu, zdržaním obchodov, uplatňovaním opatrení vo vzťahu k politicky exponovaným osobám, plnením ohlasovacích povinností, uchovávaním údajov a pod. </w:t>
      </w:r>
    </w:p>
    <w:p w14:paraId="1C8C8BD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V intenciách smernice (EÚ) 2024/1640 sa za takéto porušenia sa pre povinné osoby, na ktoré sa nevzťahuje osobitný sankčný režim finančného sektora, ustanovuje horná hranica pokuty vo </w:t>
      </w:r>
      <w:r w:rsidRPr="00146994">
        <w:rPr>
          <w:rFonts w:ascii="Times New Roman" w:hAnsi="Times New Roman"/>
          <w:sz w:val="24"/>
          <w:szCs w:val="24"/>
        </w:rPr>
        <w:lastRenderedPageBreak/>
        <w:t xml:space="preserve">výške dvojnásobku neoprávneného prospechu získaného porušením povinnosti, ak je možné tento prospech určiť, alebo vo výške 1 000 000 eur, podľa toho, ktorá z týchto hodnôt je vyššia. Takto ustanovená výška sankcie má zabezpečiť, aby porušenie povinností nemohlo byť pre povinnú osobu ekonomicky výhodné (pokuta musí byť citeľná v majetkovej oblasti konkrétnej povinnej osoby). Uložená pokuta by mala plniť taktiež preventívnu úlohu, najmä vo vzťahu k ostatným nositeľom totožných zákonných a </w:t>
      </w:r>
      <w:proofErr w:type="spellStart"/>
      <w:r w:rsidRPr="00146994">
        <w:rPr>
          <w:rFonts w:ascii="Times New Roman" w:hAnsi="Times New Roman"/>
          <w:sz w:val="24"/>
          <w:szCs w:val="24"/>
        </w:rPr>
        <w:t>únijných</w:t>
      </w:r>
      <w:proofErr w:type="spellEnd"/>
      <w:r w:rsidRPr="00146994">
        <w:rPr>
          <w:rFonts w:ascii="Times New Roman" w:hAnsi="Times New Roman"/>
          <w:sz w:val="24"/>
          <w:szCs w:val="24"/>
        </w:rPr>
        <w:t xml:space="preserve"> povinností (generálne pôsobenie), ktorých musí mať silu odradiť od protiprávneho postupu.</w:t>
      </w:r>
    </w:p>
    <w:p w14:paraId="56DCB51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2 transponuje článok 55 ods. 3 smernice (EÚ) 2024/1640, ktorý ustanovuje osobitné minimálne požiadavky na maximálne peňažné sankcie ukladané úverovým inštitúciám a finančným inštitúciám, ako špeciálnemu subjektu postihu. Orgán dohľadu uloží povinnej osobe vo finančnom sektore pokutu závažné, opakované alebo systematické nesplnenie alebo porušenie niektorej z povinností podľa odseku 1 a ďalších ustanovení nariadenia (EÚ) 2024/1624, ktoré sa vzťahujú na finančné činnosti, ako aj za porušenie  nariadenia (EÚ) č. 2023/1113. Vzhľadom na povahu, rozsah činnosti a systémový význam subjektov finančného sektora sa pri právnických osobách ustanovuje možnosť uložiť pokutu do výšky 10 000 000 eur alebo do výšky 10 % celkového ročného obratu, podľa toho, ktorá z týchto hodnôt je vyššia. Ak je povinná osoba súčasťou konsolidovaného celku, pri určení maximálnej výšky pokuty sa vychádza z celkového ročného obratu príslušného konsolidovaného celku. Ak ide o fyzickú osobu, maximálna výška pokuty sa ustanovuje na 5 000 000 eur.</w:t>
      </w:r>
    </w:p>
    <w:p w14:paraId="6C1CA10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3 vytvára sankčný rámec aj pre porušenia, ktoré nedosahujú intenzitu závažného, opakovaného alebo systematického porušenia, ako aj pre porušenie ďalších povinností ustanovených týmto zákonom a pre prípady nedodržania administratívnych opatrení uložených orgánom dohľadu. Ustanovenie tak zabezpečuje, aby sankčný mechanizmus pokrýval celé spektrum porušení povinností a umožňoval orgánu dohľadu primerane odstupňovať sankčnú reakciu podľa povahy a závažnosti konkrétneho porušenia. Pre tieto prípady sa ustanovuje horná hranica pokuty vo výške 500 000 eur</w:t>
      </w:r>
    </w:p>
    <w:p w14:paraId="215A69A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4 upravuje osobitnú sankčnú právomoc FSJ vo vzťahu k povinným osobám, nad ktorými vykonáva dohľad Národná banka Slovenska alebo Úrad pre reguláciu hazardných hier. Dôvodom tejto úpravy je skutočnosť, že niektoré povinnosti podľa nariadenia (EÚ) 2024/1624 a tohto zákona plnia všetky povinné osoby priamo vo vzťahu k FSJ. Ak FSJ pri plnení svojich zákonných úloh zistí porušenie takýchto povinností, musí mať možnosť zabezpečiť ich účinné sankčné presadzovanie bez ohľadu na to, ktorý orgán vykonáva nad príslušnou povinnou osobou komplexný dohľad. Pôjde napríklad o prípady porušenia povinností pri ohlasovaní podozrivých transakcií, nesplnení pokynov Finančnej spravodajskej jednotky podľa § 21 až 23 návrhu zákona, atď.  </w:t>
      </w:r>
    </w:p>
    <w:p w14:paraId="2494ED7D" w14:textId="77777777" w:rsidR="00146994" w:rsidRPr="00146994" w:rsidRDefault="00146994" w:rsidP="00146994">
      <w:pPr>
        <w:spacing w:after="120" w:line="276" w:lineRule="auto"/>
        <w:jc w:val="both"/>
        <w:rPr>
          <w:rFonts w:ascii="Times New Roman" w:hAnsi="Times New Roman"/>
          <w:color w:val="000000" w:themeColor="text1"/>
          <w:sz w:val="24"/>
          <w:szCs w:val="24"/>
        </w:rPr>
      </w:pPr>
      <w:r w:rsidRPr="00146994">
        <w:rPr>
          <w:rFonts w:ascii="Times New Roman" w:hAnsi="Times New Roman"/>
          <w:color w:val="000000" w:themeColor="text1"/>
          <w:sz w:val="24"/>
          <w:szCs w:val="24"/>
        </w:rPr>
        <w:t>Odsek 5</w:t>
      </w:r>
      <w:r w:rsidRPr="00146994">
        <w:rPr>
          <w:rFonts w:ascii="Times New Roman" w:hAnsi="Times New Roman"/>
          <w:sz w:val="24"/>
          <w:szCs w:val="24"/>
        </w:rPr>
        <w:t xml:space="preserve"> reaguje na u</w:t>
      </w:r>
      <w:r w:rsidRPr="00146994">
        <w:rPr>
          <w:rFonts w:ascii="Times New Roman" w:hAnsi="Times New Roman"/>
          <w:color w:val="000000" w:themeColor="text1"/>
          <w:sz w:val="24"/>
          <w:szCs w:val="24"/>
        </w:rPr>
        <w:t>stanovenie§ 9 návrhu zákona, ktorý osobitne vymedzuje rozsah AML/CFT povinností v prípade vnútroštátneho správcu a združení majetku. Súčasne sa ako doposiaľ ustanovuje oprávnenie FSJ vykonávať u vnútroštátneho správcu a združení majetku dohľad podľa § 32, ako aj možnosť uložiť pokutu v prípade nesplnenia alebo porušenia AML/CFT povinností.</w:t>
      </w:r>
    </w:p>
    <w:p w14:paraId="00678D8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6 transponuje požiadavku článku 53 ods. 4 smernice (EÚ) 2024/1640, podľa ktorej musí byť v prípade povinností vzťahujúcich sa na právnické osoby možné uplatniť sankčný </w:t>
      </w:r>
      <w:r w:rsidRPr="00146994">
        <w:rPr>
          <w:rFonts w:ascii="Times New Roman" w:hAnsi="Times New Roman"/>
          <w:sz w:val="24"/>
          <w:szCs w:val="24"/>
        </w:rPr>
        <w:lastRenderedPageBreak/>
        <w:t>mechanizmus nielen voči samotnej právnickej osobe, ale aj voči členom jej vrcholového manažmentu a iným fyzickým osobám, ktoré sú podľa vnútroštátneho práva zodpovedné za porušenie. Uvedená požiadavka vyplýva aj z odporúčania FATF č. 28.4 c). Zavádza sa preto možnosť uložiť pokutu členovi vrcholového manažmentu alebo inej fyzickej osobe pôsobiacej v povinnej osobe, ktorá je zodpovedná za konkrétne porušenie povinnosti. Výška sankcie sa viaže na príjem tejto osoby od povinnej osoby, čím sa zabezpečuje jej individualizácia a primeranosť s prihliadnutím na ekonomické pomery zodpovednej osoby.</w:t>
      </w:r>
    </w:p>
    <w:p w14:paraId="1FAC7771"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7 ustanovuje možnosť Okresného úradu v sídle kraja za nesplnenie niektorej z povinností ustanovených v § 52, uložiť  pokutu správcovi zahraničného zvereneckého fondu do 1 000 eur.</w:t>
      </w:r>
    </w:p>
    <w:p w14:paraId="366EDAE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8 ustanovuje v súlade s článkom 53 ods. 6 smernice (EÚ) 2024/1640 kritériá, ktoré orgán dohľadu zohľadňuje pri určovaní druhu a výšky peňažnej sankcie alebo administratívneho opatrenia. Ustanovenie vychádza z § 33 ods. 5 súčasného AML zákona. Pri rozhodovaní sa zohľadňuje najmä závažnosť a dĺžka trvania protiprávneho konania, jeho opakovaný charakter, miera zodpovednosti povinnej osoby a </w:t>
      </w:r>
      <w:r w:rsidRPr="00146994">
        <w:rPr>
          <w:rFonts w:ascii="Times New Roman" w:hAnsi="Times New Roman"/>
          <w:sz w:val="24"/>
          <w:szCs w:val="24"/>
          <w:lang w:eastAsia="sk-SK"/>
        </w:rPr>
        <w:t>fyzickej osoby zodpovednej za porušenie povinnosti</w:t>
      </w:r>
      <w:r w:rsidRPr="00146994">
        <w:rPr>
          <w:rFonts w:ascii="Times New Roman" w:hAnsi="Times New Roman"/>
          <w:sz w:val="24"/>
          <w:szCs w:val="24"/>
        </w:rPr>
        <w:t xml:space="preserve">, veľkosť a povaha podnikateľskej činnosti povinnej osoby, finančná situácia a schopnosť zodpovednej osoby zaplatiť pokutu (aby nebola likvidačná), výška dosiahnutého prospechu a spôsobených strát, úroveň spolupráce s orgánom dohľadu, predchádzajúce porušenia a sankcie uložené za rovnaké porušenie. </w:t>
      </w:r>
    </w:p>
    <w:p w14:paraId="55D0C8A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Účelom právnej úpravy je zabezpečiť individualizáciu sankcie alebo administratívneho opatrenia s prihliadnutím na všetky relevantné okolnosti konkrétneho prípadu a tým naplniť požiadavku, aby sankcie a administratívne opatrenia boli účinné, primerané a odrádzajúce. Výpočet okolností nie je taxatívny. Orgán dohľadu je povinný zohľadniť všetky ďalšie relevantné okolnosti konkrétneho prípadu v rozsahu, v akom ich možno vzhľadom na povahu porušenia a osobu, voči ktorej sa postupuje, aplikovať.</w:t>
      </w:r>
    </w:p>
    <w:p w14:paraId="45AD93D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9 upravuje lehoty, v ktorých môže FSJ uložiť peňažnú sankciu alebo administratívne opatrenie, ako aj okamih rozhodujúci pre začatie plynutia subjektívnej lehoty. Ustanovenie nepredstavuje priamu transpozíciu článkov 53 a 55 smernice (EÚ) 2024/1640, ale vnútroštátnu procesnú úpravu zabezpečujúcu právnu istotu pri uplatňovaní administratívnoprávnej zodpovednosti. Ustanovenie preberá už existujúcu úpravu § 33 ods. 6 súčasného AML zákona. </w:t>
      </w:r>
    </w:p>
    <w:p w14:paraId="2F0E7B2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Zachováva sa trojročná subjektívna lehota odo dňa, keď FSJ porušenie povinnosti zistila, a sedemročná objektívna lehota odo dňa, keď k porušeniu povinnosti došlo. Ide o zachovanie základnej koncepcie lehôt uplatňovanej už podľa doterajšej právnej úpravy. Na odstránenie pochybností o okamihu začatia plynutia subjektívnej lehoty sa výslovne ustanovuje, že porušenie povinnosti sa považuje za zistené dňom vypracovania písomného oboznámenia s kontrolnými zisteniami. Ide o objektivizovaný procesný moment, keď sú výsledky dohľadu zachytené v písomnej podobe v rozsahu umožňujúcom identifikovať konkrétne porušenie povinnosti. Kombinácia subjektívnej a objektívnej lehoty sleduje vyváženie dvoch požiadaviek. Na jednej strane poskytuje FSJ dostatočný časový priestor na riadne vyhodnotenie skutkových okolností a vedenie sankčného konania, najmä pri skutkovo alebo právne zložitých porušeniach. Na druhej strane objektívna sedemročná lehota stanovuje konečnú časovú hranicu administratívnoprávnej zodpovednosti a tým zabezpečuje právnu istotu adresátov právnej normy.</w:t>
      </w:r>
    </w:p>
    <w:p w14:paraId="59972FE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 xml:space="preserve">Odsek 10 predstavuje transpozíciu článku 55 ods. 5 smernice (EÚ) 2024/1640, podľa ktorého ak by peňažná sankcia mohla mať vplyv na dodržiavanie </w:t>
      </w:r>
      <w:proofErr w:type="spellStart"/>
      <w:r w:rsidRPr="00146994">
        <w:rPr>
          <w:rFonts w:ascii="Times New Roman" w:hAnsi="Times New Roman"/>
          <w:sz w:val="24"/>
          <w:szCs w:val="24"/>
        </w:rPr>
        <w:t>prudenciálnej</w:t>
      </w:r>
      <w:proofErr w:type="spellEnd"/>
      <w:r w:rsidRPr="00146994">
        <w:rPr>
          <w:rFonts w:ascii="Times New Roman" w:hAnsi="Times New Roman"/>
          <w:sz w:val="24"/>
          <w:szCs w:val="24"/>
        </w:rPr>
        <w:t xml:space="preserve"> regulácie, orgány dohľadu sú povinné jej uloženie konzultovať s orgánmi príslušnými na dohľad nad dodržiavaním príslušných právnych aktov Únie.  </w:t>
      </w:r>
    </w:p>
    <w:p w14:paraId="1816901C" w14:textId="77777777" w:rsidR="00146994" w:rsidRPr="00146994" w:rsidRDefault="00146994" w:rsidP="00146994">
      <w:pPr>
        <w:spacing w:after="120" w:line="276" w:lineRule="auto"/>
        <w:jc w:val="both"/>
        <w:rPr>
          <w:rFonts w:ascii="Times New Roman" w:hAnsi="Times New Roman"/>
          <w:sz w:val="24"/>
          <w:szCs w:val="24"/>
          <w:lang w:eastAsia="sk-SK"/>
        </w:rPr>
      </w:pPr>
      <w:r w:rsidRPr="00146994">
        <w:rPr>
          <w:rFonts w:ascii="Times New Roman" w:hAnsi="Times New Roman"/>
          <w:sz w:val="24"/>
          <w:szCs w:val="24"/>
        </w:rPr>
        <w:t xml:space="preserve">Odsek 11 zachováva a precizuje vnútroštátny mechanizmus informovania Národnej banky Slovenska a Úradu pre reguláciu hazardných hier o sankčných konaniach vedených FSJ podľa odseku 4 písm. a), </w:t>
      </w:r>
      <w:proofErr w:type="spellStart"/>
      <w:r w:rsidRPr="00146994">
        <w:rPr>
          <w:rFonts w:ascii="Times New Roman" w:hAnsi="Times New Roman"/>
          <w:sz w:val="24"/>
          <w:szCs w:val="24"/>
        </w:rPr>
        <w:t>t.j</w:t>
      </w:r>
      <w:proofErr w:type="spellEnd"/>
      <w:r w:rsidRPr="00146994">
        <w:rPr>
          <w:rFonts w:ascii="Times New Roman" w:hAnsi="Times New Roman"/>
          <w:sz w:val="24"/>
          <w:szCs w:val="24"/>
        </w:rPr>
        <w:t xml:space="preserve">. vo vzťahu k povinnej osobe, nad ktorou vykonávajú dohľad. Ustanovenie sčasti preberá už existujúcu úpravu § 29 ods. 4 až 6 súčasného AML zákona. </w:t>
      </w:r>
      <w:r w:rsidRPr="00146994">
        <w:rPr>
          <w:rFonts w:ascii="Times New Roman" w:hAnsi="Times New Roman"/>
          <w:sz w:val="24"/>
          <w:szCs w:val="24"/>
          <w:lang w:eastAsia="sk-SK"/>
        </w:rPr>
        <w:t xml:space="preserve">Zaslanie právoplatného rozhodnutia následne umožňuje </w:t>
      </w:r>
      <w:r w:rsidRPr="00146994">
        <w:rPr>
          <w:rFonts w:ascii="Times New Roman" w:hAnsi="Times New Roman"/>
          <w:sz w:val="24"/>
          <w:szCs w:val="24"/>
        </w:rPr>
        <w:t>Národnej banke Slovenska a Úradu pre reguláciu hazardných hier</w:t>
      </w:r>
      <w:r w:rsidRPr="00146994">
        <w:rPr>
          <w:rFonts w:ascii="Times New Roman" w:hAnsi="Times New Roman"/>
          <w:sz w:val="24"/>
          <w:szCs w:val="24"/>
          <w:lang w:eastAsia="sk-SK"/>
        </w:rPr>
        <w:t xml:space="preserve"> poznať konečný výsledok konania a skutkové a právne závery FSJ. Ustanovenie tak umožňuje týmto </w:t>
      </w:r>
      <w:r w:rsidRPr="00146994">
        <w:rPr>
          <w:rFonts w:ascii="Times New Roman" w:hAnsi="Times New Roman"/>
          <w:sz w:val="24"/>
          <w:szCs w:val="24"/>
        </w:rPr>
        <w:t xml:space="preserve">orgánom dohľadu </w:t>
      </w:r>
      <w:r w:rsidRPr="00146994">
        <w:rPr>
          <w:rFonts w:ascii="Times New Roman" w:hAnsi="Times New Roman"/>
          <w:sz w:val="24"/>
          <w:szCs w:val="24"/>
          <w:lang w:eastAsia="sk-SK"/>
        </w:rPr>
        <w:t>získavať komplexný prehľad o porušeniach AML/CFT povinností zistených FSJ pri plnení svojich úloh a o výsledkoch sankčných konaní. Tieto informácie môžu byť využité najmä pri identifikácii opakujúcich sa alebo systémových nedostatkov, pri národnom a sektorovom hodnotení rizík, pri vedení štatistických údajov, pri metodickej a koordinačnej činnosti a pri posudzovaní celkovej efektívnosti vnútroštátneho systému AML/CFT.</w:t>
      </w:r>
    </w:p>
    <w:p w14:paraId="34A34310"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54:</w:t>
      </w:r>
    </w:p>
    <w:p w14:paraId="76507BD3"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transponuje článok 56 smernice (EÚ) 2024/1640 a upravuje právomoc orgánov dohľadu uplatňovať voči povinným osobám administratívne opatrenia. Ich účelom je zabezpečiť odstránenie zistených nedostatkov, predchádzať vzniku alebo pokračovaniu porušovania povinností a primerane reagovať na riziká legalizácie výnosov z trestnej činnosti a financovania terorizmu. Na rozdiel od peňažných sankcií podľa § 53 nie je primárnym účelom administratívnych opatrení postih povinnej osoby za protiprávne konanie, ale predovšetkým dosiahnutie nápravy a zabezpečenie budúceho súladu jej činnosti s požiadavkami tohto zákona alebo príslušného nariadenia. </w:t>
      </w:r>
    </w:p>
    <w:p w14:paraId="08AB44A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Administratívne opatrenia preto predstavujú preventívny a nápravný nástroj dohľadu, ktorý umožňuje reagovať nielen na už existujúce porušenie povinnosti, ale aj na nedostatky, ktoré môžu viesť k jej porušeniu. Takéto vymedzenie zodpovedá koncepcii článku 56 smernice (EÚ) 2024/1640. Navrhovaný § 54 rozlišuje porušenie povinnosti, nedostatky vo vnútorných politikách, postupoch a kontrolách a ich neprimeranosť vo vzťahu k identifikovaným rizikám.</w:t>
      </w:r>
    </w:p>
    <w:p w14:paraId="2D750C2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 Odsek 1 transponuje článok 56 ods. 1 smernice (EÚ) 2024/1640 a vymedzuje tri základné situácie, v ktorých môže orgán dohľadu uložiť povinnej osobe administratívne opatrenie. Ide jednak o nesplnenie alebo porušenie povinností ustanovených týmto zákonom alebo osobitným predpisom, jednak o nedostatky vo vnútorných politikách, postupoch a kontrolách povinnej osoby, ktoré môžu viesť k porušeniu povinností. Administratívne opatrenie možno uplatniť aj v prípade, ak vnútorné politiky, postupy alebo kontroly povinnej osoby nie sú primerané rizikám legalizácie alebo financovania terorizmu, ktorým je povinná osoba vystavená. Umožňuje sa tak preventívny zásah orgánu dohľadu ešte predtým, ako nedostatok vo vnútornom systéme povinnej osoby vyústi do konkrétneho porušenia právnej povinnosti. Ustanovenie tým zohľadňuje rizikovo orientovaný charakter systému AML/CFT dohľadu. Ustanovenie tým posilňuje rizikovo orientovaný a preventívny charakter dohľadu, keďže orgán dohľadu nemusí s prijatím opatrenia čakať až na vznik konkrétneho porušenia povinnosti.</w:t>
      </w:r>
    </w:p>
    <w:p w14:paraId="7E5F7C4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lastRenderedPageBreak/>
        <w:t xml:space="preserve">Odsek 2 transponuje článok 56 ods. 1 písm. a) smernice (EÚ) 2024/1640 a upravuje vzťah administratívnych opatrení k peňažným sankciám. Administratívne opatrenie možno uložiť samostatne alebo, pri závažnom, opakovanom alebo systematickom porušení povinností, v kombinácii s peňažnou sankciou podľa § 53. Súbežné uplatnenie oboch nástrojov sleduje rozdielne účely. Peňažná sankcia predstavuje postih za porušenie povinnosti, zatiaľ čo administratívne opatrenie smeruje predovšetkým k odstráneniu nedostatku, ukončeniu protiprávneho stavu alebo zníženiu rizika jeho opakovania. </w:t>
      </w:r>
    </w:p>
    <w:p w14:paraId="302F4FF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upravuje oprávnenie orgánu dohľadu vydať povinnej osobe odporúčanie smerujúce k odstráneniu zisteného porušenia alebo k zvýšeniu účinnosti opatrení prijatých v oblasti AML/CFT. Odporúčanie predstavuje miernejší nástroj </w:t>
      </w:r>
      <w:proofErr w:type="spellStart"/>
      <w:r w:rsidRPr="00146994">
        <w:rPr>
          <w:rFonts w:ascii="Times New Roman" w:hAnsi="Times New Roman"/>
          <w:sz w:val="24"/>
          <w:szCs w:val="24"/>
        </w:rPr>
        <w:t>dohľadového</w:t>
      </w:r>
      <w:proofErr w:type="spellEnd"/>
      <w:r w:rsidRPr="00146994">
        <w:rPr>
          <w:rFonts w:ascii="Times New Roman" w:hAnsi="Times New Roman"/>
          <w:sz w:val="24"/>
          <w:szCs w:val="24"/>
        </w:rPr>
        <w:t xml:space="preserve"> pôsobenia, ktorého cieľom je usmerniť povinnú osobu pri odstraňovaní nedostatkov alebo zlepšovaní vnútorných kontrolných mechanizmov. Jeho využitie umožňuje primerane reagovať na zistenia, pri ktorých možno dosiahnuť požadované zlepšenie bez uloženia ďalších záväzných opatrení.</w:t>
      </w:r>
    </w:p>
    <w:p w14:paraId="221A812E"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4 transponuje článok 56 ods. 2 a 3 smernice (EÚ) 2024/1640 a ustanovuje konkrétne administratívne opatrenia, ktoré môže orgán dohľadu uplatniť podľa povahy a závažnosti zisteného nedostatku. Orgán dohľadu môže najmä požadovať odstránenie nedostatku alebo ukončenie protiprávneho konania, uložiť zmeny vo vnútornej štruktúre riadenia, požadovať odpredaj aktivít a pod. Súčasne sa umožňuje uložiť povinnej osobe povinnosť poskytovať orgánu dohľadu údaje, informácie, dokumenty alebo dodatočné správy, posilniť vnútorné politiky, postupy a kontroly, znížiť významné riziká ML/TF alebo uplatniť osobitné požiadavky vo vzťahu k rizikovým klientom, obchodom, činnostiam alebo distribučným kanálom. Súčasťou systému administratívnych opatrení je aj možnosť verejného vyhlásenia identifikujúceho osobu zodpovednú za nedostatok a povahu porušenia Šírka jednotlivých opatrení umožňuje orgánu dohľadu zvoliť taký zásah, ktorý zodpovedá konkrétnemu porušeniu alebo nedostatku a je nevyhnutný a primeraný na dosiahnutie nápravy. </w:t>
      </w:r>
    </w:p>
    <w:p w14:paraId="6DDA9720" w14:textId="77777777" w:rsidR="00146994" w:rsidRPr="00146994" w:rsidRDefault="00146994" w:rsidP="00146994">
      <w:pPr>
        <w:spacing w:after="120"/>
        <w:jc w:val="both"/>
        <w:rPr>
          <w:rFonts w:ascii="Times New Roman" w:hAnsi="Times New Roman"/>
          <w:sz w:val="24"/>
          <w:szCs w:val="24"/>
        </w:rPr>
      </w:pPr>
      <w:r w:rsidRPr="00146994">
        <w:rPr>
          <w:rFonts w:ascii="Times New Roman" w:hAnsi="Times New Roman"/>
          <w:sz w:val="24"/>
          <w:szCs w:val="24"/>
        </w:rPr>
        <w:t>Odsek 5 upravuje možnosť uložiť fyzickej osobe zodpovednej za porušenie ustanovenej povinnosti dočasný zákaz výkonu riadiacich funkcií v povinných osobách. Účelom je zabrániť pokračovaniu výkonu riadiacich funkcií osobou, ktorej konanie alebo opomenutie viedlo k porušeniu povinností a pri ktorej je takéto opatrenie odôvodnené povahou a závažnosťou zisteného porušenia. Opatrenie predstavuje zásah do profesijného pôsobenia fyzickej osoby, preto jeho uplatnenie musí zodpovedať požiadavkám zákonnosti a primeranosti.</w:t>
      </w:r>
    </w:p>
    <w:p w14:paraId="75E4A98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6 transponuje článok 56 ods. 4 smernice (EÚ) 2024/1640 a ustanovuje povinnosť orgánu dohľadu určiť primeranú lehotu na splnenie administratívneho opatrenia. Primeranosť lehoty sa posudzuje najmä s prihliadnutím na povahu uloženého opatrenia, rozsah potrebnej nápravy, závažnosť nedostatku a objektívnu časovú náročnosť jeho odstránenia. Povinná osoba je zároveň povinná informovať orgán dohľadu o splnení administratívneho opatrenia bez zbytočného odkladu, najneskôr do desiatich dní po uplynutí lehoty určenej na jeho splnenie. Oznamovacia povinnosť umožňuje orgánu dohľadu priebežne vyhodnocovať plnenie uložených opatrení a v prípade ich nesplnenia uplatniť ďalšie nástroje dohľadu vrátane penále podľa § 55. </w:t>
      </w:r>
    </w:p>
    <w:p w14:paraId="6048601B"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7 upravuje osobitný postup pri pretrvávajúcom nesplnení administratívneho opatrenia, ktorého krajným dôsledkom môže byť pozastavenie alebo odobratie oprávnenia na výkon </w:t>
      </w:r>
      <w:r w:rsidRPr="00146994">
        <w:rPr>
          <w:rFonts w:ascii="Times New Roman" w:hAnsi="Times New Roman"/>
          <w:sz w:val="24"/>
          <w:szCs w:val="24"/>
        </w:rPr>
        <w:lastRenderedPageBreak/>
        <w:t xml:space="preserve">podnikateľskej alebo inej samostatnej zárobkovej činnosti, ak výkon tejto činnosti podlieha povoleniu. Navrhovaná právna úprava zavádza odstupňovaný mechanizmus zabezpečenia nápravy, v rámci ktorého pozastavenie alebo odobratie oprávnenia nadväzuje až na neúspešné využitie dodatočného penále podľa § 55 ods. 4. Rozhodujúcou podmienkou uplatnenia tohto opatrenia je, že povinná osoba nesplnila administratívne opatrenie ani po uplynutí dodatočného obdobia, na ktoré jej bolo uložené penále. Povinná osoba tak má možnosť odstrániť zistený nedostatok aj počas ďalšieho obdobia finančného donucovania. Takto ustanovená postupnosť sleduje dosiahnutie nápravy pred uplatnením opatrenia, ktoré môže zásadným spôsobom obmedziť alebo znemožniť ďalší výkon regulovanej činnosti. Zároveň zohľadňuje požiadavku primeranosti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zásahov a potrebu zachovať účinné nástroje vynucovania zákonných povinností. Pozastavenie alebo odobratie oprávnenia preto predstavuje krajný dôsledok dlhodobého nesplnenia administratívneho opatrenia napriek predchádzajúcemu využitiu</w:t>
      </w:r>
    </w:p>
    <w:p w14:paraId="539BD15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8 predstavuje následný procesný postup pri zabezpečení vykonania právoplatného rozhodnutia o uložení administratívneho opatrenia podľa odseku 7. Orgán dohľadu zašle predmetné rozhodnutie v ustanovenej lehote orgánu, ktorý je podľa osobitného predpisu príslušný na rozhodovanie o oprávnení na výkon príslušnej činnosti (živnostenský úrad, Notárska komora, Slovenská advokátska komora, Slovenská komora audítorov, Slovenská komora daňových poradcov a pod.). Ustanovenie zabezpečuje funkčné prepojenie AML/CFT dohľadu s osobitnými povoľovacími a profesijnými režimami.</w:t>
      </w:r>
    </w:p>
    <w:p w14:paraId="1BBAAECE"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55:</w:t>
      </w:r>
    </w:p>
    <w:p w14:paraId="63D0D12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Navrhované ustanovenie transponuje článok 57 smernice (EÚ) 2024/1640 a zavádza penále ako osobitný donucovací prostriedok určený na zabezpečenie splnenia vybraných administratívnych opatrení uložených orgánom dohľadu. Penále je potrebné odlišovať od peňažnej sankcie podľa § 55. Jeho účelom nie je sankcionovať povinnú osobu za pôvodné porušenie právnej povinnosti, ale vytvoriť ekonomický tlak smerujúci k splneniu už uloženého administratívneho opatrenia. Má preto predovšetkým donucovaciu a preventívnu povahu a jeho uplatňovanie je viazané na trvanie stavu, keď uložené administratívne opatrenie nebolo splnené. Cieľom je teda posilniť vymožiteľnosť rozhodnutí orgánu dohľadu a zabezpečiť, aby povinné osoby plnili uložené povinnosti riadne a včas.</w:t>
      </w:r>
    </w:p>
    <w:p w14:paraId="5CF4A77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transponuje článok 57 ods. 1 smernice (EÚ) 2024/1640 a vymedzuje základný predpoklad uloženia penále. Penále možno uložiť vtedy, ak povinná osoba v lehote určenej orgánom dohľadu nesplní príslušné administratívne opatrenie podľa § 54 ods. 4 písm. a) až d). </w:t>
      </w:r>
    </w:p>
    <w:p w14:paraId="30C9B2C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transponuje článok 57 ods. 5 smernice (EÚ) 2024/1640 a umožňuje orgánu dohľadu rozhodnúť o penále už súčasne s uložením administratívneho opatrenia. V takom prípade je jeho uplatnenie viazané na márne uplynutie lehoty určenej na splnenie administratívneho opatrenia. Orgán dohľadu zároveň v rozhodnutí určí dennú výšku penále. Takáto konštrukcia umožňuje, aby donucovací mechanizmus nastúpil bez potreby ďalšieho zdĺhavého postupu po tom, čo povinná osoba nesplnila uložené opatrenie v určenej lehote. </w:t>
      </w:r>
    </w:p>
    <w:p w14:paraId="44DC9D1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transponuje článok 57 ods. 2 a 4 smernice (EÚ) 2024/1640 a upravuje sa obdobie, počas ktorého vzniká penále za nesplnenie administratívneho opatrenia. Penále vzniká za každý deň trvania nesplnenia administratívneho opatrenia, pričom jeho uplatňovanie je časovo </w:t>
      </w:r>
      <w:r w:rsidRPr="00146994">
        <w:rPr>
          <w:rFonts w:ascii="Times New Roman" w:hAnsi="Times New Roman"/>
          <w:sz w:val="24"/>
          <w:szCs w:val="24"/>
        </w:rPr>
        <w:lastRenderedPageBreak/>
        <w:t xml:space="preserve">obmedzené najviac na šesť mesiacov. Časové obmedzenie zabraňuje tomu, aby sa penále zmenilo na časovo neobmedzené finančné zaťaženie. </w:t>
      </w:r>
    </w:p>
    <w:p w14:paraId="5E834D8D"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4</w:t>
      </w:r>
      <w:r w:rsidRPr="00146994">
        <w:t xml:space="preserve"> </w:t>
      </w:r>
      <w:r w:rsidRPr="00146994">
        <w:rPr>
          <w:rFonts w:ascii="Times New Roman" w:hAnsi="Times New Roman"/>
          <w:sz w:val="24"/>
          <w:szCs w:val="24"/>
        </w:rPr>
        <w:t xml:space="preserve">upravuje možnosť uložiť penále na dodatočné obdobie, ak povinná osoba nesplní administratívne opatrenie ani po uplynutí pôvodného obdobia podľa odseku 3. Dodatočné obdobie môže trvať najviac šesť mesiacov a predstavuje ďalší stupeň finančného donucovania smerujúceho k splneniu už uloženej povinnosti. Navrhovaná úprava zároveň vytvára väzbu na § 54 ods. 7, podľa ktorého môže nesplnenie administratívneho opatrenia ani po uplynutí dodatočného obdobia penále viesť k pozastaveniu alebo odobratiu oprávnenia na výkon regulovanej činnosti. Zavedenie dodatočného obdobia penále sleduje požiadavku postupného a primeraného uplatňovania </w:t>
      </w:r>
      <w:proofErr w:type="spellStart"/>
      <w:r w:rsidRPr="00146994">
        <w:rPr>
          <w:rFonts w:ascii="Times New Roman" w:hAnsi="Times New Roman"/>
          <w:sz w:val="24"/>
          <w:szCs w:val="24"/>
        </w:rPr>
        <w:t>dohľadových</w:t>
      </w:r>
      <w:proofErr w:type="spellEnd"/>
      <w:r w:rsidRPr="00146994">
        <w:rPr>
          <w:rFonts w:ascii="Times New Roman" w:hAnsi="Times New Roman"/>
          <w:sz w:val="24"/>
          <w:szCs w:val="24"/>
        </w:rPr>
        <w:t xml:space="preserve"> opatrení. Povinná osoba tak získava ďalšiu možnosť odstrániť nedostatky pred uplatnením najzávažnejšieho opatrenia zasahujúceho do jej oprávnenia na výkon činnosti.</w:t>
      </w:r>
    </w:p>
    <w:p w14:paraId="6E42FE0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5</w:t>
      </w:r>
      <w:r w:rsidRPr="00146994">
        <w:t xml:space="preserve"> </w:t>
      </w:r>
      <w:r w:rsidRPr="00146994">
        <w:rPr>
          <w:rFonts w:ascii="Times New Roman" w:hAnsi="Times New Roman"/>
          <w:sz w:val="24"/>
          <w:szCs w:val="24"/>
        </w:rPr>
        <w:t xml:space="preserve"> zabezpečuje, aby bolo možné penále uložiť aj členovi vrcholového manažmentu alebo fyzickej osobe zodpovednej za porušenie, ak sa administratívne opatrenie vzťahuje na povinnosť, za ktorej splnenie táto osoba zodpovedá. Ustanovenie nadväzuje na systém osobnej zodpovednosti fyzických osôb v rámci sankčného a nápravného mechanizmu a na možnosť smerovať niektoré administratívne opatrenia voči osobám vykonávajúcim riadiace úlohy. Smernica (EÚ) 2024/1640 pri pravidelnom penále výslovne rozlišuje právnické a fyzické osoby a stanovuje pre </w:t>
      </w:r>
      <w:proofErr w:type="spellStart"/>
      <w:r w:rsidRPr="00146994">
        <w:rPr>
          <w:rFonts w:ascii="Times New Roman" w:hAnsi="Times New Roman"/>
          <w:sz w:val="24"/>
          <w:szCs w:val="24"/>
        </w:rPr>
        <w:t>ne</w:t>
      </w:r>
      <w:proofErr w:type="spellEnd"/>
      <w:r w:rsidRPr="00146994">
        <w:rPr>
          <w:rFonts w:ascii="Times New Roman" w:hAnsi="Times New Roman"/>
          <w:sz w:val="24"/>
          <w:szCs w:val="24"/>
        </w:rPr>
        <w:t xml:space="preserve"> rozdielne maximálne sadzby. </w:t>
      </w:r>
    </w:p>
    <w:p w14:paraId="1B182A4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6 transponuje článok 57 ods. 3 smernice (EÚ) 2024/1640 a stanovuje maximálnu dennú výšku penále podľa ekonomickej sily osoby, ktorej sa penále ukladá. Pri právnickej osobe nesmie denná výška prekročiť 3 % priemerného denného obratu podľa poslednej riadnej účtovnej závierky a pri fyzickej osobe 2 % priemerného denného príjmu za predchádzajúci kalendárny rok. Viazanie maximálnej sadzby na obrat alebo príjem umožňuje zachovať primeranosť penále vo vzťahu k ekonomickej sile konkrétneho subjektu a zároveň jeho dostatočný donucovací účinok. </w:t>
      </w:r>
    </w:p>
    <w:p w14:paraId="091B00F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7 upravuje vnútroštátny procesný mechanizmus na získanie údajov potrebných na určenie dennej sadzby penále v prípadoch, keď údaje potrebné na jej výpočet nie sú orgánu dohľadu dostupné. Povinnosť predložiť údaje o ročnom obrate alebo príjme je nevyhnutná na praktické uplatnenie limitov ustanovených v odseku 6. Ustanovenie zabraňuje tomu, aby nemožnosť získať potrebné ekonomické údaje znemožnila alebo neprimerane sťažila uplatnenie penále. Nejde o samostatnú požiadavku článku 57 smernice (EÚ) 2024/1640, ale o vnútroštátnu vykonávaciu úpravu zabezpečujúcu jeho efektívnu aplikáciu.</w:t>
      </w:r>
    </w:p>
    <w:p w14:paraId="6C010AC0"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Odsek 8 upravuje spôsob konečného vyčíslenia a splatnosti penále. Po preukázaní splnenia administratívneho opatrenia orgán dohľadu oznámením vyčísli jeho celkovú sumu ako súčin počtu dní, počas ktorých vznikala povinnosť platiť penále, a dennej sadzby určenej v rozhodnutí. Úprava vychádza z priebežnej povahy penále. Konečná suma je preto známa až po určení okamihu, ku ktorému bolo splnenie administratívneho opatrenia orgánu dohľadu preukázané. Ustanovenie zároveň určuje 30-dňovú lehotu splatnosti a ustanovuje, že výnos penále je príjmom štátneho rozpočtu. Ide prevažne o vnútroštátnu procesnú úpravu spôsobu vyčíslenia, splatnosti a rozpočtového určenia penále, ktorá zabezpečuje praktickú realizáciu mechanizmu transponovaného z článku 57 smernice (EÚ) 2024/1640.</w:t>
      </w:r>
    </w:p>
    <w:p w14:paraId="7F064DB9"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lastRenderedPageBreak/>
        <w:t>K § 56:</w:t>
      </w:r>
    </w:p>
    <w:p w14:paraId="2FE0BAA7" w14:textId="77777777" w:rsidR="00146994" w:rsidRPr="00146994" w:rsidRDefault="00146994" w:rsidP="00146994">
      <w:pPr>
        <w:spacing w:after="120" w:line="276" w:lineRule="auto"/>
        <w:jc w:val="both"/>
        <w:rPr>
          <w:rFonts w:ascii="Times New Roman" w:hAnsi="Times New Roman"/>
          <w:color w:val="000000" w:themeColor="text1"/>
          <w:sz w:val="24"/>
          <w:szCs w:val="24"/>
        </w:rPr>
      </w:pPr>
      <w:r w:rsidRPr="00146994">
        <w:rPr>
          <w:rFonts w:ascii="Times New Roman" w:hAnsi="Times New Roman"/>
          <w:sz w:val="24"/>
          <w:szCs w:val="24"/>
        </w:rPr>
        <w:t xml:space="preserve">Navrhované ustanovenie transponuje článok 58 smernice (EÚ) 2024/1640 a v nadväznosti na článok 59 uvedenej smernice upravuje uverejňovanie rozhodnutí o peňažných sankciách, vybraných administratívnych opatreniach alebo penále, ako aj poskytovanie informácií o týchto rozhodnutiach úradu AMLA a ostatným orgánom dohľadu. Uverejnenie rozhodnutí má predovšetkým preventívny účinok, ale má plniť aj odrádzajúcu funkciu. Zverejňovanie rozhodnutí zároveň podporuje transparentnosť výkonu AML/CFT dohľadu a informovanosť trhu o uplatňovaní sankčných a nápravných právomocí. Súčasne musí byť vykonávané primerane a so zohľadnením ochrany osobných údajov, práv dotknutých osôb, stability finančného trhu a ďalších chránených verejných záujmov. Článok 58 preto upravuje nielen povinnosť uverejňovať rozhodnutia, ale aj prípady odkladu, </w:t>
      </w:r>
      <w:proofErr w:type="spellStart"/>
      <w:r w:rsidRPr="00146994">
        <w:rPr>
          <w:rFonts w:ascii="Times New Roman" w:hAnsi="Times New Roman"/>
          <w:sz w:val="24"/>
          <w:szCs w:val="24"/>
        </w:rPr>
        <w:t>anonymizácie</w:t>
      </w:r>
      <w:proofErr w:type="spellEnd"/>
      <w:r w:rsidRPr="00146994">
        <w:rPr>
          <w:rFonts w:ascii="Times New Roman" w:hAnsi="Times New Roman"/>
          <w:sz w:val="24"/>
          <w:szCs w:val="24"/>
        </w:rPr>
        <w:t xml:space="preserve"> alebo úplného upustenia od uverejnenia rozhodnutí. </w:t>
      </w:r>
      <w:r w:rsidRPr="00146994">
        <w:rPr>
          <w:rFonts w:ascii="Times New Roman" w:hAnsi="Times New Roman"/>
          <w:color w:val="000000" w:themeColor="text1"/>
          <w:sz w:val="24"/>
          <w:szCs w:val="24"/>
        </w:rPr>
        <w:t>Ustanovenie vychádza z § 33a súčasného AML zákona.</w:t>
      </w:r>
    </w:p>
    <w:p w14:paraId="5B6569A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1 transponuje článok 58 ods. 1 a 2 smernice (EÚ) 2024/1640. Orgánu dohľadu sa ukladá povinnosť bez zbytočného odkladu po doručení rozhodnutia povinnej osobe alebo zodpovednej osobe uverejniť na svojom webovom sídle výrokovú časť rozhodnutia o uložení pokuty, vybraných administratívnych opatrení alebo penále. Oproti súčasnej úprave uverejnenie je viazané na oznámenie rozhodnutia osobe zodpovednej za porušenie, a nie na nadobudnutie právoplatnosti rozhodnutia. </w:t>
      </w:r>
    </w:p>
    <w:p w14:paraId="5C93862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Pokiaľ ide o administratívne opatrenia, uverejňujú sa opatrenia podľa § 54 ods. 4 písm. b) až e) a ods. 7, ak boli uložené z dôvodu porušenia povinností podľa § 54 ods. 1 písm. a). Uvedené opatrenia obsahovo zodpovedajú článku 56 ods. 2 písm. c) až g) smernice (EÚ) 2024/1640, na ktoré výslovne odkazuje článok 58 ods. 1. Ide o verejné vyhlásenie o porušení, príkaz na ukončenie protiprávneho konania a zdržanie sa jeho opakovania, obmedzenie alebo pozastavenie činnosti, obmedzenie alebo odňatie povolenia a zmenu štruktúry riadenia. Naopak, povinnosť uverejnenia sa nevzťahuje na samotné odporúčania ani na administratívne opatrenia vyšetrovacej alebo čisto informačnej povahy, čo zodpovedá koncepcii článku 58 ods. 3 smernice (EÚ) 2024/1640.</w:t>
      </w:r>
    </w:p>
    <w:p w14:paraId="228E9FD9"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2 transponuje článok 58 ods. 2 tretí </w:t>
      </w:r>
      <w:proofErr w:type="spellStart"/>
      <w:r w:rsidRPr="00146994">
        <w:rPr>
          <w:rFonts w:ascii="Times New Roman" w:hAnsi="Times New Roman"/>
          <w:sz w:val="24"/>
          <w:szCs w:val="24"/>
        </w:rPr>
        <w:t>pododsek</w:t>
      </w:r>
      <w:proofErr w:type="spellEnd"/>
      <w:r w:rsidRPr="00146994">
        <w:rPr>
          <w:rFonts w:ascii="Times New Roman" w:hAnsi="Times New Roman"/>
          <w:sz w:val="24"/>
          <w:szCs w:val="24"/>
        </w:rPr>
        <w:t xml:space="preserve"> smernice (EÚ) 2024/1640 a zabezpečuje, aby zverejnené informácie odrážali aktuálny procesný stav veci. Ak bol proti rozhodnutiu podaný opravný prostriedok, orgán dohľadu túto skutočnosť uverejní spolu s informáciou o spôsobe jeho vybavenia. Rovnako sa uverejní právoplatné rozhodnutie, ktorým bolo pôvodné rozhodnutie zrušené alebo zmenené. Cieľom je zabrániť tomu, aby na webovom sídle orgánu dohľadu zostala bez ďalšieho vysvetlenia informácia o rozhodnutí, ktoré bolo následne zmenené alebo zrušené. </w:t>
      </w:r>
    </w:p>
    <w:p w14:paraId="54971036"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3 transponuje článok 58 ods. 3 smernice (EÚ) 2024/1640 a zavádza výnimky zo zásady uverejnenia rozhodnutia. Orgán dohľadu je povinný vykonať individuálne posúdenie konkrétneho prípadu. Ak by </w:t>
      </w:r>
      <w:r w:rsidRPr="00146994">
        <w:rPr>
          <w:rFonts w:ascii="Times New Roman" w:hAnsi="Times New Roman"/>
          <w:sz w:val="24"/>
          <w:szCs w:val="24"/>
          <w:lang w:eastAsia="sk-SK"/>
        </w:rPr>
        <w:t>zverejnenie</w:t>
      </w:r>
      <w:r w:rsidRPr="00146994">
        <w:rPr>
          <w:rFonts w:ascii="Times New Roman" w:hAnsi="Times New Roman"/>
          <w:sz w:val="24"/>
          <w:szCs w:val="24"/>
        </w:rPr>
        <w:t xml:space="preserve"> totožnosti alebo osobných údajov povinnej osoby alebo fyzickej osoby zodpovednej za porušenie v konkrétnom prípade neprimerane zasiahlo do ich práv alebo právom chránených záujmov alebo zverejnenie by mohlo ohroziť stabilitu finančného trhu, prebiehajúce trestné konanie alebo správne konanie, môže orgán dohľadu zvoliť miernejší spôsob postupu. Uplatňuje sa pritom postupná škála možností. Orgán dohľadu môže najprv odložiť uverejnenie do pominutia dôvodu, následne môže pristúpiť k </w:t>
      </w:r>
      <w:r w:rsidRPr="00146994">
        <w:rPr>
          <w:rFonts w:ascii="Times New Roman" w:hAnsi="Times New Roman"/>
          <w:sz w:val="24"/>
          <w:szCs w:val="24"/>
        </w:rPr>
        <w:lastRenderedPageBreak/>
        <w:t xml:space="preserve">anonymizovanému uverejneniu a až v prípade, keď ani tieto postupy nie sú dostatočné, môže od uverejnenia úplne upustiť. Takáto postupnosť zodpovedá článku 58 ods. 3 smernice (EÚ) 2024/1640. </w:t>
      </w:r>
    </w:p>
    <w:p w14:paraId="4255D34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4 určuje minimálny a súčasne maximálne prípustný obsah uverejňovanej výrokovej časti rozhodnutia. Zverejnené údaje musia umožniť identifikovať povahu protiprávneho konania a uložený následok, nesmú však bez právneho dôvodu umožňovať identifikáciu tretích osôb, ktoré nie sú povinnou osobou alebo zodpovednou osobou. Uverejnenie preto obsahuje právnu kvalifikáciu a skutkovú podstatu správneho deliktu a pri finančnom postihu aj výšku pokuty alebo penále. Ustanovenie tým transponuje požiadavku článku 58 ods. 3 prvého </w:t>
      </w:r>
      <w:proofErr w:type="spellStart"/>
      <w:r w:rsidRPr="00146994">
        <w:rPr>
          <w:rFonts w:ascii="Times New Roman" w:hAnsi="Times New Roman"/>
          <w:sz w:val="24"/>
          <w:szCs w:val="24"/>
        </w:rPr>
        <w:t>pododseku</w:t>
      </w:r>
      <w:proofErr w:type="spellEnd"/>
      <w:r w:rsidRPr="00146994">
        <w:rPr>
          <w:rFonts w:ascii="Times New Roman" w:hAnsi="Times New Roman"/>
          <w:sz w:val="24"/>
          <w:szCs w:val="24"/>
        </w:rPr>
        <w:t xml:space="preserve"> smernice (EÚ) 2024/1640, podľa ktorej uverejnenie obsahuje aspoň druh a povahu porušenia, totožnosť zodpovedných osôb a pri peňažných sankciách a penále aj ich výšku. </w:t>
      </w:r>
    </w:p>
    <w:p w14:paraId="71979865"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5 transponuje článok 58 ods. 4 smernice (EÚ) 2024/1640 a ustanovuje päťročnú dobu uverejnenia výrokovej časti rozhodnutia a súvisiacich informácií. Päťročná lehota vytvára primeranú rovnováhu medzi verejným záujmom na transparentnosti sankčnej a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činnosti a ochranou práv dotknutých osôb. Pri spracúvaní osobných údajov je súčasne potrebné rešpektovať pravidlá ochrany osobných údajov; samotná smernica stanovuje, že osobné údaje možno ponechať na webovom sídle len počas nevyhnutného obdobia, najdlhšie však päť rokov. </w:t>
      </w:r>
    </w:p>
    <w:p w14:paraId="5FBE44B7"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Odsek 6, 7 transponuje článok 59 ods. 1,2 smernice (EÚ) 2024/1640. Orgán dohľadu oznamuje úradu AMLA informácie o uložených sankciách a administratívnych opatreniach vrátane informácií o opravných prostriedkoch a ich výsledku. Ak sa rozhodnutie týka povinnej osoby pôsobiacej v dvoch alebo viacerých členských štátoch, informácie sa poskytujú aj ostatným dotknutým orgánom dohľadu. Cieľom je zabezpečiť výmenu informácií medzi príslušnými orgánmi, konzistentnosť cezhraničného dohľadu a vytvorenie prehľadu úradu AMLA o sankčnej a nápravnej praxi v členských štátoch. Úrad AMLA na svojom webovom sídle uchováva odkazy na informácie zverejnené jednotlivými vnútroštátnymi orgánmi dohľadu o uložených peňažných sankciách a administratívnych opatreniach vrátane informácie o období ich uverejnenia. Cieľom je umožniť centralizovaný prístup k informáciám o sankčnej a </w:t>
      </w:r>
      <w:proofErr w:type="spellStart"/>
      <w:r w:rsidRPr="00146994">
        <w:rPr>
          <w:rFonts w:ascii="Times New Roman" w:hAnsi="Times New Roman"/>
          <w:sz w:val="24"/>
          <w:szCs w:val="24"/>
        </w:rPr>
        <w:t>dohľadovej</w:t>
      </w:r>
      <w:proofErr w:type="spellEnd"/>
      <w:r w:rsidRPr="00146994">
        <w:rPr>
          <w:rFonts w:ascii="Times New Roman" w:hAnsi="Times New Roman"/>
          <w:sz w:val="24"/>
          <w:szCs w:val="24"/>
        </w:rPr>
        <w:t xml:space="preserve"> činnosti v jednotlivých členských štátoch bez potreby vytvárať samostatnú duplicitnú databázu úplných vnútroštátnych rozhodnutí.</w:t>
      </w:r>
    </w:p>
    <w:p w14:paraId="215EFB39" w14:textId="77777777" w:rsidR="00146994" w:rsidRPr="00146994" w:rsidRDefault="00146994" w:rsidP="00146994">
      <w:pPr>
        <w:spacing w:after="120" w:line="276" w:lineRule="auto"/>
        <w:jc w:val="both"/>
        <w:rPr>
          <w:rFonts w:ascii="Times New Roman" w:hAnsi="Times New Roman"/>
          <w:sz w:val="24"/>
          <w:szCs w:val="24"/>
          <w:u w:val="single"/>
        </w:rPr>
      </w:pPr>
      <w:r w:rsidRPr="00146994">
        <w:rPr>
          <w:rFonts w:ascii="Times New Roman" w:hAnsi="Times New Roman"/>
          <w:b/>
          <w:bCs/>
          <w:sz w:val="24"/>
          <w:szCs w:val="24"/>
          <w:u w:val="single"/>
        </w:rPr>
        <w:t>K § 57:</w:t>
      </w:r>
    </w:p>
    <w:p w14:paraId="53D86BE8"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Navrhované ustanovenie upravuje priestupkovú zodpovednosť za porušenie povinnosti zachovávať mlčanlivosť podľa § 14 návrhu zákona. Obsahovo nadväzuje na doterajšiu právnu úpravu ustanovenú v § 32 súčasného AML zákona, pričom zachováva skutkovú podstatu priestupku, príslušnosť Finančnej spravodajskej jednotky na jeho </w:t>
      </w:r>
      <w:proofErr w:type="spellStart"/>
      <w:r w:rsidRPr="00146994">
        <w:rPr>
          <w:rFonts w:ascii="Times New Roman" w:hAnsi="Times New Roman"/>
          <w:sz w:val="24"/>
          <w:szCs w:val="24"/>
        </w:rPr>
        <w:t>prejednávanie</w:t>
      </w:r>
      <w:proofErr w:type="spellEnd"/>
      <w:r w:rsidRPr="00146994">
        <w:rPr>
          <w:rFonts w:ascii="Times New Roman" w:hAnsi="Times New Roman"/>
          <w:sz w:val="24"/>
          <w:szCs w:val="24"/>
        </w:rPr>
        <w:t xml:space="preserve"> a subsidiárne použitie všeobecného predpisu o priestupkoch. Základnou zmenou oproti doterajšej právnej úprave je zvýšenie hornej hranice pokuty z 3 319 eur na 5 000 eur. Navrhované zvýšenie sleduje posilnenie účinnosti, primeranosti a odrádzajúceho účinku sankcie vzhľadom na význam povinnosti mlčanlivosti a možné dôsledky jej porušenia.</w:t>
      </w:r>
    </w:p>
    <w:p w14:paraId="30B097F2"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 xml:space="preserve">Povinnosť zachovávať mlčanlivosť predstavuje jeden zo základných predpokladov účinného fungovania systému predchádzania legalizácii a financovaniu terorizmu. Jej účelom je zabezpečiť ochranu informácií získaných pri plnení zákonných povinností a predchádzať ich </w:t>
      </w:r>
      <w:r w:rsidRPr="00146994">
        <w:rPr>
          <w:rFonts w:ascii="Times New Roman" w:hAnsi="Times New Roman"/>
          <w:sz w:val="24"/>
          <w:szCs w:val="24"/>
        </w:rPr>
        <w:lastRenderedPageBreak/>
        <w:t>neoprávnenému sprístupneniu, ktoré by mohlo ohroziť preverovanie podozrivých transakcií, činnosť príslušných orgánov alebo oprávnené záujmy dotknutých osôb. Priestupková zodpovednosť sa pritom nevzťahuje na prípady sprístupnenia informácií, ktoré sú v súlade so zákonom alebo s ustanovenými výnimkami z povinnosti mlčanlivosti.</w:t>
      </w:r>
    </w:p>
    <w:p w14:paraId="01C1F1A4"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Navrhovaná právna úprava zároveň zohľadňuje požiadavky európskeho regulačného rámca AML/CFT na ochranu dôverných informácií, najmä zákaz neoprávneného sprístupňovania informácií súvisiacich s preverovaním podozrivých transakcií a poskytovaním informácií FSJ.</w:t>
      </w:r>
    </w:p>
    <w:p w14:paraId="085FC213" w14:textId="77777777" w:rsidR="00146994" w:rsidRPr="00146994" w:rsidRDefault="00146994" w:rsidP="00146994">
      <w:pPr>
        <w:spacing w:after="120" w:line="276" w:lineRule="auto"/>
        <w:jc w:val="both"/>
        <w:rPr>
          <w:rFonts w:ascii="Times New Roman" w:hAnsi="Times New Roman"/>
          <w:sz w:val="24"/>
          <w:szCs w:val="24"/>
        </w:rPr>
      </w:pPr>
    </w:p>
    <w:p w14:paraId="5CA50DCC"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58:</w:t>
      </w:r>
    </w:p>
    <w:p w14:paraId="430F331A"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V odsekoch 1 až 3 sa ustanovujú prechodné ustanovenia zabezpečujúce kontinuitu výkonu dohľadu, kontrolnej činnosti, správnych konaní začatých pred nadobudnutím účinnosti navrhovanej právnej úpravy. Navrhuje sa, aby sa kontroly a správne konania začaté pred 10. júlom 2027 dokončili podľa doterajších predpisov. Súčasne sa výslovne zachovávajú právne účinky úkonov vykonaných podľa doterajšej právnej úpravy. Rovnaký princíp sa uplatňuje aj pri ukladaní pokút za správne delikty spáchané pred nadobudnutím účinnosti navrhovanej úpravy, čím sa zabezpečuje právna istota a rešpektovanie zásady zákazu retroaktivity.</w:t>
      </w:r>
    </w:p>
    <w:p w14:paraId="39283B7F"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V odseku 4 sa ustanovuje prechodné obdobie pre finančné holdingové spoločnosti so zmiešanou činnosťou so sídlom v Slovenskej republike, ktoré nadobudli banku, zahraničnú banku, finančnú inštitúciu alebo zahraničnú finančnú inštitúciu ako svoju dcérsku spoločnosť pred 10. júlom 2027. Týmto subjektom sa ukladá povinnosť podať návrh na zápis do registra finančných holdingových spoločností so zmiešanou činnosťou najneskôr do 31. decembra 2027, aby mali primeraný časový priestor na prispôsobenie sa novým požiadavkám.</w:t>
      </w:r>
    </w:p>
    <w:p w14:paraId="577F42D0" w14:textId="6A7EAE1C" w:rsid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V odseku 5 sa ustanovuje povinnosť pre povinné osoby vykonávajúce podnikateľskú činnosť na základe povolenia Národnej banky Slovenska udeleného podľa doterajších predpisov predložiť Národnej banke Slovenska najneskôr do 31. decembra 2027 dokumenty preukazujúce splnenie podmienok vyžadovaných novou právnou úpravou. Cieľom je umožniť overenie splnenia zákonných požiadaviek bez potreby opätovného povoľovacieho procesu.</w:t>
      </w:r>
    </w:p>
    <w:p w14:paraId="18EA59C4" w14:textId="6FB1776A" w:rsidR="00BE4296" w:rsidRPr="00146994" w:rsidRDefault="00BE4296" w:rsidP="00146994">
      <w:pPr>
        <w:spacing w:after="120" w:line="276" w:lineRule="auto"/>
        <w:jc w:val="both"/>
        <w:rPr>
          <w:rFonts w:ascii="Times New Roman" w:hAnsi="Times New Roman"/>
          <w:sz w:val="24"/>
          <w:szCs w:val="24"/>
        </w:rPr>
      </w:pPr>
      <w:r>
        <w:rPr>
          <w:rFonts w:ascii="Times New Roman" w:hAnsi="Times New Roman"/>
          <w:sz w:val="24"/>
          <w:szCs w:val="24"/>
        </w:rPr>
        <w:t>V odseku 6 sa upravuje prechodné ustanovenie pre profesionálny futbalový klub a futbalového agenta, podľa ktorého sa povinnosti vyplývajúce z návrhu zákona budú na uvedené dva subjekty vzťahovať až od 10. júla 2029. Návrh je zosúladením s prechodným ustanovením upraveným v nariadení (EÚ) 2024/1624, kde v čl. 90 sa uvádza, že povinnosti z nariadenia vo vzťahu ku týmto subjektom sa rovnako budú uplatňovať až od 10. júla 2029.</w:t>
      </w:r>
    </w:p>
    <w:p w14:paraId="6C32A795" w14:textId="3A1D1A9E" w:rsidR="00CF3BDE" w:rsidRPr="00CF3BDE" w:rsidRDefault="00BE4296" w:rsidP="00CF3BDE">
      <w:pPr>
        <w:pStyle w:val="Normlnywebov"/>
        <w:spacing w:line="300" w:lineRule="atLeast"/>
        <w:jc w:val="both"/>
        <w:rPr>
          <w:rFonts w:eastAsia="Times New Roman" w:cs="Times New Roman"/>
          <w:lang w:eastAsia="en-US"/>
        </w:rPr>
      </w:pPr>
      <w:r w:rsidRPr="00CF3BDE">
        <w:rPr>
          <w:rFonts w:eastAsia="Times New Roman" w:cs="Times New Roman"/>
          <w:lang w:eastAsia="en-US"/>
        </w:rPr>
        <w:t xml:space="preserve">V odseku 7 sa </w:t>
      </w:r>
      <w:r w:rsidR="00CF3BDE">
        <w:rPr>
          <w:rFonts w:eastAsia="Times New Roman" w:cs="Times New Roman"/>
          <w:lang w:eastAsia="en-US"/>
        </w:rPr>
        <w:t>n</w:t>
      </w:r>
      <w:r w:rsidR="00CF3BDE" w:rsidRPr="00CF3BDE">
        <w:rPr>
          <w:rFonts w:eastAsia="Times New Roman" w:cs="Times New Roman"/>
          <w:lang w:eastAsia="en-US"/>
        </w:rPr>
        <w:t>avrhuje prechodné ustanovenie, ktorým sa povinným osobám, ktoré majú postavenie povinnej osoby k 10. júlu 2027, ustanovuje lehota na splnenie oznamovacej povinnosti podľa § 6 ods. 2. Tieto povinné osoby sú povinné oznámiť F</w:t>
      </w:r>
      <w:r w:rsidR="009416C5">
        <w:rPr>
          <w:rFonts w:eastAsia="Times New Roman" w:cs="Times New Roman"/>
          <w:lang w:eastAsia="en-US"/>
        </w:rPr>
        <w:t>SJ</w:t>
      </w:r>
      <w:r w:rsidR="00CF3BDE" w:rsidRPr="00CF3BDE">
        <w:rPr>
          <w:rFonts w:eastAsia="Times New Roman" w:cs="Times New Roman"/>
          <w:lang w:eastAsia="en-US"/>
        </w:rPr>
        <w:t xml:space="preserve"> prostredníctvom informačného systému </w:t>
      </w:r>
      <w:r w:rsidR="009416C5">
        <w:rPr>
          <w:rFonts w:eastAsia="Times New Roman" w:cs="Times New Roman"/>
          <w:lang w:eastAsia="en-US"/>
        </w:rPr>
        <w:t>Go AML</w:t>
      </w:r>
      <w:r w:rsidR="00CF3BDE" w:rsidRPr="00CF3BDE">
        <w:rPr>
          <w:rFonts w:eastAsia="Times New Roman" w:cs="Times New Roman"/>
          <w:lang w:eastAsia="en-US"/>
        </w:rPr>
        <w:t xml:space="preserve"> zákonom ustanovené údaje o určenej osobe najneskôr do 30. novembra 2027.</w:t>
      </w:r>
    </w:p>
    <w:p w14:paraId="705B000E" w14:textId="53C6B8FE" w:rsidR="00146994" w:rsidRPr="00146994" w:rsidRDefault="00CF3BDE" w:rsidP="009416C5">
      <w:pPr>
        <w:spacing w:before="100" w:beforeAutospacing="1" w:after="100" w:afterAutospacing="1" w:line="300" w:lineRule="atLeast"/>
        <w:jc w:val="both"/>
        <w:rPr>
          <w:rFonts w:ascii="Times New Roman" w:hAnsi="Times New Roman"/>
          <w:b/>
          <w:sz w:val="24"/>
          <w:szCs w:val="24"/>
        </w:rPr>
      </w:pPr>
      <w:r w:rsidRPr="00CF3BDE">
        <w:rPr>
          <w:rFonts w:ascii="Times New Roman" w:hAnsi="Times New Roman"/>
          <w:sz w:val="24"/>
          <w:szCs w:val="24"/>
        </w:rPr>
        <w:t xml:space="preserve">Cieľom prechodného ustanovenia je zabezpečiť, aby si oznamovaciu povinnosť splnili aj povinné osoby, ktoré nadobudli toto postavenie pred nadobudnutím účinnosti novej právnej úpravy, a zároveň im poskytnúť primeraný časový priestor na určenie príslušnej osoby, </w:t>
      </w:r>
      <w:r w:rsidRPr="00CF3BDE">
        <w:rPr>
          <w:rFonts w:ascii="Times New Roman" w:hAnsi="Times New Roman"/>
          <w:sz w:val="24"/>
          <w:szCs w:val="24"/>
        </w:rPr>
        <w:lastRenderedPageBreak/>
        <w:t xml:space="preserve">zhromaždenie požadovaných údajov a ich oznámenie prostredníctvom </w:t>
      </w:r>
      <w:r w:rsidR="00623388">
        <w:rPr>
          <w:rFonts w:ascii="Times New Roman" w:hAnsi="Times New Roman"/>
          <w:sz w:val="24"/>
          <w:szCs w:val="24"/>
        </w:rPr>
        <w:t>Go AML</w:t>
      </w:r>
      <w:r w:rsidRPr="00CF3BDE">
        <w:rPr>
          <w:rFonts w:ascii="Times New Roman" w:hAnsi="Times New Roman"/>
          <w:sz w:val="24"/>
          <w:szCs w:val="24"/>
        </w:rPr>
        <w:t>. Po uplynutí tejto lehoty sa na plnenie oznamovacej povinnosti uplatní všeobecná lehota podľa § 6 ods. 2.</w:t>
      </w:r>
    </w:p>
    <w:p w14:paraId="6E1E1F21"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59</w:t>
      </w:r>
    </w:p>
    <w:p w14:paraId="149D338C"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Ustanovenie odkazuje na Prílohu č. 1 k návrhu zákona, ktorá obsahuje zoznam preberaných právne záväzných aktov Európskej únie.</w:t>
      </w:r>
    </w:p>
    <w:p w14:paraId="6DCF2D64" w14:textId="77777777" w:rsidR="00146994" w:rsidRPr="00146994" w:rsidRDefault="00146994" w:rsidP="00146994">
      <w:pPr>
        <w:spacing w:after="120" w:line="276" w:lineRule="auto"/>
        <w:jc w:val="both"/>
        <w:rPr>
          <w:rFonts w:ascii="Times New Roman" w:hAnsi="Times New Roman"/>
          <w:b/>
          <w:bCs/>
          <w:sz w:val="24"/>
          <w:szCs w:val="24"/>
          <w:u w:val="single"/>
        </w:rPr>
      </w:pPr>
      <w:r w:rsidRPr="00146994">
        <w:rPr>
          <w:rFonts w:ascii="Times New Roman" w:hAnsi="Times New Roman"/>
          <w:b/>
          <w:bCs/>
          <w:sz w:val="24"/>
          <w:szCs w:val="24"/>
          <w:u w:val="single"/>
        </w:rPr>
        <w:t>K § 60</w:t>
      </w:r>
    </w:p>
    <w:p w14:paraId="400D439F" w14:textId="77777777" w:rsidR="00146994" w:rsidRPr="00146994" w:rsidRDefault="00146994" w:rsidP="00146994">
      <w:pPr>
        <w:spacing w:after="120" w:line="276" w:lineRule="auto"/>
        <w:jc w:val="both"/>
        <w:rPr>
          <w:rFonts w:ascii="Times New Roman" w:hAnsi="Times New Roman"/>
          <w:sz w:val="24"/>
          <w:szCs w:val="24"/>
        </w:rPr>
      </w:pPr>
      <w:r w:rsidRPr="00146994">
        <w:rPr>
          <w:rFonts w:ascii="Times New Roman" w:hAnsi="Times New Roman"/>
          <w:sz w:val="24"/>
          <w:szCs w:val="24"/>
        </w:rPr>
        <w:t>Ustanovením sa zrušuje právny predpis, ktorý bol doteraz základným predpisom v AML/CFT oblasti a ktorý bude s účinnosťou od 10. júla 2027 nahradený nariadením (EÚ) 2024/1624 a novým návrhom zákona o ochrane pred legalizáciou výnosov z trestnej činnosti, a financovaním terorizmu a o zmene a doplnení niektorých zákonov.</w:t>
      </w:r>
    </w:p>
    <w:p w14:paraId="2E603960" w14:textId="77777777" w:rsidR="00CD50A6" w:rsidRDefault="00CD50A6" w:rsidP="070BDBF9">
      <w:pPr>
        <w:jc w:val="both"/>
        <w:rPr>
          <w:rFonts w:ascii="Times New Roman" w:hAnsi="Times New Roman"/>
          <w:b/>
          <w:bCs/>
          <w:sz w:val="24"/>
          <w:szCs w:val="24"/>
          <w:u w:val="single"/>
        </w:rPr>
      </w:pPr>
    </w:p>
    <w:p w14:paraId="64B9B610" w14:textId="6B8670E4" w:rsidR="00D3193F" w:rsidRPr="00512478" w:rsidRDefault="1FC6028B" w:rsidP="070BDBF9">
      <w:pPr>
        <w:spacing w:after="0"/>
        <w:jc w:val="center"/>
        <w:rPr>
          <w:rFonts w:ascii="Times New Roman" w:hAnsi="Times New Roman"/>
          <w:b/>
          <w:bCs/>
          <w:sz w:val="24"/>
          <w:szCs w:val="24"/>
        </w:rPr>
      </w:pPr>
      <w:r w:rsidRPr="00512478">
        <w:rPr>
          <w:rFonts w:ascii="Times New Roman" w:hAnsi="Times New Roman"/>
          <w:b/>
          <w:bCs/>
          <w:sz w:val="24"/>
          <w:szCs w:val="24"/>
        </w:rPr>
        <w:t>Čl. II</w:t>
      </w:r>
    </w:p>
    <w:p w14:paraId="22C3FE8E" w14:textId="13E4563F" w:rsidR="00D3193F" w:rsidRDefault="00D3193F" w:rsidP="070BDBF9">
      <w:pPr>
        <w:spacing w:after="0"/>
        <w:jc w:val="center"/>
        <w:rPr>
          <w:rFonts w:ascii="Times New Roman" w:hAnsi="Times New Roman"/>
          <w:b/>
          <w:bCs/>
          <w:sz w:val="24"/>
          <w:szCs w:val="24"/>
          <w:u w:val="single"/>
        </w:rPr>
      </w:pPr>
    </w:p>
    <w:p w14:paraId="4B15DDD6" w14:textId="19028120" w:rsidR="00D3193F" w:rsidRDefault="1FC6028B" w:rsidP="070BDBF9">
      <w:pPr>
        <w:spacing w:after="0"/>
        <w:jc w:val="center"/>
        <w:rPr>
          <w:rFonts w:ascii="Times New Roman" w:hAnsi="Times New Roman"/>
          <w:b/>
          <w:bCs/>
          <w:sz w:val="24"/>
          <w:szCs w:val="24"/>
        </w:rPr>
      </w:pPr>
      <w:r w:rsidRPr="070BDBF9">
        <w:rPr>
          <w:rFonts w:ascii="Times New Roman" w:hAnsi="Times New Roman"/>
          <w:b/>
          <w:bCs/>
          <w:sz w:val="24"/>
          <w:szCs w:val="24"/>
        </w:rPr>
        <w:t xml:space="preserve">Zákon č. </w:t>
      </w:r>
      <w:hyperlink r:id="rId7">
        <w:r w:rsidRPr="070BDBF9">
          <w:rPr>
            <w:rFonts w:ascii="Times New Roman" w:hAnsi="Times New Roman"/>
            <w:b/>
            <w:bCs/>
            <w:sz w:val="24"/>
            <w:szCs w:val="24"/>
          </w:rPr>
          <w:t>455/1991 Zb.</w:t>
        </w:r>
      </w:hyperlink>
      <w:r w:rsidRPr="070BDBF9">
        <w:rPr>
          <w:rFonts w:ascii="Times New Roman" w:hAnsi="Times New Roman"/>
          <w:b/>
          <w:bCs/>
          <w:sz w:val="24"/>
          <w:szCs w:val="24"/>
        </w:rPr>
        <w:t xml:space="preserve"> o živnostenskom podnikaní (živnostenský zákon)</w:t>
      </w:r>
    </w:p>
    <w:p w14:paraId="1A84964B" w14:textId="0CAFEEBA" w:rsidR="00D3193F" w:rsidRDefault="00D3193F" w:rsidP="070BDBF9">
      <w:pPr>
        <w:spacing w:after="0"/>
        <w:jc w:val="center"/>
        <w:rPr>
          <w:rFonts w:ascii="Times New Roman" w:hAnsi="Times New Roman"/>
          <w:b/>
          <w:bCs/>
          <w:sz w:val="24"/>
          <w:szCs w:val="24"/>
          <w:u w:val="single"/>
        </w:rPr>
      </w:pPr>
    </w:p>
    <w:p w14:paraId="0BC4C8DC" w14:textId="1F20AD4B" w:rsidR="0091279D" w:rsidRPr="0091279D" w:rsidRDefault="0091279D" w:rsidP="070BDBF9">
      <w:pPr>
        <w:spacing w:after="0"/>
        <w:jc w:val="both"/>
        <w:rPr>
          <w:rFonts w:ascii="Times New Roman" w:hAnsi="Times New Roman"/>
          <w:b/>
          <w:bCs/>
          <w:sz w:val="24"/>
          <w:szCs w:val="24"/>
        </w:rPr>
      </w:pPr>
      <w:r w:rsidRPr="0091279D">
        <w:rPr>
          <w:rFonts w:ascii="Times New Roman" w:hAnsi="Times New Roman"/>
          <w:b/>
          <w:bCs/>
          <w:sz w:val="24"/>
          <w:szCs w:val="24"/>
        </w:rPr>
        <w:t>K bodu 1 (poznámka pod čiarou k odkazu 28aaa)</w:t>
      </w:r>
    </w:p>
    <w:p w14:paraId="466CF531" w14:textId="12FE68F6" w:rsidR="0091279D" w:rsidRDefault="0091279D" w:rsidP="070BDBF9">
      <w:pPr>
        <w:spacing w:after="0"/>
        <w:jc w:val="both"/>
        <w:rPr>
          <w:rFonts w:ascii="Times New Roman" w:hAnsi="Times New Roman"/>
          <w:bCs/>
          <w:sz w:val="24"/>
          <w:szCs w:val="24"/>
        </w:rPr>
      </w:pPr>
      <w:r>
        <w:rPr>
          <w:rFonts w:ascii="Times New Roman" w:hAnsi="Times New Roman"/>
          <w:bCs/>
          <w:sz w:val="24"/>
          <w:szCs w:val="24"/>
        </w:rPr>
        <w:t>Aktualizuje sa poznámka pod čiarou</w:t>
      </w:r>
      <w:r w:rsidR="00B778FA">
        <w:rPr>
          <w:rFonts w:ascii="Times New Roman" w:hAnsi="Times New Roman"/>
          <w:bCs/>
          <w:sz w:val="24"/>
          <w:szCs w:val="24"/>
        </w:rPr>
        <w:t xml:space="preserve"> </w:t>
      </w:r>
      <w:r>
        <w:rPr>
          <w:rFonts w:ascii="Times New Roman" w:hAnsi="Times New Roman"/>
          <w:bCs/>
          <w:sz w:val="24"/>
          <w:szCs w:val="24"/>
        </w:rPr>
        <w:t>z</w:t>
      </w:r>
      <w:r w:rsidR="00B778FA">
        <w:rPr>
          <w:rFonts w:ascii="Times New Roman" w:hAnsi="Times New Roman"/>
          <w:bCs/>
          <w:sz w:val="24"/>
          <w:szCs w:val="24"/>
        </w:rPr>
        <w:t> </w:t>
      </w:r>
      <w:r>
        <w:rPr>
          <w:rFonts w:ascii="Times New Roman" w:hAnsi="Times New Roman"/>
          <w:bCs/>
          <w:sz w:val="24"/>
          <w:szCs w:val="24"/>
        </w:rPr>
        <w:t>dôvodu</w:t>
      </w:r>
      <w:r w:rsidR="00B778FA">
        <w:rPr>
          <w:rFonts w:ascii="Times New Roman" w:hAnsi="Times New Roman"/>
          <w:bCs/>
          <w:sz w:val="24"/>
          <w:szCs w:val="24"/>
        </w:rPr>
        <w:t xml:space="preserve"> presunutia</w:t>
      </w:r>
      <w:r>
        <w:rPr>
          <w:rFonts w:ascii="Times New Roman" w:hAnsi="Times New Roman"/>
          <w:bCs/>
          <w:sz w:val="24"/>
          <w:szCs w:val="24"/>
        </w:rPr>
        <w:t xml:space="preserve"> </w:t>
      </w:r>
      <w:r w:rsidR="00B778FA">
        <w:rPr>
          <w:rFonts w:ascii="Times New Roman" w:hAnsi="Times New Roman"/>
          <w:bCs/>
          <w:sz w:val="24"/>
          <w:szCs w:val="24"/>
        </w:rPr>
        <w:t>d</w:t>
      </w:r>
      <w:r w:rsidR="00B778FA">
        <w:rPr>
          <w:rFonts w:ascii="Times New Roman" w:hAnsi="Times New Roman"/>
          <w:sz w:val="24"/>
          <w:szCs w:val="24"/>
        </w:rPr>
        <w:t>efinície</w:t>
      </w:r>
      <w:r w:rsidR="00B778FA" w:rsidRPr="23BE041E">
        <w:rPr>
          <w:rFonts w:ascii="Times New Roman" w:hAnsi="Times New Roman"/>
          <w:sz w:val="24"/>
          <w:szCs w:val="24"/>
        </w:rPr>
        <w:t xml:space="preserve"> konečného užívateľa výhod</w:t>
      </w:r>
      <w:r w:rsidR="00B778FA">
        <w:rPr>
          <w:rFonts w:ascii="Times New Roman" w:hAnsi="Times New Roman"/>
          <w:bCs/>
          <w:sz w:val="24"/>
          <w:szCs w:val="24"/>
        </w:rPr>
        <w:t xml:space="preserve"> zo </w:t>
      </w:r>
      <w:r>
        <w:rPr>
          <w:rFonts w:ascii="Times New Roman" w:hAnsi="Times New Roman"/>
          <w:bCs/>
          <w:sz w:val="24"/>
          <w:szCs w:val="24"/>
        </w:rPr>
        <w:t>zruš</w:t>
      </w:r>
      <w:r w:rsidR="00B778FA">
        <w:rPr>
          <w:rFonts w:ascii="Times New Roman" w:hAnsi="Times New Roman"/>
          <w:bCs/>
          <w:sz w:val="24"/>
          <w:szCs w:val="24"/>
        </w:rPr>
        <w:t xml:space="preserve">ovaného </w:t>
      </w:r>
      <w:r>
        <w:rPr>
          <w:rFonts w:ascii="Times New Roman" w:hAnsi="Times New Roman"/>
          <w:bCs/>
          <w:sz w:val="24"/>
          <w:szCs w:val="24"/>
        </w:rPr>
        <w:t>zákona</w:t>
      </w:r>
      <w:r w:rsidR="00B778FA">
        <w:rPr>
          <w:rFonts w:ascii="Times New Roman" w:hAnsi="Times New Roman"/>
          <w:bCs/>
          <w:sz w:val="24"/>
          <w:szCs w:val="24"/>
        </w:rPr>
        <w:t xml:space="preserve"> do </w:t>
      </w:r>
      <w:r w:rsidR="00B778FA" w:rsidRPr="00B778FA">
        <w:rPr>
          <w:rFonts w:ascii="Times New Roman" w:hAnsi="Times New Roman"/>
          <w:bCs/>
          <w:sz w:val="24"/>
          <w:szCs w:val="24"/>
        </w:rPr>
        <w:t>nariaden</w:t>
      </w:r>
      <w:r w:rsidR="00B778FA">
        <w:rPr>
          <w:rFonts w:ascii="Times New Roman" w:hAnsi="Times New Roman"/>
          <w:bCs/>
          <w:sz w:val="24"/>
          <w:szCs w:val="24"/>
        </w:rPr>
        <w:t>ia</w:t>
      </w:r>
      <w:r w:rsidR="00B778FA" w:rsidRPr="00B778FA">
        <w:rPr>
          <w:rFonts w:ascii="Times New Roman" w:hAnsi="Times New Roman"/>
          <w:bCs/>
          <w:sz w:val="24"/>
          <w:szCs w:val="24"/>
        </w:rPr>
        <w:t xml:space="preserve"> (EÚ) 2024/1624</w:t>
      </w:r>
      <w:r w:rsidR="00B778FA">
        <w:rPr>
          <w:rFonts w:ascii="Times New Roman" w:hAnsi="Times New Roman"/>
          <w:bCs/>
          <w:sz w:val="24"/>
          <w:szCs w:val="24"/>
        </w:rPr>
        <w:t>.</w:t>
      </w:r>
    </w:p>
    <w:p w14:paraId="4F45488F" w14:textId="2FFD69B9" w:rsidR="0091279D" w:rsidRDefault="0091279D" w:rsidP="070BDBF9">
      <w:pPr>
        <w:spacing w:after="0"/>
        <w:jc w:val="both"/>
        <w:rPr>
          <w:rFonts w:ascii="Times New Roman" w:hAnsi="Times New Roman"/>
          <w:bCs/>
          <w:sz w:val="24"/>
          <w:szCs w:val="24"/>
        </w:rPr>
      </w:pPr>
    </w:p>
    <w:p w14:paraId="27CDAB89" w14:textId="7F710CFC" w:rsidR="0091279D" w:rsidRDefault="0091279D" w:rsidP="070BDBF9">
      <w:pPr>
        <w:spacing w:after="0"/>
        <w:jc w:val="both"/>
        <w:rPr>
          <w:rFonts w:ascii="Times New Roman" w:hAnsi="Times New Roman"/>
          <w:b/>
          <w:bCs/>
          <w:sz w:val="24"/>
          <w:szCs w:val="24"/>
        </w:rPr>
      </w:pPr>
      <w:r w:rsidRPr="0091279D">
        <w:rPr>
          <w:rFonts w:ascii="Times New Roman" w:hAnsi="Times New Roman"/>
          <w:b/>
          <w:bCs/>
          <w:sz w:val="24"/>
          <w:szCs w:val="24"/>
        </w:rPr>
        <w:t>K</w:t>
      </w:r>
      <w:r>
        <w:rPr>
          <w:rFonts w:ascii="Times New Roman" w:hAnsi="Times New Roman"/>
          <w:b/>
          <w:bCs/>
          <w:sz w:val="24"/>
          <w:szCs w:val="24"/>
        </w:rPr>
        <w:t> </w:t>
      </w:r>
      <w:r w:rsidRPr="0091279D">
        <w:rPr>
          <w:rFonts w:ascii="Times New Roman" w:hAnsi="Times New Roman"/>
          <w:b/>
          <w:bCs/>
          <w:sz w:val="24"/>
          <w:szCs w:val="24"/>
        </w:rPr>
        <w:t>bodu</w:t>
      </w:r>
      <w:r>
        <w:rPr>
          <w:rFonts w:ascii="Times New Roman" w:hAnsi="Times New Roman"/>
          <w:b/>
          <w:bCs/>
          <w:sz w:val="24"/>
          <w:szCs w:val="24"/>
        </w:rPr>
        <w:t xml:space="preserve"> 2 </w:t>
      </w:r>
      <w:r w:rsidRPr="23BE041E">
        <w:rPr>
          <w:rFonts w:ascii="Times New Roman" w:hAnsi="Times New Roman"/>
          <w:b/>
          <w:bCs/>
          <w:sz w:val="24"/>
          <w:szCs w:val="24"/>
        </w:rPr>
        <w:t>[</w:t>
      </w:r>
      <w:r>
        <w:rPr>
          <w:rFonts w:ascii="Times New Roman" w:hAnsi="Times New Roman"/>
          <w:b/>
          <w:bCs/>
          <w:sz w:val="24"/>
          <w:szCs w:val="24"/>
        </w:rPr>
        <w:t>§ 9 písm. e) až i)</w:t>
      </w:r>
      <w:r w:rsidRPr="23BE041E">
        <w:rPr>
          <w:rFonts w:ascii="Times New Roman" w:hAnsi="Times New Roman"/>
          <w:b/>
          <w:bCs/>
          <w:sz w:val="24"/>
          <w:szCs w:val="24"/>
        </w:rPr>
        <w:t>]</w:t>
      </w:r>
    </w:p>
    <w:p w14:paraId="7F53A59C" w14:textId="491BB4F9" w:rsidR="0091279D" w:rsidRPr="0091279D" w:rsidRDefault="0091279D" w:rsidP="0091279D">
      <w:pPr>
        <w:spacing w:after="0"/>
        <w:jc w:val="both"/>
        <w:rPr>
          <w:rFonts w:ascii="Times New Roman" w:hAnsi="Times New Roman"/>
          <w:bCs/>
          <w:sz w:val="24"/>
          <w:szCs w:val="24"/>
        </w:rPr>
      </w:pPr>
      <w:r>
        <w:rPr>
          <w:rFonts w:ascii="Times New Roman" w:hAnsi="Times New Roman"/>
          <w:bCs/>
          <w:sz w:val="24"/>
          <w:szCs w:val="24"/>
        </w:rPr>
        <w:t xml:space="preserve">Na základe požiadavky </w:t>
      </w:r>
      <w:r w:rsidRPr="0091279D">
        <w:rPr>
          <w:rFonts w:ascii="Times New Roman" w:hAnsi="Times New Roman"/>
          <w:bCs/>
          <w:sz w:val="24"/>
          <w:szCs w:val="24"/>
        </w:rPr>
        <w:t xml:space="preserve">čl. 6 ods. 2 </w:t>
      </w:r>
      <w:r>
        <w:rPr>
          <w:rFonts w:ascii="Times New Roman" w:hAnsi="Times New Roman"/>
          <w:bCs/>
          <w:sz w:val="24"/>
          <w:szCs w:val="24"/>
        </w:rPr>
        <w:t>smernice</w:t>
      </w:r>
      <w:r w:rsidRPr="0091279D">
        <w:rPr>
          <w:rFonts w:ascii="Times New Roman" w:hAnsi="Times New Roman"/>
          <w:bCs/>
          <w:sz w:val="24"/>
          <w:szCs w:val="24"/>
        </w:rPr>
        <w:t xml:space="preserve"> (EÚ) 2024/1640</w:t>
      </w:r>
      <w:r w:rsidR="00B778FA" w:rsidRPr="0091279D">
        <w:rPr>
          <w:rFonts w:ascii="Times New Roman" w:hAnsi="Times New Roman"/>
          <w:bCs/>
          <w:sz w:val="24"/>
          <w:szCs w:val="24"/>
        </w:rPr>
        <w:t>, ktorý odkazuje na čl. 3 bod 3 písm. a), b), d), e), f) a h) až o) nariadenia (EÚ) 2024/1624</w:t>
      </w:r>
      <w:r w:rsidR="00B778FA">
        <w:rPr>
          <w:rFonts w:ascii="Times New Roman" w:hAnsi="Times New Roman"/>
          <w:bCs/>
          <w:sz w:val="24"/>
          <w:szCs w:val="24"/>
        </w:rPr>
        <w:t xml:space="preserve"> sa </w:t>
      </w:r>
      <w:r w:rsidRPr="0091279D">
        <w:rPr>
          <w:rFonts w:ascii="Times New Roman" w:hAnsi="Times New Roman"/>
          <w:bCs/>
          <w:sz w:val="24"/>
          <w:szCs w:val="24"/>
        </w:rPr>
        <w:t>rozširuje okruh subjektov</w:t>
      </w:r>
      <w:r w:rsidR="00B778FA">
        <w:rPr>
          <w:rFonts w:ascii="Times New Roman" w:hAnsi="Times New Roman"/>
          <w:bCs/>
          <w:sz w:val="24"/>
          <w:szCs w:val="24"/>
        </w:rPr>
        <w:t xml:space="preserve"> vykonávajúcich svoju činnosť na základe živnostenského oprávnenia</w:t>
      </w:r>
      <w:r w:rsidRPr="0091279D">
        <w:rPr>
          <w:rFonts w:ascii="Times New Roman" w:hAnsi="Times New Roman"/>
          <w:bCs/>
          <w:sz w:val="24"/>
          <w:szCs w:val="24"/>
        </w:rPr>
        <w:t xml:space="preserve">, na ktoré sa bude vzťahovať požiadavka bezúhonnosti konečného užívateľa výhod. </w:t>
      </w:r>
    </w:p>
    <w:p w14:paraId="43A4DF3A" w14:textId="0CD0EEFC" w:rsidR="0091279D" w:rsidRDefault="0091279D" w:rsidP="070BDBF9">
      <w:pPr>
        <w:spacing w:after="0"/>
        <w:jc w:val="both"/>
        <w:rPr>
          <w:rFonts w:ascii="Times New Roman" w:hAnsi="Times New Roman"/>
          <w:b/>
          <w:bCs/>
          <w:sz w:val="24"/>
          <w:szCs w:val="24"/>
        </w:rPr>
      </w:pPr>
      <w:r>
        <w:rPr>
          <w:rFonts w:ascii="Times New Roman" w:hAnsi="Times New Roman"/>
          <w:bCs/>
          <w:sz w:val="24"/>
          <w:szCs w:val="24"/>
        </w:rPr>
        <w:t xml:space="preserve">  </w:t>
      </w:r>
    </w:p>
    <w:p w14:paraId="31301F5D" w14:textId="01E29D53" w:rsidR="00DA1228" w:rsidRDefault="00DA1228" w:rsidP="070BDBF9">
      <w:pPr>
        <w:spacing w:after="0"/>
        <w:jc w:val="both"/>
        <w:rPr>
          <w:rFonts w:ascii="Times New Roman" w:hAnsi="Times New Roman"/>
          <w:b/>
          <w:bCs/>
          <w:sz w:val="24"/>
          <w:szCs w:val="24"/>
        </w:rPr>
      </w:pPr>
      <w:r>
        <w:rPr>
          <w:rFonts w:ascii="Times New Roman" w:hAnsi="Times New Roman"/>
          <w:b/>
          <w:bCs/>
          <w:sz w:val="24"/>
          <w:szCs w:val="24"/>
        </w:rPr>
        <w:t xml:space="preserve">K bodu 3 </w:t>
      </w:r>
      <w:r w:rsidRPr="23BE041E">
        <w:rPr>
          <w:rFonts w:ascii="Times New Roman" w:hAnsi="Times New Roman"/>
          <w:b/>
          <w:bCs/>
          <w:sz w:val="24"/>
          <w:szCs w:val="24"/>
        </w:rPr>
        <w:t>[</w:t>
      </w:r>
      <w:r>
        <w:rPr>
          <w:rFonts w:ascii="Times New Roman" w:hAnsi="Times New Roman"/>
          <w:b/>
          <w:bCs/>
          <w:sz w:val="24"/>
          <w:szCs w:val="24"/>
        </w:rPr>
        <w:t>§ 57 ods. 1 písm. g)</w:t>
      </w:r>
      <w:r w:rsidRPr="23BE041E">
        <w:rPr>
          <w:rFonts w:ascii="Times New Roman" w:hAnsi="Times New Roman"/>
          <w:b/>
          <w:bCs/>
          <w:sz w:val="24"/>
          <w:szCs w:val="24"/>
        </w:rPr>
        <w:t>]</w:t>
      </w:r>
    </w:p>
    <w:p w14:paraId="6DBA27D5" w14:textId="1475EC3F" w:rsidR="00DA1228" w:rsidRPr="00DA1228" w:rsidRDefault="00DA1228" w:rsidP="070BDBF9">
      <w:pPr>
        <w:spacing w:after="0"/>
        <w:jc w:val="both"/>
        <w:rPr>
          <w:rFonts w:ascii="Times New Roman" w:hAnsi="Times New Roman"/>
          <w:bCs/>
          <w:sz w:val="24"/>
          <w:szCs w:val="24"/>
        </w:rPr>
      </w:pPr>
      <w:r>
        <w:rPr>
          <w:rFonts w:ascii="Times New Roman" w:hAnsi="Times New Roman"/>
          <w:bCs/>
          <w:sz w:val="24"/>
          <w:szCs w:val="24"/>
        </w:rPr>
        <w:t>V nadväznosti na rozšírenie okruhu dôvodov na zrušenie živnostenského oprávnenia v § 58 ods. 1 písm. h) sa tento dôvod vkladá aj do ustanovenia o výnimke zo zániku živnostenského oprávnenia oznámením o ukončení podnikania.</w:t>
      </w:r>
    </w:p>
    <w:p w14:paraId="4F79125C" w14:textId="77777777" w:rsidR="00DA1228" w:rsidRDefault="00DA1228" w:rsidP="070BDBF9">
      <w:pPr>
        <w:spacing w:after="0"/>
        <w:jc w:val="both"/>
        <w:rPr>
          <w:rFonts w:ascii="Times New Roman" w:hAnsi="Times New Roman"/>
          <w:sz w:val="24"/>
          <w:szCs w:val="24"/>
        </w:rPr>
      </w:pPr>
    </w:p>
    <w:p w14:paraId="21B1EB4B" w14:textId="6314EAAB" w:rsidR="23075DF6" w:rsidRDefault="2BEDC07B" w:rsidP="070BDBF9">
      <w:pPr>
        <w:spacing w:after="0"/>
        <w:jc w:val="both"/>
      </w:pPr>
      <w:r w:rsidRPr="23BE041E">
        <w:rPr>
          <w:rFonts w:ascii="Times New Roman" w:hAnsi="Times New Roman"/>
          <w:b/>
          <w:bCs/>
          <w:sz w:val="24"/>
          <w:szCs w:val="24"/>
        </w:rPr>
        <w:t xml:space="preserve">K bodu </w:t>
      </w:r>
      <w:r w:rsidR="0091279D">
        <w:rPr>
          <w:rFonts w:ascii="Times New Roman" w:hAnsi="Times New Roman"/>
          <w:b/>
          <w:bCs/>
          <w:sz w:val="24"/>
          <w:szCs w:val="24"/>
        </w:rPr>
        <w:t xml:space="preserve">4 a </w:t>
      </w:r>
      <w:r w:rsidR="00DA1228">
        <w:rPr>
          <w:rFonts w:ascii="Times New Roman" w:hAnsi="Times New Roman"/>
          <w:b/>
          <w:bCs/>
          <w:sz w:val="24"/>
          <w:szCs w:val="24"/>
        </w:rPr>
        <w:t>6</w:t>
      </w:r>
      <w:r w:rsidRPr="23BE041E">
        <w:rPr>
          <w:rFonts w:ascii="Times New Roman" w:hAnsi="Times New Roman"/>
          <w:b/>
          <w:bCs/>
          <w:sz w:val="24"/>
          <w:szCs w:val="24"/>
        </w:rPr>
        <w:t xml:space="preserve"> [§ 58 ods. </w:t>
      </w:r>
      <w:r w:rsidR="4580A8CF" w:rsidRPr="23BE041E">
        <w:rPr>
          <w:rFonts w:ascii="Times New Roman" w:hAnsi="Times New Roman"/>
          <w:b/>
          <w:bCs/>
          <w:sz w:val="24"/>
          <w:szCs w:val="24"/>
        </w:rPr>
        <w:t xml:space="preserve">1 písm. h), § 58 ods. </w:t>
      </w:r>
      <w:r w:rsidR="0091279D">
        <w:rPr>
          <w:rFonts w:ascii="Times New Roman" w:hAnsi="Times New Roman"/>
          <w:b/>
          <w:bCs/>
          <w:sz w:val="24"/>
          <w:szCs w:val="24"/>
        </w:rPr>
        <w:t>5</w:t>
      </w:r>
      <w:r w:rsidRPr="23BE041E">
        <w:rPr>
          <w:rFonts w:ascii="Times New Roman" w:hAnsi="Times New Roman"/>
          <w:b/>
          <w:bCs/>
          <w:sz w:val="24"/>
          <w:szCs w:val="24"/>
        </w:rPr>
        <w:t>]</w:t>
      </w:r>
    </w:p>
    <w:p w14:paraId="6E06FAF6" w14:textId="25B36746" w:rsidR="7DACD036" w:rsidRDefault="6BCB7349" w:rsidP="070BDBF9">
      <w:pPr>
        <w:spacing w:after="0"/>
        <w:jc w:val="both"/>
      </w:pPr>
      <w:r w:rsidRPr="23BE041E">
        <w:rPr>
          <w:rFonts w:ascii="Times New Roman" w:hAnsi="Times New Roman"/>
          <w:sz w:val="24"/>
          <w:szCs w:val="24"/>
        </w:rPr>
        <w:t>Navrhovaným ustanovením sa transponuje čl. 56 ods. 2 písm. f) smernice (EÚ) 2024/1640, podľa ktorého musia mať orgány dohľadu právomoc odňať povolenie na vykonávanie činnosti subjektu, nad ktorým vykonávajú dohľad, ak tento subjekt porušuje povinnosti ustanovené v nariad</w:t>
      </w:r>
      <w:r w:rsidR="669D87C2" w:rsidRPr="23BE041E">
        <w:rPr>
          <w:rFonts w:ascii="Times New Roman" w:hAnsi="Times New Roman"/>
          <w:sz w:val="24"/>
          <w:szCs w:val="24"/>
        </w:rPr>
        <w:t xml:space="preserve">ení (EÚ) 2024/1624, má nedostatky vo vnútorných politikách, postupoch a kontrolách, alebo jeho vnútorné politiky, postupy </w:t>
      </w:r>
      <w:r w:rsidR="3C6AA38E" w:rsidRPr="23BE041E">
        <w:rPr>
          <w:rFonts w:ascii="Times New Roman" w:hAnsi="Times New Roman"/>
          <w:sz w:val="24"/>
          <w:szCs w:val="24"/>
        </w:rPr>
        <w:t>a kontroly nie sú úmerné rizikám ML/TF</w:t>
      </w:r>
      <w:r w:rsidR="5B5B5BC5" w:rsidRPr="23BE041E">
        <w:rPr>
          <w:rFonts w:ascii="Times New Roman" w:hAnsi="Times New Roman"/>
          <w:sz w:val="24"/>
          <w:szCs w:val="24"/>
        </w:rPr>
        <w:t>.</w:t>
      </w:r>
    </w:p>
    <w:p w14:paraId="0A287DFC" w14:textId="6E1DE035" w:rsidR="7DACD036" w:rsidRDefault="7DACD036" w:rsidP="070BDBF9">
      <w:pPr>
        <w:spacing w:after="0"/>
        <w:jc w:val="both"/>
        <w:rPr>
          <w:rFonts w:ascii="Times New Roman" w:hAnsi="Times New Roman"/>
          <w:sz w:val="24"/>
          <w:szCs w:val="24"/>
        </w:rPr>
      </w:pPr>
    </w:p>
    <w:p w14:paraId="6C0B222E" w14:textId="1BCC83BE" w:rsidR="7DACD036" w:rsidRDefault="6BCB7349" w:rsidP="070BDBF9">
      <w:pPr>
        <w:spacing w:after="0"/>
        <w:jc w:val="both"/>
        <w:rPr>
          <w:rFonts w:ascii="Times New Roman" w:hAnsi="Times New Roman"/>
          <w:sz w:val="24"/>
          <w:szCs w:val="24"/>
        </w:rPr>
      </w:pPr>
      <w:r w:rsidRPr="23BE041E">
        <w:rPr>
          <w:rFonts w:ascii="Times New Roman" w:hAnsi="Times New Roman"/>
          <w:sz w:val="24"/>
          <w:szCs w:val="24"/>
        </w:rPr>
        <w:t>Keďže F</w:t>
      </w:r>
      <w:r w:rsidR="59DDEB1D" w:rsidRPr="23BE041E">
        <w:rPr>
          <w:rFonts w:ascii="Times New Roman" w:hAnsi="Times New Roman"/>
          <w:sz w:val="24"/>
          <w:szCs w:val="24"/>
        </w:rPr>
        <w:t>SJ</w:t>
      </w:r>
      <w:r w:rsidRPr="23BE041E">
        <w:rPr>
          <w:rFonts w:ascii="Times New Roman" w:hAnsi="Times New Roman"/>
          <w:sz w:val="24"/>
          <w:szCs w:val="24"/>
        </w:rPr>
        <w:t xml:space="preserve"> nie je vo vzťahu k povinným osobám, nad ktorými vykonáva dohľad v </w:t>
      </w:r>
      <w:r w:rsidR="5DC6E0D7" w:rsidRPr="23BE041E">
        <w:rPr>
          <w:rFonts w:ascii="Times New Roman" w:hAnsi="Times New Roman"/>
          <w:sz w:val="24"/>
          <w:szCs w:val="24"/>
        </w:rPr>
        <w:t>AML/CFT oblasti</w:t>
      </w:r>
      <w:r w:rsidRPr="23BE041E">
        <w:rPr>
          <w:rFonts w:ascii="Times New Roman" w:hAnsi="Times New Roman"/>
          <w:sz w:val="24"/>
          <w:szCs w:val="24"/>
        </w:rPr>
        <w:t xml:space="preserve"> zároveň orgánom oprávneným rozhodovať o odňatí oprávnenia na vykonávanie ich činnosti, navrhuje sa upraviť osobitný mechanizmus uplatňovania tejto právomoci.</w:t>
      </w:r>
    </w:p>
    <w:p w14:paraId="36927963" w14:textId="6F920843" w:rsidR="06B0A5F3" w:rsidRDefault="06B0A5F3" w:rsidP="23BE041E">
      <w:pPr>
        <w:spacing w:after="0"/>
        <w:jc w:val="both"/>
      </w:pPr>
      <w:r w:rsidRPr="23BE041E">
        <w:rPr>
          <w:rFonts w:ascii="Times New Roman" w:hAnsi="Times New Roman"/>
          <w:sz w:val="24"/>
          <w:szCs w:val="24"/>
        </w:rPr>
        <w:t>Samotnému rozhodnutiu o odobratí oprávnenia na podnikateľskú činnosť</w:t>
      </w:r>
      <w:r w:rsidR="26001913" w:rsidRPr="23BE041E">
        <w:rPr>
          <w:rFonts w:ascii="Times New Roman" w:hAnsi="Times New Roman"/>
          <w:sz w:val="24"/>
          <w:szCs w:val="24"/>
        </w:rPr>
        <w:t xml:space="preserve"> však</w:t>
      </w:r>
      <w:r w:rsidRPr="23BE041E">
        <w:rPr>
          <w:rFonts w:ascii="Times New Roman" w:hAnsi="Times New Roman"/>
          <w:sz w:val="24"/>
          <w:szCs w:val="24"/>
        </w:rPr>
        <w:t xml:space="preserve"> bude predchádzať v</w:t>
      </w:r>
      <w:r w:rsidR="062CE6C4" w:rsidRPr="23BE041E">
        <w:rPr>
          <w:rFonts w:ascii="Times New Roman" w:hAnsi="Times New Roman"/>
          <w:sz w:val="24"/>
          <w:szCs w:val="24"/>
        </w:rPr>
        <w:t>iacero krokov.</w:t>
      </w:r>
    </w:p>
    <w:p w14:paraId="65ACFBF0" w14:textId="6B222B74" w:rsidR="062CE6C4" w:rsidRDefault="062CE6C4" w:rsidP="23BE041E">
      <w:pPr>
        <w:spacing w:after="0"/>
        <w:jc w:val="both"/>
      </w:pPr>
      <w:r w:rsidRPr="23BE041E">
        <w:rPr>
          <w:rFonts w:ascii="Times New Roman" w:hAnsi="Times New Roman"/>
          <w:sz w:val="24"/>
          <w:szCs w:val="24"/>
        </w:rPr>
        <w:lastRenderedPageBreak/>
        <w:t xml:space="preserve">Na začiatku musí FSJ v rámci vykonávaného dohľadu zistiť, že povinná osoba neplní alebo porušuje </w:t>
      </w:r>
      <w:r w:rsidR="74C2CD8E" w:rsidRPr="23BE041E">
        <w:rPr>
          <w:rFonts w:ascii="Times New Roman" w:hAnsi="Times New Roman"/>
          <w:sz w:val="24"/>
          <w:szCs w:val="24"/>
        </w:rPr>
        <w:t xml:space="preserve">niektorú z povinností </w:t>
      </w:r>
      <w:r w:rsidR="107FCBF1" w:rsidRPr="23BE041E">
        <w:rPr>
          <w:rFonts w:ascii="Times New Roman" w:hAnsi="Times New Roman"/>
          <w:sz w:val="24"/>
          <w:szCs w:val="24"/>
        </w:rPr>
        <w:t>upravených v § 54 ods. 1 písm. a) až c). FSJ v rozhodnutí o</w:t>
      </w:r>
      <w:r w:rsidR="4DC49EAC" w:rsidRPr="23BE041E">
        <w:rPr>
          <w:rFonts w:ascii="Times New Roman" w:hAnsi="Times New Roman"/>
          <w:sz w:val="24"/>
          <w:szCs w:val="24"/>
        </w:rPr>
        <w:t xml:space="preserve"> </w:t>
      </w:r>
      <w:r w:rsidR="107FCBF1" w:rsidRPr="23BE041E">
        <w:rPr>
          <w:rFonts w:ascii="Times New Roman" w:hAnsi="Times New Roman"/>
          <w:sz w:val="24"/>
          <w:szCs w:val="24"/>
        </w:rPr>
        <w:t xml:space="preserve">uložení </w:t>
      </w:r>
      <w:r w:rsidR="706F2A1A" w:rsidRPr="23BE041E">
        <w:rPr>
          <w:rFonts w:ascii="Times New Roman" w:hAnsi="Times New Roman"/>
          <w:sz w:val="24"/>
          <w:szCs w:val="24"/>
        </w:rPr>
        <w:t>administratívneho opatrenia určí lehotu na jeho splnenie. V prípade, ak povinná osoba v stanovenej lehote administratívne opatrenie nesplní, FSJ uloží pov</w:t>
      </w:r>
      <w:r w:rsidR="19D6DC2B" w:rsidRPr="23BE041E">
        <w:rPr>
          <w:rFonts w:ascii="Times New Roman" w:hAnsi="Times New Roman"/>
          <w:sz w:val="24"/>
          <w:szCs w:val="24"/>
        </w:rPr>
        <w:t>innej osobe penále,</w:t>
      </w:r>
      <w:r w:rsidR="3195F386" w:rsidRPr="23BE041E">
        <w:rPr>
          <w:rFonts w:ascii="Times New Roman" w:hAnsi="Times New Roman"/>
          <w:sz w:val="24"/>
          <w:szCs w:val="24"/>
        </w:rPr>
        <w:t xml:space="preserve"> ktoré môže byť určené na obdobie najviac šesť mesiacov,</w:t>
      </w:r>
      <w:r w:rsidR="19D6DC2B" w:rsidRPr="23BE041E">
        <w:rPr>
          <w:rFonts w:ascii="Times New Roman" w:hAnsi="Times New Roman"/>
          <w:sz w:val="24"/>
          <w:szCs w:val="24"/>
        </w:rPr>
        <w:t xml:space="preserve"> ktoré cieľom je vynútenie si splnenia administratívneho opatrenia. A</w:t>
      </w:r>
      <w:r w:rsidR="1B3981CE" w:rsidRPr="23BE041E">
        <w:rPr>
          <w:rFonts w:ascii="Times New Roman" w:hAnsi="Times New Roman"/>
          <w:sz w:val="24"/>
          <w:szCs w:val="24"/>
        </w:rPr>
        <w:t xml:space="preserve">k povinná osoba ani po uplynutí </w:t>
      </w:r>
      <w:r w:rsidR="428FC94B" w:rsidRPr="23BE041E">
        <w:rPr>
          <w:rFonts w:ascii="Times New Roman" w:hAnsi="Times New Roman"/>
          <w:sz w:val="24"/>
          <w:szCs w:val="24"/>
        </w:rPr>
        <w:t>tejto lehoty administratívne opatrenie nesplní, FSJ jej ulož</w:t>
      </w:r>
      <w:r w:rsidR="22080EE7" w:rsidRPr="23BE041E">
        <w:rPr>
          <w:rFonts w:ascii="Times New Roman" w:hAnsi="Times New Roman"/>
          <w:sz w:val="24"/>
          <w:szCs w:val="24"/>
        </w:rPr>
        <w:t>í</w:t>
      </w:r>
      <w:r w:rsidR="428FC94B" w:rsidRPr="23BE041E">
        <w:rPr>
          <w:rFonts w:ascii="Times New Roman" w:hAnsi="Times New Roman"/>
          <w:sz w:val="24"/>
          <w:szCs w:val="24"/>
        </w:rPr>
        <w:t xml:space="preserve"> dodatočné penále, taktiež najviac na dobu šesť mesiacov.</w:t>
      </w:r>
    </w:p>
    <w:p w14:paraId="29E14341" w14:textId="413BBE0B" w:rsidR="428FC94B" w:rsidRDefault="428FC94B" w:rsidP="23BE041E">
      <w:pPr>
        <w:spacing w:after="0"/>
        <w:jc w:val="both"/>
      </w:pPr>
      <w:r w:rsidRPr="23BE041E">
        <w:rPr>
          <w:rFonts w:ascii="Times New Roman" w:hAnsi="Times New Roman"/>
          <w:sz w:val="24"/>
          <w:szCs w:val="24"/>
        </w:rPr>
        <w:t>A v prípade, ak povinná osoba ani po uplynutí doby, na ktorú jej bolo uložené dodatočné penále</w:t>
      </w:r>
      <w:r w:rsidR="678EC851" w:rsidRPr="23BE041E">
        <w:rPr>
          <w:rFonts w:ascii="Times New Roman" w:hAnsi="Times New Roman"/>
          <w:sz w:val="24"/>
          <w:szCs w:val="24"/>
        </w:rPr>
        <w:t>,</w:t>
      </w:r>
      <w:r w:rsidRPr="23BE041E">
        <w:rPr>
          <w:rFonts w:ascii="Times New Roman" w:hAnsi="Times New Roman"/>
          <w:sz w:val="24"/>
          <w:szCs w:val="24"/>
        </w:rPr>
        <w:t xml:space="preserve"> administratívne opatrenie nesplní, FSJ ro</w:t>
      </w:r>
      <w:r w:rsidR="76888457" w:rsidRPr="23BE041E">
        <w:rPr>
          <w:rFonts w:ascii="Times New Roman" w:hAnsi="Times New Roman"/>
          <w:sz w:val="24"/>
          <w:szCs w:val="24"/>
        </w:rPr>
        <w:t>zhodne o</w:t>
      </w:r>
      <w:r w:rsidR="02158296" w:rsidRPr="23BE041E">
        <w:rPr>
          <w:rFonts w:ascii="Times New Roman" w:hAnsi="Times New Roman"/>
          <w:sz w:val="24"/>
          <w:szCs w:val="24"/>
        </w:rPr>
        <w:t xml:space="preserve"> </w:t>
      </w:r>
      <w:r w:rsidR="76888457" w:rsidRPr="23BE041E">
        <w:rPr>
          <w:rFonts w:ascii="Times New Roman" w:hAnsi="Times New Roman"/>
          <w:sz w:val="24"/>
          <w:szCs w:val="24"/>
        </w:rPr>
        <w:t xml:space="preserve">odobratí oprávnenia na podnikateľskú činnosť. </w:t>
      </w:r>
    </w:p>
    <w:p w14:paraId="23D67F8A" w14:textId="0B1F7A6A" w:rsidR="76888457" w:rsidRDefault="76888457" w:rsidP="23BE041E">
      <w:pPr>
        <w:spacing w:after="0"/>
        <w:jc w:val="both"/>
        <w:rPr>
          <w:rFonts w:ascii="Times New Roman" w:hAnsi="Times New Roman"/>
          <w:sz w:val="24"/>
          <w:szCs w:val="24"/>
        </w:rPr>
      </w:pPr>
      <w:r w:rsidRPr="23BE041E">
        <w:rPr>
          <w:rFonts w:ascii="Times New Roman" w:hAnsi="Times New Roman"/>
          <w:sz w:val="24"/>
          <w:szCs w:val="24"/>
        </w:rPr>
        <w:t xml:space="preserve">Právoplatné rozhodnutie o uložení </w:t>
      </w:r>
      <w:r w:rsidR="38D1B944" w:rsidRPr="23BE041E">
        <w:rPr>
          <w:rFonts w:ascii="Times New Roman" w:hAnsi="Times New Roman"/>
          <w:sz w:val="24"/>
          <w:szCs w:val="24"/>
        </w:rPr>
        <w:t xml:space="preserve">administratívneho opatrenia spočívajúceho v odobratí živnostenského oprávnenia, </w:t>
      </w:r>
      <w:r w:rsidRPr="23BE041E">
        <w:rPr>
          <w:rFonts w:ascii="Times New Roman" w:hAnsi="Times New Roman"/>
          <w:sz w:val="24"/>
          <w:szCs w:val="24"/>
        </w:rPr>
        <w:t>zašle FSJ do 10 pracovných dní živnostenskému úradu</w:t>
      </w:r>
      <w:r w:rsidR="7AC2D148" w:rsidRPr="23BE041E">
        <w:rPr>
          <w:rFonts w:ascii="Times New Roman" w:hAnsi="Times New Roman"/>
          <w:sz w:val="24"/>
          <w:szCs w:val="24"/>
        </w:rPr>
        <w:t>.</w:t>
      </w:r>
    </w:p>
    <w:p w14:paraId="51A7E24A" w14:textId="30A10A0C" w:rsidR="0091279D" w:rsidRDefault="0091279D" w:rsidP="23BE041E">
      <w:pPr>
        <w:spacing w:after="0"/>
        <w:jc w:val="both"/>
        <w:rPr>
          <w:rFonts w:ascii="Times New Roman" w:hAnsi="Times New Roman"/>
          <w:sz w:val="24"/>
          <w:szCs w:val="24"/>
        </w:rPr>
      </w:pPr>
    </w:p>
    <w:p w14:paraId="2D0B4E0B" w14:textId="1B80B28B" w:rsidR="0091279D" w:rsidRDefault="0091279D" w:rsidP="23BE041E">
      <w:pPr>
        <w:spacing w:after="0"/>
        <w:jc w:val="both"/>
        <w:rPr>
          <w:rFonts w:ascii="Times New Roman" w:hAnsi="Times New Roman"/>
          <w:sz w:val="24"/>
          <w:szCs w:val="24"/>
        </w:rPr>
      </w:pPr>
      <w:r>
        <w:rPr>
          <w:rFonts w:ascii="Times New Roman" w:hAnsi="Times New Roman"/>
          <w:sz w:val="24"/>
          <w:szCs w:val="24"/>
        </w:rPr>
        <w:t xml:space="preserve">Zároveň sa živnostenskému úradu ukladá povinnosť oznámiť FSJ zrušenie živnostenského oprávnenia </w:t>
      </w:r>
      <w:r w:rsidRPr="0091279D">
        <w:rPr>
          <w:rFonts w:ascii="Times New Roman" w:hAnsi="Times New Roman"/>
          <w:sz w:val="24"/>
          <w:szCs w:val="24"/>
        </w:rPr>
        <w:t>bezodkladne po nadobudnutí právoplatnosti rozhodnutia o</w:t>
      </w:r>
      <w:r>
        <w:rPr>
          <w:rFonts w:ascii="Times New Roman" w:hAnsi="Times New Roman"/>
          <w:sz w:val="24"/>
          <w:szCs w:val="24"/>
        </w:rPr>
        <w:t xml:space="preserve"> jeho</w:t>
      </w:r>
      <w:r w:rsidRPr="0091279D">
        <w:rPr>
          <w:rFonts w:ascii="Times New Roman" w:hAnsi="Times New Roman"/>
          <w:sz w:val="24"/>
          <w:szCs w:val="24"/>
        </w:rPr>
        <w:t xml:space="preserve"> zrušení</w:t>
      </w:r>
      <w:r>
        <w:rPr>
          <w:rFonts w:ascii="Times New Roman" w:hAnsi="Times New Roman"/>
          <w:sz w:val="24"/>
          <w:szCs w:val="24"/>
        </w:rPr>
        <w:t>.</w:t>
      </w:r>
    </w:p>
    <w:p w14:paraId="68E3A1E3" w14:textId="7B7CF458" w:rsidR="23BE041E" w:rsidRDefault="23BE041E" w:rsidP="23BE041E">
      <w:pPr>
        <w:spacing w:after="0"/>
        <w:jc w:val="both"/>
        <w:rPr>
          <w:rFonts w:ascii="Times New Roman" w:hAnsi="Times New Roman"/>
          <w:sz w:val="24"/>
          <w:szCs w:val="24"/>
        </w:rPr>
      </w:pPr>
    </w:p>
    <w:p w14:paraId="02A3874D" w14:textId="552BC488" w:rsidR="6BCB7349" w:rsidRDefault="6BCB7349" w:rsidP="23BE041E">
      <w:pPr>
        <w:spacing w:after="0"/>
        <w:jc w:val="both"/>
      </w:pPr>
      <w:r w:rsidRPr="23BE041E">
        <w:rPr>
          <w:rFonts w:ascii="Times New Roman" w:hAnsi="Times New Roman"/>
          <w:sz w:val="24"/>
          <w:szCs w:val="24"/>
        </w:rPr>
        <w:t xml:space="preserve">Vo vzťahu k živnostenskému oprávneniu sa uvedený mechanizmus bude uplatňovať na povinné osoby </w:t>
      </w:r>
      <w:r w:rsidR="0815E9F6" w:rsidRPr="23BE041E">
        <w:rPr>
          <w:rFonts w:ascii="Times New Roman" w:hAnsi="Times New Roman"/>
          <w:sz w:val="24"/>
          <w:szCs w:val="24"/>
        </w:rPr>
        <w:t>zaradené do nefinančného sektora a uvedené v</w:t>
      </w:r>
      <w:r w:rsidR="0091279D">
        <w:rPr>
          <w:rFonts w:ascii="Times New Roman" w:hAnsi="Times New Roman"/>
          <w:sz w:val="24"/>
          <w:szCs w:val="24"/>
        </w:rPr>
        <w:t> čl. I</w:t>
      </w:r>
      <w:r w:rsidR="0815E9F6" w:rsidRPr="23BE041E">
        <w:rPr>
          <w:rFonts w:ascii="Times New Roman" w:hAnsi="Times New Roman"/>
          <w:sz w:val="24"/>
          <w:szCs w:val="24"/>
        </w:rPr>
        <w:t xml:space="preserve"> § 2 písm. d) bod 2, </w:t>
      </w:r>
      <w:r w:rsidR="772C51DD" w:rsidRPr="23BE041E">
        <w:rPr>
          <w:rFonts w:ascii="Times New Roman" w:hAnsi="Times New Roman"/>
          <w:sz w:val="24"/>
          <w:szCs w:val="24"/>
        </w:rPr>
        <w:t>5, 6, 7, 8, 10</w:t>
      </w:r>
      <w:r w:rsidR="45F19B38" w:rsidRPr="23BE041E">
        <w:rPr>
          <w:rFonts w:ascii="Times New Roman" w:hAnsi="Times New Roman"/>
          <w:sz w:val="24"/>
          <w:szCs w:val="24"/>
        </w:rPr>
        <w:t>,</w:t>
      </w:r>
      <w:r w:rsidR="772C51DD" w:rsidRPr="23BE041E">
        <w:rPr>
          <w:rFonts w:ascii="Times New Roman" w:hAnsi="Times New Roman"/>
          <w:sz w:val="24"/>
          <w:szCs w:val="24"/>
        </w:rPr>
        <w:t xml:space="preserve"> 11</w:t>
      </w:r>
      <w:r w:rsidR="0012B64A" w:rsidRPr="23BE041E">
        <w:rPr>
          <w:rFonts w:ascii="Times New Roman" w:hAnsi="Times New Roman"/>
          <w:sz w:val="24"/>
          <w:szCs w:val="24"/>
        </w:rPr>
        <w:t xml:space="preserve"> a</w:t>
      </w:r>
      <w:r w:rsidR="772C51DD" w:rsidRPr="23BE041E">
        <w:rPr>
          <w:rFonts w:ascii="Times New Roman" w:hAnsi="Times New Roman"/>
          <w:sz w:val="24"/>
          <w:szCs w:val="24"/>
        </w:rPr>
        <w:t xml:space="preserve"> 13</w:t>
      </w:r>
      <w:r w:rsidR="1784E9EE" w:rsidRPr="23BE041E">
        <w:rPr>
          <w:rFonts w:ascii="Times New Roman" w:hAnsi="Times New Roman"/>
          <w:sz w:val="24"/>
          <w:szCs w:val="24"/>
        </w:rPr>
        <w:t xml:space="preserve"> návrhu zákona.</w:t>
      </w:r>
    </w:p>
    <w:p w14:paraId="71A1674E" w14:textId="29E2CB3E" w:rsidR="23BE041E" w:rsidRDefault="23BE041E" w:rsidP="23BE041E">
      <w:pPr>
        <w:spacing w:after="0"/>
        <w:jc w:val="both"/>
        <w:rPr>
          <w:rFonts w:ascii="Times New Roman" w:hAnsi="Times New Roman"/>
          <w:sz w:val="24"/>
          <w:szCs w:val="24"/>
        </w:rPr>
      </w:pPr>
    </w:p>
    <w:p w14:paraId="7C9BD2E0" w14:textId="71DAE7A0" w:rsidR="00DA1228" w:rsidRDefault="00DA1228" w:rsidP="23BE041E">
      <w:pPr>
        <w:spacing w:after="0"/>
        <w:jc w:val="both"/>
        <w:rPr>
          <w:rFonts w:ascii="Times New Roman" w:hAnsi="Times New Roman"/>
          <w:b/>
          <w:bCs/>
          <w:sz w:val="24"/>
          <w:szCs w:val="24"/>
        </w:rPr>
      </w:pPr>
      <w:r w:rsidRPr="23BE041E">
        <w:rPr>
          <w:rFonts w:ascii="Times New Roman" w:hAnsi="Times New Roman"/>
          <w:b/>
          <w:bCs/>
          <w:sz w:val="24"/>
          <w:szCs w:val="24"/>
        </w:rPr>
        <w:t xml:space="preserve">K bodu </w:t>
      </w:r>
      <w:r>
        <w:rPr>
          <w:rFonts w:ascii="Times New Roman" w:hAnsi="Times New Roman"/>
          <w:b/>
          <w:bCs/>
          <w:sz w:val="24"/>
          <w:szCs w:val="24"/>
        </w:rPr>
        <w:t>5 (§ 58 ods. 4)</w:t>
      </w:r>
    </w:p>
    <w:p w14:paraId="75F4CB66" w14:textId="241AF5BE" w:rsidR="0090776B" w:rsidRDefault="0090776B" w:rsidP="23BE041E">
      <w:pPr>
        <w:spacing w:after="0"/>
        <w:jc w:val="both"/>
        <w:rPr>
          <w:rFonts w:ascii="Times New Roman" w:hAnsi="Times New Roman"/>
          <w:b/>
          <w:bCs/>
          <w:sz w:val="24"/>
          <w:szCs w:val="24"/>
        </w:rPr>
      </w:pPr>
      <w:r>
        <w:rPr>
          <w:rFonts w:ascii="Times New Roman" w:hAnsi="Times New Roman"/>
          <w:bCs/>
          <w:sz w:val="24"/>
          <w:szCs w:val="24"/>
        </w:rPr>
        <w:t>V nadväznosti na rozšírenie okruhu dôvodov na zrušenie živnostenského oprávnenia v § 58 ods. 1 písm. h) sa tento</w:t>
      </w:r>
      <w:r w:rsidR="00AD3023">
        <w:rPr>
          <w:rFonts w:ascii="Times New Roman" w:hAnsi="Times New Roman"/>
          <w:bCs/>
          <w:sz w:val="24"/>
          <w:szCs w:val="24"/>
        </w:rPr>
        <w:t xml:space="preserve"> dôvod vkladá aj do ustanovenia, podľa ktorého nebude môcť osoba </w:t>
      </w:r>
      <w:r w:rsidR="005D7779">
        <w:rPr>
          <w:rFonts w:ascii="Times New Roman" w:hAnsi="Times New Roman"/>
          <w:bCs/>
          <w:sz w:val="24"/>
          <w:szCs w:val="24"/>
        </w:rPr>
        <w:t>ohlásiť živnosť skôr ako po troch rokoch od kedy jej bola predchádzajúca živnosť zrušená z novozavedeného dôvodu (§ 58 ods. 1 písm. f).</w:t>
      </w:r>
    </w:p>
    <w:p w14:paraId="10AD2B60" w14:textId="77777777" w:rsidR="00DA1228" w:rsidRDefault="00DA1228" w:rsidP="23BE041E">
      <w:pPr>
        <w:spacing w:after="0"/>
        <w:jc w:val="both"/>
        <w:rPr>
          <w:rFonts w:ascii="Times New Roman" w:hAnsi="Times New Roman"/>
          <w:sz w:val="24"/>
          <w:szCs w:val="24"/>
        </w:rPr>
      </w:pPr>
    </w:p>
    <w:p w14:paraId="58CD2974" w14:textId="730D5664" w:rsidR="5687F3AD" w:rsidRDefault="5687F3AD" w:rsidP="23BE041E">
      <w:pPr>
        <w:spacing w:after="0"/>
        <w:jc w:val="both"/>
      </w:pPr>
      <w:r w:rsidRPr="23BE041E">
        <w:rPr>
          <w:rFonts w:ascii="Times New Roman" w:hAnsi="Times New Roman"/>
          <w:b/>
          <w:bCs/>
          <w:sz w:val="24"/>
          <w:szCs w:val="24"/>
        </w:rPr>
        <w:t xml:space="preserve">K bodu </w:t>
      </w:r>
      <w:r w:rsidR="00DA1228">
        <w:rPr>
          <w:rFonts w:ascii="Times New Roman" w:hAnsi="Times New Roman"/>
          <w:b/>
          <w:bCs/>
          <w:sz w:val="24"/>
          <w:szCs w:val="24"/>
        </w:rPr>
        <w:t>7</w:t>
      </w:r>
      <w:r w:rsidRPr="23BE041E">
        <w:rPr>
          <w:rFonts w:ascii="Times New Roman" w:hAnsi="Times New Roman"/>
          <w:sz w:val="24"/>
          <w:szCs w:val="24"/>
        </w:rPr>
        <w:t xml:space="preserve"> </w:t>
      </w:r>
      <w:r w:rsidRPr="23BE041E">
        <w:rPr>
          <w:rFonts w:ascii="Times New Roman" w:hAnsi="Times New Roman"/>
          <w:b/>
          <w:bCs/>
          <w:sz w:val="24"/>
          <w:szCs w:val="24"/>
        </w:rPr>
        <w:t>[§ 80av]</w:t>
      </w:r>
    </w:p>
    <w:p w14:paraId="3A0265F6" w14:textId="59227E88" w:rsidR="5687F3AD" w:rsidRDefault="5687F3AD" w:rsidP="23BE041E">
      <w:pPr>
        <w:spacing w:after="0"/>
        <w:jc w:val="both"/>
      </w:pPr>
      <w:r w:rsidRPr="23BE041E">
        <w:rPr>
          <w:rFonts w:ascii="Times New Roman" w:hAnsi="Times New Roman"/>
          <w:sz w:val="24"/>
          <w:szCs w:val="24"/>
        </w:rPr>
        <w:t>Upravuje sa prechodné ustanovenie k úprave účinnej od 10.</w:t>
      </w:r>
      <w:r w:rsidR="005D7779">
        <w:rPr>
          <w:rFonts w:ascii="Times New Roman" w:hAnsi="Times New Roman"/>
          <w:sz w:val="24"/>
          <w:szCs w:val="24"/>
        </w:rPr>
        <w:t xml:space="preserve"> júla </w:t>
      </w:r>
      <w:r w:rsidRPr="23BE041E">
        <w:rPr>
          <w:rFonts w:ascii="Times New Roman" w:hAnsi="Times New Roman"/>
          <w:sz w:val="24"/>
          <w:szCs w:val="24"/>
        </w:rPr>
        <w:t>2027.</w:t>
      </w:r>
    </w:p>
    <w:p w14:paraId="7946C338" w14:textId="2693C37B" w:rsidR="23BE041E" w:rsidRDefault="23BE041E" w:rsidP="23BE041E">
      <w:pPr>
        <w:spacing w:after="0"/>
        <w:jc w:val="both"/>
        <w:rPr>
          <w:rFonts w:ascii="Times New Roman" w:hAnsi="Times New Roman"/>
          <w:sz w:val="24"/>
          <w:szCs w:val="24"/>
        </w:rPr>
      </w:pPr>
    </w:p>
    <w:p w14:paraId="5C6A9384" w14:textId="52401FC5" w:rsidR="070BDBF9" w:rsidRDefault="070BDBF9" w:rsidP="070BDBF9">
      <w:pPr>
        <w:spacing w:after="0"/>
        <w:jc w:val="center"/>
        <w:rPr>
          <w:rFonts w:ascii="Times New Roman" w:hAnsi="Times New Roman"/>
          <w:b/>
          <w:bCs/>
          <w:sz w:val="24"/>
          <w:szCs w:val="24"/>
          <w:highlight w:val="yellow"/>
          <w:u w:val="single"/>
        </w:rPr>
      </w:pPr>
    </w:p>
    <w:p w14:paraId="65AF5B21" w14:textId="0428E631" w:rsidR="6109A62B" w:rsidRPr="00512478" w:rsidRDefault="1FC6028B" w:rsidP="070BDBF9">
      <w:pPr>
        <w:spacing w:after="0"/>
        <w:jc w:val="center"/>
        <w:rPr>
          <w:rFonts w:ascii="Times New Roman" w:hAnsi="Times New Roman"/>
          <w:b/>
          <w:bCs/>
          <w:sz w:val="24"/>
          <w:szCs w:val="24"/>
        </w:rPr>
      </w:pPr>
      <w:r w:rsidRPr="00512478">
        <w:rPr>
          <w:rFonts w:ascii="Times New Roman" w:hAnsi="Times New Roman"/>
          <w:b/>
          <w:bCs/>
          <w:sz w:val="24"/>
          <w:szCs w:val="24"/>
        </w:rPr>
        <w:t>Čl. III</w:t>
      </w:r>
    </w:p>
    <w:p w14:paraId="1D44F458" w14:textId="60154D65" w:rsidR="6405D0E6" w:rsidRDefault="6405D0E6" w:rsidP="070BDBF9">
      <w:pPr>
        <w:spacing w:after="0"/>
        <w:jc w:val="center"/>
        <w:rPr>
          <w:rFonts w:ascii="Times New Roman" w:hAnsi="Times New Roman"/>
          <w:b/>
          <w:bCs/>
          <w:sz w:val="24"/>
          <w:szCs w:val="24"/>
          <w:u w:val="single"/>
        </w:rPr>
      </w:pPr>
    </w:p>
    <w:p w14:paraId="4BF59697" w14:textId="3EA4B032" w:rsidR="6109A62B" w:rsidRDefault="1FC6028B" w:rsidP="070BDBF9">
      <w:pPr>
        <w:spacing w:after="0"/>
        <w:jc w:val="center"/>
        <w:rPr>
          <w:rFonts w:ascii="Times New Roman" w:hAnsi="Times New Roman"/>
          <w:b/>
          <w:bCs/>
          <w:sz w:val="24"/>
          <w:szCs w:val="24"/>
        </w:rPr>
      </w:pPr>
      <w:r w:rsidRPr="070BDBF9">
        <w:rPr>
          <w:rFonts w:ascii="Times New Roman" w:hAnsi="Times New Roman"/>
          <w:b/>
          <w:bCs/>
          <w:sz w:val="24"/>
          <w:szCs w:val="24"/>
        </w:rPr>
        <w:t xml:space="preserve">Zákon č. </w:t>
      </w:r>
      <w:hyperlink r:id="rId8">
        <w:r w:rsidRPr="070BDBF9">
          <w:rPr>
            <w:rFonts w:ascii="Times New Roman" w:hAnsi="Times New Roman"/>
            <w:b/>
            <w:bCs/>
            <w:sz w:val="24"/>
            <w:szCs w:val="24"/>
          </w:rPr>
          <w:t>78/1992 Zb.</w:t>
        </w:r>
      </w:hyperlink>
      <w:r w:rsidRPr="070BDBF9">
        <w:rPr>
          <w:rFonts w:ascii="Times New Roman" w:hAnsi="Times New Roman"/>
          <w:b/>
          <w:bCs/>
          <w:sz w:val="24"/>
          <w:szCs w:val="24"/>
        </w:rPr>
        <w:t xml:space="preserve"> o daňových poradcoch a Slovenskej komore daňových poradcov</w:t>
      </w:r>
    </w:p>
    <w:p w14:paraId="13B6A280" w14:textId="79EE7032" w:rsidR="6405D0E6" w:rsidRDefault="6405D0E6" w:rsidP="070BDBF9">
      <w:pPr>
        <w:spacing w:after="0"/>
        <w:jc w:val="both"/>
        <w:rPr>
          <w:rFonts w:ascii="Times New Roman" w:hAnsi="Times New Roman"/>
          <w:b/>
          <w:bCs/>
          <w:sz w:val="24"/>
          <w:szCs w:val="24"/>
        </w:rPr>
      </w:pPr>
    </w:p>
    <w:p w14:paraId="54946AF0" w14:textId="1AE85C09" w:rsidR="6109A62B" w:rsidRDefault="6109A62B" w:rsidP="23BE041E">
      <w:pPr>
        <w:spacing w:after="0"/>
        <w:jc w:val="both"/>
        <w:rPr>
          <w:rFonts w:ascii="Times New Roman" w:hAnsi="Times New Roman"/>
          <w:sz w:val="24"/>
          <w:szCs w:val="24"/>
        </w:rPr>
      </w:pPr>
    </w:p>
    <w:p w14:paraId="420805CF" w14:textId="201A4FAC" w:rsidR="6109A62B" w:rsidRDefault="55DEB118" w:rsidP="23BE041E">
      <w:pPr>
        <w:spacing w:after="0"/>
        <w:jc w:val="both"/>
      </w:pPr>
      <w:r w:rsidRPr="23BE041E">
        <w:rPr>
          <w:rFonts w:ascii="Times New Roman" w:hAnsi="Times New Roman"/>
          <w:b/>
          <w:bCs/>
          <w:sz w:val="24"/>
          <w:szCs w:val="24"/>
        </w:rPr>
        <w:t>K bodu 1</w:t>
      </w:r>
      <w:r w:rsidR="649F0104" w:rsidRPr="23BE041E">
        <w:rPr>
          <w:rFonts w:ascii="Times New Roman" w:hAnsi="Times New Roman"/>
          <w:b/>
          <w:bCs/>
          <w:sz w:val="24"/>
          <w:szCs w:val="24"/>
        </w:rPr>
        <w:t xml:space="preserve"> a 3</w:t>
      </w:r>
      <w:r w:rsidRPr="23BE041E">
        <w:rPr>
          <w:rFonts w:ascii="Times New Roman" w:hAnsi="Times New Roman"/>
          <w:sz w:val="24"/>
          <w:szCs w:val="24"/>
        </w:rPr>
        <w:t xml:space="preserve"> </w:t>
      </w:r>
      <w:r w:rsidRPr="23BE041E">
        <w:rPr>
          <w:rFonts w:ascii="Times New Roman" w:hAnsi="Times New Roman"/>
          <w:b/>
          <w:bCs/>
          <w:sz w:val="24"/>
          <w:szCs w:val="24"/>
        </w:rPr>
        <w:t>[§ 8 ods. 7 písm. c)</w:t>
      </w:r>
      <w:r w:rsidR="442180A5" w:rsidRPr="23BE041E">
        <w:rPr>
          <w:rFonts w:ascii="Times New Roman" w:hAnsi="Times New Roman"/>
          <w:b/>
          <w:bCs/>
          <w:sz w:val="24"/>
          <w:szCs w:val="24"/>
        </w:rPr>
        <w:t>, § 28 ods. 7</w:t>
      </w:r>
      <w:r w:rsidRPr="23BE041E">
        <w:rPr>
          <w:rFonts w:ascii="Times New Roman" w:hAnsi="Times New Roman"/>
          <w:b/>
          <w:bCs/>
          <w:sz w:val="24"/>
          <w:szCs w:val="24"/>
        </w:rPr>
        <w:t>]</w:t>
      </w:r>
    </w:p>
    <w:p w14:paraId="4F5AEF3D" w14:textId="7849D89A" w:rsidR="6109A62B" w:rsidRDefault="10177032" w:rsidP="23BE041E">
      <w:pPr>
        <w:spacing w:after="0"/>
        <w:jc w:val="both"/>
        <w:rPr>
          <w:rFonts w:ascii="Times New Roman" w:hAnsi="Times New Roman"/>
          <w:sz w:val="24"/>
          <w:szCs w:val="24"/>
        </w:rPr>
      </w:pPr>
      <w:r w:rsidRPr="00AC5950">
        <w:rPr>
          <w:rFonts w:ascii="Times New Roman" w:hAnsi="Times New Roman"/>
          <w:sz w:val="24"/>
          <w:szCs w:val="24"/>
        </w:rPr>
        <w:t>Navrhuje sa vypustiť podmienka, podľa ktorej konečný užívateľ výhod a člen štatutárneho orgánu nesmú byť v blízkom podnikateľskom vzťahu s osobou, ktorá nie je bezúhonná.</w:t>
      </w:r>
    </w:p>
    <w:p w14:paraId="0661D954" w14:textId="726B0A73" w:rsidR="6109A62B" w:rsidRPr="00AC5950" w:rsidRDefault="10177032" w:rsidP="23BE041E">
      <w:pPr>
        <w:spacing w:after="0"/>
        <w:jc w:val="both"/>
        <w:rPr>
          <w:rFonts w:ascii="Times New Roman" w:hAnsi="Times New Roman"/>
          <w:sz w:val="24"/>
          <w:szCs w:val="24"/>
        </w:rPr>
      </w:pPr>
      <w:r w:rsidRPr="00AC5950">
        <w:rPr>
          <w:rFonts w:ascii="Times New Roman" w:hAnsi="Times New Roman"/>
          <w:sz w:val="24"/>
          <w:szCs w:val="24"/>
        </w:rPr>
        <w:t xml:space="preserve">Cieľom navrhovanej úpravy je zúžiť posudzovanie bezúhonnosti na osoby, ktoré majú priamy vzťah k </w:t>
      </w:r>
      <w:r w:rsidR="76A13706" w:rsidRPr="00AC5950">
        <w:rPr>
          <w:rFonts w:ascii="Times New Roman" w:hAnsi="Times New Roman"/>
          <w:sz w:val="24"/>
          <w:szCs w:val="24"/>
        </w:rPr>
        <w:t>právnickej osobe</w:t>
      </w:r>
      <w:r w:rsidRPr="00AC5950">
        <w:rPr>
          <w:rFonts w:ascii="Times New Roman" w:hAnsi="Times New Roman"/>
          <w:sz w:val="24"/>
          <w:szCs w:val="24"/>
        </w:rPr>
        <w:t xml:space="preserve"> a môžu ovplyvňovať jej činnosť. Doterajšia právna úprava rozširuje posudzovanie bezúhonnosti aj na bližšie neurčený okruh tretích osôb nachádzajúcich sa v blízkom podnikateľskom vzťahu s konečným užívateľom výhod alebo členom štatutárneho orgánu </w:t>
      </w:r>
      <w:r w:rsidR="4F226AD7" w:rsidRPr="00AC5950">
        <w:rPr>
          <w:rFonts w:ascii="Times New Roman" w:hAnsi="Times New Roman"/>
          <w:sz w:val="24"/>
          <w:szCs w:val="24"/>
        </w:rPr>
        <w:t>právnickej osoby.</w:t>
      </w:r>
      <w:r w:rsidRPr="00AC5950">
        <w:rPr>
          <w:rFonts w:ascii="Times New Roman" w:hAnsi="Times New Roman"/>
          <w:sz w:val="24"/>
          <w:szCs w:val="24"/>
        </w:rPr>
        <w:t xml:space="preserve"> Splnenie tejto podmienky môže byť v praxi vzhľadom na jej rozsah a nepriame väzby dotknutých osôb neprimerane náročné preukazovať a priebežne overovať.</w:t>
      </w:r>
    </w:p>
    <w:p w14:paraId="78EF6FDF" w14:textId="6FE12DA8" w:rsidR="6109A62B" w:rsidRPr="00AC5950" w:rsidRDefault="10177032" w:rsidP="23BE041E">
      <w:pPr>
        <w:spacing w:after="0"/>
        <w:jc w:val="both"/>
        <w:rPr>
          <w:rFonts w:ascii="Times New Roman" w:hAnsi="Times New Roman"/>
          <w:sz w:val="24"/>
          <w:szCs w:val="24"/>
        </w:rPr>
      </w:pPr>
      <w:r w:rsidRPr="00AC5950">
        <w:rPr>
          <w:rFonts w:ascii="Times New Roman" w:hAnsi="Times New Roman"/>
          <w:sz w:val="24"/>
          <w:szCs w:val="24"/>
        </w:rPr>
        <w:t xml:space="preserve">Vypustením predmetnej podmienky sa zabezpečí primeranejšie a jednoznačnejšie vymedzenie požiadaviek na bezúhonnosť pri </w:t>
      </w:r>
      <w:r w:rsidR="5BA22805" w:rsidRPr="00AC5950">
        <w:rPr>
          <w:rFonts w:ascii="Times New Roman" w:hAnsi="Times New Roman"/>
          <w:sz w:val="24"/>
          <w:szCs w:val="24"/>
        </w:rPr>
        <w:t xml:space="preserve"> zápise právnickej osoby do zoznamu.</w:t>
      </w:r>
      <w:r w:rsidRPr="00AC5950">
        <w:rPr>
          <w:rFonts w:ascii="Times New Roman" w:hAnsi="Times New Roman"/>
          <w:sz w:val="24"/>
          <w:szCs w:val="24"/>
        </w:rPr>
        <w:t xml:space="preserve"> Navrhovaná zmena nemení požiadavku na bezúhonnosť osôb, pri ktorých ju zákon vyžaduje priamo, a neznižuje </w:t>
      </w:r>
      <w:r w:rsidRPr="00AC5950">
        <w:rPr>
          <w:rFonts w:ascii="Times New Roman" w:hAnsi="Times New Roman"/>
          <w:sz w:val="24"/>
          <w:szCs w:val="24"/>
        </w:rPr>
        <w:lastRenderedPageBreak/>
        <w:t xml:space="preserve">požiadavky na odbornú spôsobilosť, nezávislosť ani dôveryhodnosť </w:t>
      </w:r>
      <w:r w:rsidR="589EF30E" w:rsidRPr="00AC5950">
        <w:rPr>
          <w:rFonts w:ascii="Times New Roman" w:hAnsi="Times New Roman"/>
          <w:sz w:val="24"/>
          <w:szCs w:val="24"/>
        </w:rPr>
        <w:t>právnickej osoby zapísanej v zozname.</w:t>
      </w:r>
    </w:p>
    <w:p w14:paraId="7624BF58" w14:textId="25747752" w:rsidR="6109A62B" w:rsidRPr="00AC5950" w:rsidRDefault="10177032" w:rsidP="23BE041E">
      <w:pPr>
        <w:spacing w:after="0"/>
        <w:jc w:val="both"/>
        <w:rPr>
          <w:rFonts w:ascii="Times New Roman" w:hAnsi="Times New Roman"/>
          <w:sz w:val="24"/>
          <w:szCs w:val="24"/>
        </w:rPr>
      </w:pPr>
      <w:r w:rsidRPr="00AC5950">
        <w:rPr>
          <w:rFonts w:ascii="Times New Roman" w:hAnsi="Times New Roman"/>
          <w:sz w:val="24"/>
          <w:szCs w:val="24"/>
        </w:rPr>
        <w:t>V nadväznosti na vypustenie uvedenej podmienky sa ako nadbytočn</w:t>
      </w:r>
      <w:r w:rsidR="590DDFCA" w:rsidRPr="00AC5950">
        <w:rPr>
          <w:rFonts w:ascii="Times New Roman" w:hAnsi="Times New Roman"/>
          <w:sz w:val="24"/>
          <w:szCs w:val="24"/>
        </w:rPr>
        <w:t>é</w:t>
      </w:r>
      <w:r w:rsidRPr="00AC5950">
        <w:rPr>
          <w:rFonts w:ascii="Times New Roman" w:hAnsi="Times New Roman"/>
          <w:sz w:val="24"/>
          <w:szCs w:val="24"/>
        </w:rPr>
        <w:t xml:space="preserve"> vypúšťa aj </w:t>
      </w:r>
      <w:r w:rsidR="7A79BA3B" w:rsidRPr="00AC5950">
        <w:rPr>
          <w:rFonts w:ascii="Times New Roman" w:hAnsi="Times New Roman"/>
          <w:sz w:val="24"/>
          <w:szCs w:val="24"/>
        </w:rPr>
        <w:t>ustanovenie § 28 ods. 7</w:t>
      </w:r>
    </w:p>
    <w:p w14:paraId="0633B22E" w14:textId="4959E78F" w:rsidR="6109A62B" w:rsidRPr="00AC5950" w:rsidRDefault="18CCD769" w:rsidP="23BE041E">
      <w:pPr>
        <w:spacing w:after="0"/>
        <w:jc w:val="both"/>
        <w:rPr>
          <w:rFonts w:ascii="Times New Roman" w:hAnsi="Times New Roman"/>
          <w:sz w:val="24"/>
          <w:szCs w:val="24"/>
        </w:rPr>
      </w:pPr>
      <w:r w:rsidRPr="00AC5950">
        <w:rPr>
          <w:rFonts w:ascii="Times New Roman" w:hAnsi="Times New Roman"/>
          <w:sz w:val="24"/>
          <w:szCs w:val="24"/>
        </w:rPr>
        <w:t xml:space="preserve">Zároveň sa upravuje poznámka pod čiarou k odkazu </w:t>
      </w:r>
      <w:r w:rsidR="60435A7D" w:rsidRPr="00AC5950">
        <w:rPr>
          <w:rFonts w:ascii="Times New Roman" w:hAnsi="Times New Roman"/>
          <w:sz w:val="24"/>
          <w:szCs w:val="24"/>
        </w:rPr>
        <w:t>4 na nariadenie (EÚ), ktoré upravuje definíciu konečného užívateľa výhod.</w:t>
      </w:r>
    </w:p>
    <w:p w14:paraId="684AE6FD" w14:textId="17964462" w:rsidR="6109A62B" w:rsidRDefault="6109A62B" w:rsidP="23BE041E">
      <w:pPr>
        <w:spacing w:after="0"/>
        <w:jc w:val="both"/>
        <w:rPr>
          <w:rFonts w:eastAsiaTheme="minorEastAsia" w:cstheme="minorBidi"/>
          <w:sz w:val="24"/>
          <w:szCs w:val="24"/>
        </w:rPr>
      </w:pPr>
    </w:p>
    <w:p w14:paraId="2993BEF9" w14:textId="2647E0B6" w:rsidR="6109A62B" w:rsidRDefault="2DA081E1" w:rsidP="23BE041E">
      <w:pPr>
        <w:spacing w:after="0"/>
        <w:jc w:val="both"/>
      </w:pPr>
      <w:r w:rsidRPr="23BE041E">
        <w:rPr>
          <w:rFonts w:ascii="Times New Roman" w:hAnsi="Times New Roman"/>
          <w:b/>
          <w:bCs/>
          <w:sz w:val="24"/>
          <w:szCs w:val="24"/>
        </w:rPr>
        <w:t>K bodu 2</w:t>
      </w:r>
      <w:r w:rsidRPr="23BE041E">
        <w:rPr>
          <w:rFonts w:ascii="Times New Roman" w:hAnsi="Times New Roman"/>
          <w:sz w:val="24"/>
          <w:szCs w:val="24"/>
        </w:rPr>
        <w:t xml:space="preserve"> </w:t>
      </w:r>
      <w:r w:rsidRPr="23BE041E">
        <w:rPr>
          <w:rFonts w:ascii="Times New Roman" w:hAnsi="Times New Roman"/>
          <w:b/>
          <w:bCs/>
          <w:sz w:val="24"/>
          <w:szCs w:val="24"/>
        </w:rPr>
        <w:t>[§ 12a]</w:t>
      </w:r>
    </w:p>
    <w:p w14:paraId="2329B7F9" w14:textId="4C960E2D" w:rsidR="6109A62B" w:rsidRDefault="6109A62B" w:rsidP="23BE041E">
      <w:pPr>
        <w:spacing w:after="0"/>
        <w:jc w:val="both"/>
        <w:rPr>
          <w:rFonts w:ascii="Times New Roman" w:hAnsi="Times New Roman"/>
          <w:sz w:val="24"/>
          <w:szCs w:val="24"/>
        </w:rPr>
      </w:pPr>
    </w:p>
    <w:p w14:paraId="4E5ECC10" w14:textId="3B0C74A3" w:rsidR="6109A62B" w:rsidRDefault="2DA081E1" w:rsidP="23BE041E">
      <w:pPr>
        <w:spacing w:after="0"/>
        <w:ind w:firstLine="708"/>
        <w:jc w:val="both"/>
      </w:pPr>
      <w:r w:rsidRPr="23BE041E">
        <w:rPr>
          <w:rFonts w:ascii="Times New Roman" w:hAnsi="Times New Roman"/>
          <w:sz w:val="24"/>
          <w:szCs w:val="24"/>
        </w:rPr>
        <w:t>N</w:t>
      </w:r>
      <w:r w:rsidR="2C1C73A5" w:rsidRPr="23BE041E">
        <w:rPr>
          <w:rFonts w:ascii="Times New Roman" w:hAnsi="Times New Roman"/>
          <w:sz w:val="24"/>
          <w:szCs w:val="24"/>
        </w:rPr>
        <w:t xml:space="preserve">avrhovaným ustanovením sa transponuje čl. 56 ods. 2 písm. f) smernice (EÚ) 2024/1640, podľa ktorého musia mať orgány dohľadu právomoc odňať povolenie na vykonávanie činnosti subjektu, nad ktorým vykonávajú dohľad, ak tento subjekt </w:t>
      </w:r>
      <w:r w:rsidR="2BDCCCF7" w:rsidRPr="23BE041E">
        <w:rPr>
          <w:rFonts w:ascii="Times New Roman" w:hAnsi="Times New Roman"/>
          <w:sz w:val="24"/>
          <w:szCs w:val="24"/>
        </w:rPr>
        <w:t>po</w:t>
      </w:r>
      <w:r w:rsidR="2C1C73A5" w:rsidRPr="23BE041E">
        <w:rPr>
          <w:rFonts w:ascii="Times New Roman" w:hAnsi="Times New Roman"/>
          <w:sz w:val="24"/>
          <w:szCs w:val="24"/>
        </w:rPr>
        <w:t>rušuje povinnosti ustanovené v nariadení (EÚ) 2024/1624, má nedostatky vo vnútorných politikách, postupoch a kontrolách, alebo jeho vnútorné politiky, postupy a kontroly nie sú úmerné rizikám ML/TF.</w:t>
      </w:r>
    </w:p>
    <w:p w14:paraId="59CD6762" w14:textId="6E1DE035" w:rsidR="6109A62B" w:rsidRDefault="6109A62B" w:rsidP="23BE041E">
      <w:pPr>
        <w:spacing w:after="0"/>
        <w:jc w:val="both"/>
        <w:rPr>
          <w:rFonts w:ascii="Times New Roman" w:hAnsi="Times New Roman"/>
          <w:sz w:val="24"/>
          <w:szCs w:val="24"/>
        </w:rPr>
      </w:pPr>
    </w:p>
    <w:p w14:paraId="3D1F601A" w14:textId="1DF03503" w:rsidR="6109A62B" w:rsidRDefault="2C1C73A5" w:rsidP="23BE041E">
      <w:pPr>
        <w:spacing w:after="0"/>
        <w:ind w:firstLine="708"/>
        <w:jc w:val="both"/>
        <w:rPr>
          <w:rFonts w:ascii="Times New Roman" w:hAnsi="Times New Roman"/>
          <w:sz w:val="24"/>
          <w:szCs w:val="24"/>
        </w:rPr>
      </w:pPr>
      <w:r w:rsidRPr="23BE041E">
        <w:rPr>
          <w:rFonts w:ascii="Times New Roman" w:hAnsi="Times New Roman"/>
          <w:sz w:val="24"/>
          <w:szCs w:val="24"/>
        </w:rPr>
        <w:t>Keďže FSJ nie je vo vzťahu k povinným osobám, nad ktorými vykonáva dohľad v AML/CFT oblasti zároveň orgánom oprávneným rozhodovať o odňatí oprávnenia na vykonávanie ich činnosti, navrhuje sa upraviť osobitný mechanizmus uplatňovania tejto právomoci.</w:t>
      </w:r>
    </w:p>
    <w:p w14:paraId="32B48871" w14:textId="084E7206" w:rsidR="6109A62B" w:rsidRDefault="2C1C73A5" w:rsidP="23BE041E">
      <w:pPr>
        <w:spacing w:after="0"/>
        <w:jc w:val="both"/>
      </w:pPr>
      <w:r w:rsidRPr="23BE041E">
        <w:rPr>
          <w:rFonts w:ascii="Times New Roman" w:hAnsi="Times New Roman"/>
          <w:sz w:val="24"/>
          <w:szCs w:val="24"/>
        </w:rPr>
        <w:t>Samotnému rozhodnutiu o odobratí oprávnenia na podnikateľskú</w:t>
      </w:r>
      <w:r w:rsidR="472F64DE" w:rsidRPr="23BE041E">
        <w:rPr>
          <w:rFonts w:ascii="Times New Roman" w:hAnsi="Times New Roman"/>
          <w:sz w:val="24"/>
          <w:szCs w:val="24"/>
        </w:rPr>
        <w:t xml:space="preserve"> alebo inú samostatnú zárobkovú</w:t>
      </w:r>
      <w:r w:rsidRPr="23BE041E">
        <w:rPr>
          <w:rFonts w:ascii="Times New Roman" w:hAnsi="Times New Roman"/>
          <w:sz w:val="24"/>
          <w:szCs w:val="24"/>
        </w:rPr>
        <w:t xml:space="preserve"> činnosť však bude predchádzať viacero krokov.</w:t>
      </w:r>
    </w:p>
    <w:p w14:paraId="7E171917" w14:textId="4B2374BB" w:rsidR="6109A62B" w:rsidRDefault="6109A62B" w:rsidP="23BE041E">
      <w:pPr>
        <w:spacing w:after="0"/>
        <w:jc w:val="both"/>
        <w:rPr>
          <w:rFonts w:ascii="Times New Roman" w:hAnsi="Times New Roman"/>
          <w:sz w:val="24"/>
          <w:szCs w:val="24"/>
        </w:rPr>
      </w:pPr>
    </w:p>
    <w:p w14:paraId="72F8AFFA" w14:textId="1FC4F328" w:rsidR="6109A62B" w:rsidRDefault="2C1C73A5" w:rsidP="23BE041E">
      <w:pPr>
        <w:spacing w:after="0"/>
        <w:ind w:firstLine="708"/>
        <w:jc w:val="both"/>
      </w:pPr>
      <w:r w:rsidRPr="23BE041E">
        <w:rPr>
          <w:rFonts w:ascii="Times New Roman" w:hAnsi="Times New Roman"/>
          <w:sz w:val="24"/>
          <w:szCs w:val="24"/>
        </w:rPr>
        <w:t>Na začiatku musí FSJ v rámci vykonávaného dohľadu zistiť, že povinná osoba neplní alebo porušuje niektorú z povinností upravených v § 54 ods. 1 písm. a) až c). FSJ v rozhodnutí o uložení administratívneho opatrenia určí lehotu na jeho splnenie. V prípade, ak povinná osoba v stanovenej lehote administratívne opatrenie nesplní, FSJ uloží povinnej osobe penále, ktoré môže byť určené na obdobie najviac šesť mesiacov, ktoré</w:t>
      </w:r>
      <w:r w:rsidR="711A1EB0" w:rsidRPr="23BE041E">
        <w:rPr>
          <w:rFonts w:ascii="Times New Roman" w:hAnsi="Times New Roman"/>
          <w:sz w:val="24"/>
          <w:szCs w:val="24"/>
        </w:rPr>
        <w:t>ho</w:t>
      </w:r>
      <w:r w:rsidRPr="23BE041E">
        <w:rPr>
          <w:rFonts w:ascii="Times New Roman" w:hAnsi="Times New Roman"/>
          <w:sz w:val="24"/>
          <w:szCs w:val="24"/>
        </w:rPr>
        <w:t xml:space="preserve"> cieľom je vynútenie si splnenia administratívneho opatrenia. Ak povinná osoba ani po uplynutí tejto lehoty administratívne opatrenie nesplní, FSJ jej uloží dodatočné penále, taktiež najviac na dobu šesť mesiacov.</w:t>
      </w:r>
      <w:r w:rsidR="2C9DB161" w:rsidRPr="23BE041E">
        <w:rPr>
          <w:rFonts w:ascii="Times New Roman" w:hAnsi="Times New Roman"/>
          <w:sz w:val="24"/>
          <w:szCs w:val="24"/>
        </w:rPr>
        <w:t xml:space="preserve"> </w:t>
      </w:r>
      <w:r w:rsidR="1FB09E8B" w:rsidRPr="23BE041E">
        <w:rPr>
          <w:rFonts w:ascii="Times New Roman" w:hAnsi="Times New Roman"/>
          <w:sz w:val="24"/>
          <w:szCs w:val="24"/>
        </w:rPr>
        <w:t>V</w:t>
      </w:r>
      <w:r w:rsidR="6DE2BFE0" w:rsidRPr="23BE041E">
        <w:rPr>
          <w:rFonts w:ascii="Times New Roman" w:hAnsi="Times New Roman"/>
          <w:sz w:val="24"/>
          <w:szCs w:val="24"/>
        </w:rPr>
        <w:t xml:space="preserve"> </w:t>
      </w:r>
      <w:r w:rsidRPr="23BE041E">
        <w:rPr>
          <w:rFonts w:ascii="Times New Roman" w:hAnsi="Times New Roman"/>
          <w:sz w:val="24"/>
          <w:szCs w:val="24"/>
        </w:rPr>
        <w:t xml:space="preserve">prípade, ak povinná osoba ani po uplynutí doby, na ktorú jej bolo uložené dodatočné penále administratívne opatrenie nesplní, FSJ rozhodne </w:t>
      </w:r>
      <w:r w:rsidR="1EFDDADD" w:rsidRPr="23BE041E">
        <w:rPr>
          <w:rFonts w:ascii="Times New Roman" w:hAnsi="Times New Roman"/>
          <w:sz w:val="24"/>
          <w:szCs w:val="24"/>
        </w:rPr>
        <w:t xml:space="preserve">o </w:t>
      </w:r>
      <w:r w:rsidRPr="23BE041E">
        <w:rPr>
          <w:rFonts w:ascii="Times New Roman" w:hAnsi="Times New Roman"/>
          <w:sz w:val="24"/>
          <w:szCs w:val="24"/>
        </w:rPr>
        <w:t>odobratí oprávnenia na podnikateľskú</w:t>
      </w:r>
      <w:r w:rsidR="397EE430" w:rsidRPr="23BE041E">
        <w:rPr>
          <w:rFonts w:ascii="Times New Roman" w:hAnsi="Times New Roman"/>
          <w:sz w:val="24"/>
          <w:szCs w:val="24"/>
        </w:rPr>
        <w:t xml:space="preserve"> alebo inú samostatnú zárobkovú činnosť.</w:t>
      </w:r>
    </w:p>
    <w:p w14:paraId="39D9BB4C" w14:textId="20E152C3" w:rsidR="6109A62B" w:rsidRDefault="2451E581" w:rsidP="23BE041E">
      <w:pPr>
        <w:spacing w:after="0"/>
        <w:ind w:firstLine="708"/>
        <w:jc w:val="both"/>
      </w:pPr>
      <w:r w:rsidRPr="23BE041E">
        <w:rPr>
          <w:rFonts w:ascii="Times New Roman" w:hAnsi="Times New Roman"/>
          <w:sz w:val="24"/>
          <w:szCs w:val="24"/>
        </w:rPr>
        <w:t>V prípade, ak povinná osoba má oprávnenie na vykonávanie viacerých činností, na základe ktorých je zaradená medzi povinné osoby, administrat</w:t>
      </w:r>
      <w:r w:rsidR="3C71F5CD" w:rsidRPr="23BE041E">
        <w:rPr>
          <w:rFonts w:ascii="Times New Roman" w:hAnsi="Times New Roman"/>
          <w:sz w:val="24"/>
          <w:szCs w:val="24"/>
        </w:rPr>
        <w:t>ívne opatrenie o odobratí oprávnenia sa bude vzťahovať iba na tú činnosť, pri vykonávaní ktorej</w:t>
      </w:r>
      <w:r w:rsidR="2E01293C" w:rsidRPr="23BE041E">
        <w:rPr>
          <w:rFonts w:ascii="Times New Roman" w:hAnsi="Times New Roman"/>
          <w:sz w:val="24"/>
          <w:szCs w:val="24"/>
        </w:rPr>
        <w:t xml:space="preserve"> povinná osoba</w:t>
      </w:r>
      <w:r w:rsidR="3C71F5CD" w:rsidRPr="23BE041E">
        <w:rPr>
          <w:rFonts w:ascii="Times New Roman" w:hAnsi="Times New Roman"/>
          <w:sz w:val="24"/>
          <w:szCs w:val="24"/>
        </w:rPr>
        <w:t xml:space="preserve"> porušil</w:t>
      </w:r>
      <w:r w:rsidR="664BAF93" w:rsidRPr="23BE041E">
        <w:rPr>
          <w:rFonts w:ascii="Times New Roman" w:hAnsi="Times New Roman"/>
          <w:sz w:val="24"/>
          <w:szCs w:val="24"/>
        </w:rPr>
        <w:t>a</w:t>
      </w:r>
      <w:r w:rsidR="3C71F5CD" w:rsidRPr="23BE041E">
        <w:rPr>
          <w:rFonts w:ascii="Times New Roman" w:hAnsi="Times New Roman"/>
          <w:sz w:val="24"/>
          <w:szCs w:val="24"/>
        </w:rPr>
        <w:t xml:space="preserve"> AML/CFT legislatívu.</w:t>
      </w:r>
    </w:p>
    <w:p w14:paraId="5D00AE1E" w14:textId="014FDFD5" w:rsidR="6109A62B" w:rsidRDefault="6109A62B" w:rsidP="23BE041E">
      <w:pPr>
        <w:spacing w:after="0"/>
        <w:jc w:val="both"/>
        <w:rPr>
          <w:rFonts w:ascii="Times New Roman" w:hAnsi="Times New Roman"/>
          <w:sz w:val="24"/>
          <w:szCs w:val="24"/>
        </w:rPr>
      </w:pPr>
    </w:p>
    <w:p w14:paraId="2A71C923" w14:textId="1B7B3FED" w:rsidR="6109A62B" w:rsidRDefault="2C1C73A5" w:rsidP="23BE041E">
      <w:pPr>
        <w:spacing w:after="0"/>
        <w:ind w:firstLine="708"/>
        <w:jc w:val="both"/>
        <w:rPr>
          <w:rFonts w:ascii="Times New Roman" w:hAnsi="Times New Roman"/>
          <w:sz w:val="24"/>
          <w:szCs w:val="24"/>
        </w:rPr>
      </w:pPr>
      <w:r w:rsidRPr="23BE041E">
        <w:rPr>
          <w:rFonts w:ascii="Times New Roman" w:hAnsi="Times New Roman"/>
          <w:sz w:val="24"/>
          <w:szCs w:val="24"/>
        </w:rPr>
        <w:t xml:space="preserve">Právoplatné rozhodnutie o uložení administratívneho opatrenia spočívajúce v odobratí </w:t>
      </w:r>
      <w:r w:rsidR="09ED4953" w:rsidRPr="23BE041E">
        <w:rPr>
          <w:rFonts w:ascii="Times New Roman" w:hAnsi="Times New Roman"/>
          <w:sz w:val="24"/>
          <w:szCs w:val="24"/>
        </w:rPr>
        <w:t>oprávnenia na podnikateľskú alebo inú samostatnú zárobkovú činnosť</w:t>
      </w:r>
      <w:r w:rsidRPr="23BE041E">
        <w:rPr>
          <w:rFonts w:ascii="Times New Roman" w:hAnsi="Times New Roman"/>
          <w:sz w:val="24"/>
          <w:szCs w:val="24"/>
        </w:rPr>
        <w:t xml:space="preserve"> zašle FSJ do 10 pracovných dní </w:t>
      </w:r>
      <w:r w:rsidR="5222FC70" w:rsidRPr="23BE041E">
        <w:rPr>
          <w:rFonts w:ascii="Times New Roman" w:hAnsi="Times New Roman"/>
          <w:sz w:val="24"/>
          <w:szCs w:val="24"/>
        </w:rPr>
        <w:t xml:space="preserve">komore, ktorá následne vyčiarkne zo zoznamu a odníme </w:t>
      </w:r>
      <w:r w:rsidR="7BBD9AD4" w:rsidRPr="23BE041E">
        <w:rPr>
          <w:rFonts w:ascii="Times New Roman" w:hAnsi="Times New Roman"/>
          <w:sz w:val="24"/>
          <w:szCs w:val="24"/>
        </w:rPr>
        <w:t>osvedčenie na výkon daňového poradenstva daňovému poradcovi</w:t>
      </w:r>
      <w:r w:rsidR="6C82C049" w:rsidRPr="23BE041E">
        <w:rPr>
          <w:rFonts w:ascii="Times New Roman" w:hAnsi="Times New Roman"/>
          <w:sz w:val="24"/>
          <w:szCs w:val="24"/>
        </w:rPr>
        <w:t>.</w:t>
      </w:r>
    </w:p>
    <w:p w14:paraId="29EDF43D" w14:textId="564EC9C6" w:rsidR="6405D0E6" w:rsidRDefault="6405D0E6" w:rsidP="070BDBF9">
      <w:pPr>
        <w:spacing w:after="0"/>
        <w:jc w:val="center"/>
        <w:rPr>
          <w:rFonts w:ascii="Times New Roman" w:hAnsi="Times New Roman"/>
          <w:b/>
          <w:bCs/>
          <w:sz w:val="24"/>
          <w:szCs w:val="24"/>
          <w:highlight w:val="yellow"/>
          <w:u w:val="single"/>
        </w:rPr>
      </w:pPr>
    </w:p>
    <w:p w14:paraId="1FA5DD21" w14:textId="77777777" w:rsidR="00D3193F" w:rsidRDefault="00D3193F" w:rsidP="070BDBF9">
      <w:pPr>
        <w:spacing w:after="0"/>
        <w:jc w:val="center"/>
        <w:rPr>
          <w:rFonts w:ascii="Times New Roman" w:hAnsi="Times New Roman"/>
          <w:b/>
          <w:bCs/>
          <w:sz w:val="24"/>
          <w:szCs w:val="24"/>
          <w:u w:val="single"/>
        </w:rPr>
      </w:pPr>
    </w:p>
    <w:p w14:paraId="36F6BE81" w14:textId="3480626F" w:rsidR="6109A62B" w:rsidRPr="00512478" w:rsidRDefault="1FC6028B" w:rsidP="6405D0E6">
      <w:pPr>
        <w:spacing w:after="0"/>
        <w:jc w:val="center"/>
      </w:pPr>
      <w:r w:rsidRPr="00512478">
        <w:rPr>
          <w:rFonts w:ascii="Times New Roman" w:hAnsi="Times New Roman"/>
          <w:b/>
          <w:bCs/>
          <w:sz w:val="24"/>
          <w:szCs w:val="24"/>
        </w:rPr>
        <w:t>Čl. IV</w:t>
      </w:r>
    </w:p>
    <w:p w14:paraId="17189BB3" w14:textId="452A0998" w:rsidR="070BDBF9" w:rsidRDefault="070BDBF9" w:rsidP="070BDBF9">
      <w:pPr>
        <w:spacing w:after="0"/>
        <w:jc w:val="center"/>
        <w:rPr>
          <w:rFonts w:ascii="Times New Roman" w:hAnsi="Times New Roman"/>
          <w:b/>
          <w:bCs/>
          <w:sz w:val="24"/>
          <w:szCs w:val="24"/>
          <w:u w:val="single"/>
        </w:rPr>
      </w:pPr>
    </w:p>
    <w:p w14:paraId="235DBB64" w14:textId="0D56DCC2" w:rsidR="6109A62B" w:rsidRDefault="1ADCAFD1" w:rsidP="070BDBF9">
      <w:pPr>
        <w:spacing w:after="0"/>
        <w:jc w:val="center"/>
        <w:rPr>
          <w:rFonts w:ascii="Times New Roman" w:hAnsi="Times New Roman"/>
          <w:b/>
          <w:bCs/>
          <w:sz w:val="24"/>
          <w:szCs w:val="24"/>
        </w:rPr>
      </w:pPr>
      <w:r w:rsidRPr="23BE041E">
        <w:rPr>
          <w:rFonts w:ascii="Times New Roman" w:hAnsi="Times New Roman"/>
          <w:b/>
          <w:bCs/>
          <w:sz w:val="24"/>
          <w:szCs w:val="24"/>
        </w:rPr>
        <w:t xml:space="preserve">Zákon č. </w:t>
      </w:r>
      <w:hyperlink r:id="rId9">
        <w:r w:rsidRPr="23BE041E">
          <w:rPr>
            <w:rFonts w:ascii="Times New Roman" w:hAnsi="Times New Roman"/>
            <w:b/>
            <w:bCs/>
            <w:sz w:val="24"/>
            <w:szCs w:val="24"/>
          </w:rPr>
          <w:t>323/1992 Zb.</w:t>
        </w:r>
      </w:hyperlink>
      <w:r w:rsidRPr="23BE041E">
        <w:rPr>
          <w:rFonts w:ascii="Times New Roman" w:hAnsi="Times New Roman"/>
          <w:b/>
          <w:bCs/>
          <w:sz w:val="24"/>
          <w:szCs w:val="24"/>
        </w:rPr>
        <w:t xml:space="preserve"> o notároch a notárskej činnosti (Notársky poriadok)</w:t>
      </w:r>
    </w:p>
    <w:p w14:paraId="053E30A7" w14:textId="1BFBE26F" w:rsidR="6405D0E6" w:rsidRDefault="6405D0E6" w:rsidP="23BE041E">
      <w:pPr>
        <w:spacing w:after="0"/>
        <w:jc w:val="both"/>
        <w:rPr>
          <w:rFonts w:ascii="Times New Roman" w:hAnsi="Times New Roman"/>
          <w:sz w:val="24"/>
          <w:szCs w:val="24"/>
        </w:rPr>
      </w:pPr>
    </w:p>
    <w:p w14:paraId="4E604121" w14:textId="7EBCA557" w:rsidR="6405D0E6" w:rsidRDefault="5FAE58CA" w:rsidP="23BE041E">
      <w:pPr>
        <w:spacing w:after="0"/>
        <w:ind w:firstLine="708"/>
        <w:jc w:val="both"/>
      </w:pPr>
      <w:r w:rsidRPr="23BE041E">
        <w:rPr>
          <w:rFonts w:ascii="Times New Roman" w:hAnsi="Times New Roman"/>
          <w:sz w:val="24"/>
          <w:szCs w:val="24"/>
        </w:rPr>
        <w:t>Navrhovaným ustanovením sa transponuje čl. 56 ods. 2 písm. f) smernice (EÚ) 2024/1640, podľa ktorého musia mať orgány dohľadu právomoc odňať povolenie na vykonávanie činnosti subjektu, nad ktorým vykonávajú dohľad, ak tento subjekt porušuje povinnosti ustanovené v nariadení (EÚ) 2024/1624, má nedostatky vo vnútorných politikách, postupoch a kontrolách, alebo jeho vnútorné politiky, postupy a kontroly nie sú úmerné rizikám ML/TF.</w:t>
      </w:r>
    </w:p>
    <w:p w14:paraId="27D8DF6E" w14:textId="6E1DE035" w:rsidR="6405D0E6" w:rsidRDefault="6405D0E6" w:rsidP="23BE041E">
      <w:pPr>
        <w:spacing w:after="0"/>
        <w:jc w:val="both"/>
        <w:rPr>
          <w:rFonts w:ascii="Times New Roman" w:hAnsi="Times New Roman"/>
          <w:sz w:val="24"/>
          <w:szCs w:val="24"/>
        </w:rPr>
      </w:pPr>
    </w:p>
    <w:p w14:paraId="1D08923B" w14:textId="1DF03503" w:rsidR="6405D0E6" w:rsidRDefault="5FAE58CA" w:rsidP="23BE041E">
      <w:pPr>
        <w:spacing w:after="0"/>
        <w:ind w:firstLine="708"/>
        <w:jc w:val="both"/>
        <w:rPr>
          <w:rFonts w:ascii="Times New Roman" w:hAnsi="Times New Roman"/>
          <w:sz w:val="24"/>
          <w:szCs w:val="24"/>
        </w:rPr>
      </w:pPr>
      <w:r w:rsidRPr="23BE041E">
        <w:rPr>
          <w:rFonts w:ascii="Times New Roman" w:hAnsi="Times New Roman"/>
          <w:sz w:val="24"/>
          <w:szCs w:val="24"/>
        </w:rPr>
        <w:t>Keďže FSJ nie je vo vzťahu k povinným osobám, nad ktorými vykonáva dohľad v AML/CFT oblasti zároveň orgánom oprávneným rozhodovať o odňatí oprávnenia na vykonávanie ich činnosti, navrhuje sa upraviť osobitný mechanizmus uplatňovania tejto právomoci.</w:t>
      </w:r>
    </w:p>
    <w:p w14:paraId="6E4A6A00" w14:textId="084E7206" w:rsidR="6405D0E6" w:rsidRDefault="5FAE58CA" w:rsidP="23BE041E">
      <w:pPr>
        <w:spacing w:after="0"/>
        <w:jc w:val="both"/>
      </w:pPr>
      <w:r w:rsidRPr="23BE041E">
        <w:rPr>
          <w:rFonts w:ascii="Times New Roman" w:hAnsi="Times New Roman"/>
          <w:sz w:val="24"/>
          <w:szCs w:val="24"/>
        </w:rPr>
        <w:t>Samotnému rozhodnutiu o odobratí oprávnenia na podnikateľskú alebo inú samostatnú zárobkovú činnosť však bude predchádzať viacero krokov.</w:t>
      </w:r>
    </w:p>
    <w:p w14:paraId="179AB7E0" w14:textId="4B2374BB" w:rsidR="6405D0E6" w:rsidRDefault="6405D0E6" w:rsidP="23BE041E">
      <w:pPr>
        <w:spacing w:after="0"/>
        <w:jc w:val="both"/>
        <w:rPr>
          <w:rFonts w:ascii="Times New Roman" w:hAnsi="Times New Roman"/>
          <w:sz w:val="24"/>
          <w:szCs w:val="24"/>
        </w:rPr>
      </w:pPr>
    </w:p>
    <w:p w14:paraId="4267DAF2" w14:textId="2F02A936" w:rsidR="6405D0E6" w:rsidRDefault="5FAE58CA" w:rsidP="23BE041E">
      <w:pPr>
        <w:spacing w:after="0"/>
        <w:jc w:val="both"/>
        <w:rPr>
          <w:rFonts w:ascii="Times New Roman" w:hAnsi="Times New Roman"/>
          <w:sz w:val="24"/>
          <w:szCs w:val="24"/>
        </w:rPr>
      </w:pPr>
      <w:r w:rsidRPr="23BE041E">
        <w:rPr>
          <w:rFonts w:ascii="Times New Roman" w:hAnsi="Times New Roman"/>
          <w:sz w:val="24"/>
          <w:szCs w:val="24"/>
        </w:rPr>
        <w:t>Na začiatku musí FSJ v rámci vykonávaného dohľadu zistiť, že povinná osoba neplní alebo porušuje niektorú z povinností upravených v § 54 ods. 1 písm. a) až c). FSJ v rozhodnutí o uložení administratívneho opatrenia určí lehotu na jeho splnenie. V prípade, ak povinná osoba v stanovenej lehote administratívne opatrenie nesplní, FSJ uloží povinnej osobe penále, ktoré môže byť určené na obdobie najviac šesť mesiacov, ktorého cieľom je vynútenie si splnenia administratívneho opatrenia. Ak povinná osoba ani po uplynutí tejto lehoty administratívne opatrenie nesplní, FSJ jej uloží dodatočné penále, taktiež najviac na dobu šesť mesiacov. V prípade, ak povinná osoba ani po uplynutí doby, na ktorú jej bolo uložené dodatočné penále administratívne opatrenie nesplní, FSJ rozhodne o odobratí oprávnenia na podnikateľskú alebo inú samostatnú zárobkovú činnosť.</w:t>
      </w:r>
    </w:p>
    <w:p w14:paraId="0856BE7C" w14:textId="6E2A6571" w:rsidR="6405D0E6" w:rsidRDefault="6405D0E6" w:rsidP="23BE041E">
      <w:pPr>
        <w:spacing w:after="0"/>
        <w:jc w:val="both"/>
        <w:rPr>
          <w:rFonts w:ascii="Times New Roman" w:hAnsi="Times New Roman"/>
          <w:sz w:val="24"/>
          <w:szCs w:val="24"/>
        </w:rPr>
      </w:pPr>
    </w:p>
    <w:p w14:paraId="640F5436" w14:textId="2E82A29B" w:rsidR="6405D0E6" w:rsidRDefault="29357F39" w:rsidP="23BE041E">
      <w:pPr>
        <w:spacing w:after="0"/>
        <w:jc w:val="both"/>
        <w:rPr>
          <w:rFonts w:ascii="Times New Roman" w:hAnsi="Times New Roman"/>
          <w:sz w:val="24"/>
          <w:szCs w:val="24"/>
        </w:rPr>
      </w:pPr>
      <w:r w:rsidRPr="23BE041E">
        <w:rPr>
          <w:rFonts w:ascii="Times New Roman" w:hAnsi="Times New Roman"/>
          <w:sz w:val="24"/>
          <w:szCs w:val="24"/>
        </w:rPr>
        <w:t xml:space="preserve">Právoplatné rozhodnutie o uložení administratívneho opatrenia spočívajúce v odobratí </w:t>
      </w:r>
      <w:r w:rsidR="15A7D698" w:rsidRPr="23BE041E">
        <w:rPr>
          <w:rFonts w:ascii="Times New Roman" w:hAnsi="Times New Roman"/>
          <w:sz w:val="24"/>
          <w:szCs w:val="24"/>
        </w:rPr>
        <w:t xml:space="preserve">oprávnenia na podnikateľskú alebo inú samostatnú zárobkovú činnosť </w:t>
      </w:r>
      <w:r w:rsidRPr="23BE041E">
        <w:rPr>
          <w:rFonts w:ascii="Times New Roman" w:hAnsi="Times New Roman"/>
          <w:sz w:val="24"/>
          <w:szCs w:val="24"/>
        </w:rPr>
        <w:t>činnosti</w:t>
      </w:r>
      <w:r w:rsidR="0C424A63" w:rsidRPr="23BE041E">
        <w:rPr>
          <w:rFonts w:ascii="Times New Roman" w:hAnsi="Times New Roman"/>
          <w:sz w:val="24"/>
          <w:szCs w:val="24"/>
        </w:rPr>
        <w:t>,</w:t>
      </w:r>
      <w:r w:rsidRPr="23BE041E">
        <w:rPr>
          <w:rFonts w:ascii="Times New Roman" w:hAnsi="Times New Roman"/>
          <w:sz w:val="24"/>
          <w:szCs w:val="24"/>
        </w:rPr>
        <w:t xml:space="preserve"> zašle FSJ do 10 pracovných dní komore</w:t>
      </w:r>
      <w:r w:rsidR="5BBB24E0" w:rsidRPr="23BE041E">
        <w:rPr>
          <w:rFonts w:ascii="Times New Roman" w:hAnsi="Times New Roman"/>
          <w:sz w:val="24"/>
          <w:szCs w:val="24"/>
        </w:rPr>
        <w:t>. Minister spravodlivosti následne odvolá notára a o tejto skutočnosti vyrozumie FSJ do 30 dní odo dňa doručenia rozh</w:t>
      </w:r>
      <w:r w:rsidR="5D6C121C" w:rsidRPr="23BE041E">
        <w:rPr>
          <w:rFonts w:ascii="Times New Roman" w:hAnsi="Times New Roman"/>
          <w:sz w:val="24"/>
          <w:szCs w:val="24"/>
        </w:rPr>
        <w:t>o</w:t>
      </w:r>
      <w:r w:rsidR="5BBB24E0" w:rsidRPr="23BE041E">
        <w:rPr>
          <w:rFonts w:ascii="Times New Roman" w:hAnsi="Times New Roman"/>
          <w:sz w:val="24"/>
          <w:szCs w:val="24"/>
        </w:rPr>
        <w:t>dnutia</w:t>
      </w:r>
      <w:r w:rsidR="53559DA9" w:rsidRPr="23BE041E">
        <w:rPr>
          <w:rFonts w:ascii="Times New Roman" w:hAnsi="Times New Roman"/>
          <w:sz w:val="24"/>
          <w:szCs w:val="24"/>
        </w:rPr>
        <w:t>.</w:t>
      </w:r>
    </w:p>
    <w:p w14:paraId="32C6236E" w14:textId="51C6267B" w:rsidR="03F30C67" w:rsidRDefault="03F30C67" w:rsidP="23BE041E">
      <w:pPr>
        <w:spacing w:after="0"/>
        <w:jc w:val="both"/>
        <w:rPr>
          <w:rFonts w:ascii="Times New Roman" w:hAnsi="Times New Roman"/>
          <w:sz w:val="24"/>
          <w:szCs w:val="24"/>
        </w:rPr>
      </w:pPr>
    </w:p>
    <w:p w14:paraId="7D2B4B70" w14:textId="4A948B36" w:rsidR="6109A62B" w:rsidRPr="00512478" w:rsidRDefault="1FC6028B" w:rsidP="070BDBF9">
      <w:pPr>
        <w:spacing w:after="0"/>
        <w:jc w:val="center"/>
        <w:rPr>
          <w:rFonts w:ascii="Times New Roman" w:hAnsi="Times New Roman"/>
          <w:b/>
          <w:bCs/>
          <w:sz w:val="24"/>
          <w:szCs w:val="24"/>
        </w:rPr>
      </w:pPr>
      <w:r w:rsidRPr="00512478">
        <w:rPr>
          <w:rFonts w:ascii="Times New Roman" w:hAnsi="Times New Roman"/>
          <w:b/>
          <w:bCs/>
          <w:sz w:val="24"/>
          <w:szCs w:val="24"/>
        </w:rPr>
        <w:t>Čl. V</w:t>
      </w:r>
    </w:p>
    <w:p w14:paraId="31E201ED" w14:textId="3BB58044" w:rsidR="6405D0E6" w:rsidRDefault="6405D0E6" w:rsidP="070BDBF9">
      <w:pPr>
        <w:spacing w:after="0"/>
        <w:jc w:val="center"/>
        <w:rPr>
          <w:rFonts w:ascii="Times New Roman" w:hAnsi="Times New Roman"/>
          <w:b/>
          <w:bCs/>
          <w:sz w:val="24"/>
          <w:szCs w:val="24"/>
          <w:u w:val="single"/>
        </w:rPr>
      </w:pPr>
    </w:p>
    <w:p w14:paraId="5C23A4FC" w14:textId="735C1894" w:rsidR="6109A62B" w:rsidRDefault="1FC6028B" w:rsidP="070BDBF9">
      <w:pPr>
        <w:spacing w:after="0"/>
        <w:jc w:val="center"/>
        <w:rPr>
          <w:rFonts w:ascii="Times New Roman" w:hAnsi="Times New Roman"/>
          <w:b/>
          <w:bCs/>
          <w:sz w:val="24"/>
          <w:szCs w:val="24"/>
        </w:rPr>
      </w:pPr>
      <w:r w:rsidRPr="070BDBF9">
        <w:rPr>
          <w:rFonts w:ascii="Times New Roman" w:hAnsi="Times New Roman"/>
          <w:b/>
          <w:bCs/>
          <w:sz w:val="24"/>
          <w:szCs w:val="24"/>
        </w:rPr>
        <w:t>Zákon č. 202/1995 Z. z. DEVÍZOVÝ ZÁKON</w:t>
      </w:r>
    </w:p>
    <w:p w14:paraId="7990322D" w14:textId="7639E5CE" w:rsidR="6405D0E6" w:rsidRDefault="6405D0E6" w:rsidP="070BDBF9">
      <w:pPr>
        <w:spacing w:after="0"/>
        <w:jc w:val="center"/>
        <w:rPr>
          <w:rFonts w:ascii="Times New Roman" w:hAnsi="Times New Roman"/>
          <w:b/>
          <w:bCs/>
          <w:sz w:val="24"/>
          <w:szCs w:val="24"/>
          <w:u w:val="single"/>
        </w:rPr>
      </w:pPr>
    </w:p>
    <w:p w14:paraId="50E82E3C" w14:textId="291CE816" w:rsidR="6109A62B" w:rsidRDefault="5FFE3F0D" w:rsidP="004E4256">
      <w:pPr>
        <w:spacing w:after="0"/>
        <w:jc w:val="both"/>
        <w:rPr>
          <w:rFonts w:ascii="Times New Roman" w:hAnsi="Times New Roman"/>
          <w:b/>
          <w:bCs/>
          <w:sz w:val="24"/>
          <w:szCs w:val="24"/>
        </w:rPr>
      </w:pPr>
      <w:r w:rsidRPr="004E4256">
        <w:rPr>
          <w:rFonts w:ascii="Times New Roman" w:hAnsi="Times New Roman"/>
          <w:b/>
          <w:bCs/>
          <w:sz w:val="24"/>
          <w:szCs w:val="24"/>
        </w:rPr>
        <w:t>K bodom 1 a 2</w:t>
      </w:r>
    </w:p>
    <w:p w14:paraId="5FF947D2" w14:textId="5E3552A9" w:rsidR="6109A62B" w:rsidRDefault="12DDA824" w:rsidP="004E4256">
      <w:pPr>
        <w:spacing w:after="0"/>
        <w:jc w:val="both"/>
        <w:rPr>
          <w:rFonts w:ascii="Times New Roman" w:hAnsi="Times New Roman"/>
          <w:sz w:val="24"/>
          <w:szCs w:val="24"/>
        </w:rPr>
      </w:pPr>
      <w:r w:rsidRPr="23BE041E">
        <w:rPr>
          <w:rFonts w:ascii="Times New Roman" w:hAnsi="Times New Roman"/>
          <w:sz w:val="24"/>
          <w:szCs w:val="24"/>
        </w:rPr>
        <w:t>Úpravou znenia odsekov 3 až 5 v § 6 Devízového zákona sa transponuje čl. 6 ods. 1 smernice</w:t>
      </w:r>
      <w:r w:rsidR="7F444F4C" w:rsidRPr="23BE041E">
        <w:rPr>
          <w:rFonts w:ascii="Times New Roman" w:hAnsi="Times New Roman"/>
          <w:sz w:val="24"/>
          <w:szCs w:val="24"/>
        </w:rPr>
        <w:t xml:space="preserve"> (EÚ) </w:t>
      </w:r>
      <w:r w:rsidRPr="23BE041E">
        <w:rPr>
          <w:rFonts w:ascii="Times New Roman" w:hAnsi="Times New Roman"/>
          <w:sz w:val="24"/>
          <w:szCs w:val="24"/>
        </w:rPr>
        <w:t xml:space="preserve"> 2024/1640. Do Devízového zákona sa tak transponujú požiadavky týkajúce sa odbornej spôsobilosti a dôveryhodnosti žiadateľa o devízovú licenciu a osôb, ktoré vykonávajú manažérsku funkciu vrátane konečného užívateľa výhod a požiadavka predloženia programu vlastnej činnosti  /§ 6 ods. 3 písm. e) až g), i) až k) a  § 6 ods. 4 písm. b),  d)  až f)/. V tejto súvislosti sa zavádza nový pojem „bezúhonná osoba“, ktorú podľa doterajšieho znenia zákona pokrýval pojem „dôveryhodná osoba“ (nové znenie odseku 5 v § 6), nová definícia pojmu „dôveryhodná osoba“, ktorá vychádza z požiadavky smernice (nový odsek 14 v § 6)  a nový pojem „vhodná osoba“ (nový odsek 15 v § 6). V nadväznosti na nové definovanie „dôveryhodnej osoby“ a „vhodnej osoby“, ktoré používajú pojem „finančná inštitúcia“, sa v novom odseku 16 v § 6 upravuje, čo sa rozumie finančnou inštitúciou na účely zákona. </w:t>
      </w:r>
    </w:p>
    <w:p w14:paraId="2EF0F9FC" w14:textId="424ECDD0"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lastRenderedPageBreak/>
        <w:t xml:space="preserve"> </w:t>
      </w:r>
    </w:p>
    <w:p w14:paraId="3C802090" w14:textId="2E9D5B0D" w:rsidR="6109A62B" w:rsidRDefault="5FFE3F0D" w:rsidP="004E4256">
      <w:pPr>
        <w:spacing w:after="0"/>
        <w:jc w:val="both"/>
        <w:rPr>
          <w:rFonts w:ascii="Times New Roman" w:hAnsi="Times New Roman"/>
          <w:b/>
          <w:bCs/>
          <w:sz w:val="24"/>
          <w:szCs w:val="24"/>
        </w:rPr>
      </w:pPr>
      <w:r w:rsidRPr="004E4256">
        <w:rPr>
          <w:rFonts w:ascii="Times New Roman" w:hAnsi="Times New Roman"/>
          <w:b/>
          <w:bCs/>
          <w:sz w:val="24"/>
          <w:szCs w:val="24"/>
        </w:rPr>
        <w:t xml:space="preserve">K bodu 3 </w:t>
      </w:r>
    </w:p>
    <w:p w14:paraId="46C6E3F8" w14:textId="78CBE15E"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t>Mení sa odkaz s novou poznámkou pod čiarou.</w:t>
      </w:r>
    </w:p>
    <w:p w14:paraId="120848EC" w14:textId="02C34CD5"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t xml:space="preserve">   </w:t>
      </w:r>
    </w:p>
    <w:p w14:paraId="41ADDB89" w14:textId="5CC67806" w:rsidR="6109A62B" w:rsidRDefault="5FFE3F0D" w:rsidP="004E4256">
      <w:pPr>
        <w:spacing w:after="0"/>
        <w:jc w:val="both"/>
        <w:rPr>
          <w:rFonts w:ascii="Times New Roman" w:hAnsi="Times New Roman"/>
          <w:b/>
          <w:bCs/>
          <w:sz w:val="24"/>
          <w:szCs w:val="24"/>
        </w:rPr>
      </w:pPr>
      <w:r w:rsidRPr="004E4256">
        <w:rPr>
          <w:rFonts w:ascii="Times New Roman" w:hAnsi="Times New Roman"/>
          <w:b/>
          <w:bCs/>
          <w:sz w:val="24"/>
          <w:szCs w:val="24"/>
        </w:rPr>
        <w:t>K bodom 4 až 6</w:t>
      </w:r>
    </w:p>
    <w:p w14:paraId="4AF2E16A" w14:textId="10DECCF7" w:rsidR="6109A62B" w:rsidRDefault="12DDA824" w:rsidP="23BE041E">
      <w:pPr>
        <w:spacing w:after="0"/>
        <w:jc w:val="both"/>
        <w:rPr>
          <w:rFonts w:ascii="Times New Roman" w:hAnsi="Times New Roman"/>
          <w:sz w:val="24"/>
          <w:szCs w:val="24"/>
        </w:rPr>
      </w:pPr>
      <w:r w:rsidRPr="23BE041E">
        <w:rPr>
          <w:rFonts w:ascii="Times New Roman" w:hAnsi="Times New Roman"/>
          <w:sz w:val="24"/>
          <w:szCs w:val="24"/>
        </w:rPr>
        <w:t>Legislatívne úpravy nadväzujúce na nový odsek 14 písm. f) a nový odsek 15 písm. e) v § 6 zákona,  ktoré už používajú množné číslo „osobitných predpisov“ aj s novým odkazom k poznámke pod čiarou (odkaz 16ae). Doterajšie poznámky pod čiarou k odkazom 17a a 17b sa preto vypúšťajú. V § 13 ods. 5 sa zároveň upravuje znenie písmena c) tak, aby bolo reflektovalo na Nariadenie (EÚ) 2024/1624 a na nový zákon</w:t>
      </w:r>
      <w:r w:rsidR="712697E4" w:rsidRPr="23BE041E">
        <w:rPr>
          <w:rFonts w:ascii="Times New Roman" w:hAnsi="Times New Roman"/>
          <w:sz w:val="24"/>
          <w:szCs w:val="24"/>
        </w:rPr>
        <w:t xml:space="preserve"> o</w:t>
      </w:r>
      <w:r w:rsidR="01B8F957" w:rsidRPr="23BE041E">
        <w:rPr>
          <w:rFonts w:ascii="Times New Roman" w:hAnsi="Times New Roman"/>
          <w:sz w:val="24"/>
          <w:szCs w:val="24"/>
        </w:rPr>
        <w:t xml:space="preserve"> </w:t>
      </w:r>
      <w:r w:rsidR="712697E4" w:rsidRPr="23BE041E">
        <w:rPr>
          <w:rFonts w:ascii="Times New Roman" w:hAnsi="Times New Roman"/>
          <w:sz w:val="24"/>
          <w:szCs w:val="24"/>
        </w:rPr>
        <w:t>ochrane pred legalizáciou výnosov z trestnej činnosti, financovaním terorizmu a financovaním šírenia zbraní hromadného ničenia a o zmene a doplnení niektorých zákonov (ďalej len</w:t>
      </w:r>
      <w:r w:rsidR="3CC984CE" w:rsidRPr="23BE041E">
        <w:rPr>
          <w:rFonts w:ascii="Times New Roman" w:hAnsi="Times New Roman"/>
          <w:sz w:val="24"/>
          <w:szCs w:val="24"/>
        </w:rPr>
        <w:t xml:space="preserve"> " nový AML zákon").</w:t>
      </w:r>
    </w:p>
    <w:p w14:paraId="487F9C8E" w14:textId="40F44CB4"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t xml:space="preserve"> </w:t>
      </w:r>
    </w:p>
    <w:p w14:paraId="4D39C1F9" w14:textId="2D1F71D2" w:rsidR="6109A62B" w:rsidRDefault="5FFE3F0D" w:rsidP="004E4256">
      <w:pPr>
        <w:spacing w:after="0"/>
        <w:jc w:val="both"/>
        <w:rPr>
          <w:rFonts w:ascii="Times New Roman" w:hAnsi="Times New Roman"/>
          <w:b/>
          <w:bCs/>
          <w:sz w:val="24"/>
          <w:szCs w:val="24"/>
        </w:rPr>
      </w:pPr>
      <w:r w:rsidRPr="004E4256">
        <w:rPr>
          <w:rFonts w:ascii="Times New Roman" w:hAnsi="Times New Roman"/>
          <w:b/>
          <w:bCs/>
          <w:sz w:val="24"/>
          <w:szCs w:val="24"/>
        </w:rPr>
        <w:t>K bodu 7</w:t>
      </w:r>
    </w:p>
    <w:p w14:paraId="18267419" w14:textId="0784E554"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t>Legislatívna úprava nadväzujúca na nové znenie odseku 1 v § 24a a 24b, ktorými sa nanovo upravujú opatrenia na nápravu a sankcie.</w:t>
      </w:r>
    </w:p>
    <w:p w14:paraId="21DCBDB9" w14:textId="4C823299"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t xml:space="preserve"> </w:t>
      </w:r>
    </w:p>
    <w:p w14:paraId="1696D9ED" w14:textId="5A922951" w:rsidR="6109A62B" w:rsidRDefault="5FFE3F0D" w:rsidP="004E4256">
      <w:pPr>
        <w:spacing w:after="0"/>
        <w:jc w:val="both"/>
        <w:rPr>
          <w:rFonts w:ascii="Times New Roman" w:hAnsi="Times New Roman"/>
          <w:b/>
          <w:bCs/>
          <w:sz w:val="24"/>
          <w:szCs w:val="24"/>
        </w:rPr>
      </w:pPr>
      <w:r w:rsidRPr="004E4256">
        <w:rPr>
          <w:rFonts w:ascii="Times New Roman" w:hAnsi="Times New Roman"/>
          <w:b/>
          <w:bCs/>
          <w:sz w:val="24"/>
          <w:szCs w:val="24"/>
        </w:rPr>
        <w:t>K bodu 8</w:t>
      </w:r>
    </w:p>
    <w:p w14:paraId="157B84C1" w14:textId="78565F05"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t>Novým znením § 24a a 24b Devízového zákona, v rámci ktorých je obsiahnutá už vyššie spomínaná nová úprava opatrení na nápravu a nová úprava sankcií, sa transponuje čl. 6 ods. 4 a 5 smernice. Odsek 1 v § 24a a odseky 1 a 2 v § 24b predstavujú transpozičné ustanovenia (samozrejme doterajšie pokuty podľa doterajšieho znenia § 24a ods. 2 boli prevzaté do nového znenia § 24b, v rámci ktorého je obsiahnuté aj doterajšie sankcionovanie členov štatutárneho orgánu a iných osôb - odsek 3 v § 24b), odseky 2 a 4 až 6 v § 24a a odsek 4 v § 24b upravujú podmienky a postupy pri ukladaní opatrení na nápravu a sankcií a odseky 5 až 7 v § 24b upravujú ďalšie postupy týkajúce sa uložených pokút a sankcie odobratia devízovej licencie, ktoré boli prevzaté z doterajšieho znenia zákona.</w:t>
      </w:r>
    </w:p>
    <w:p w14:paraId="2717BBA6" w14:textId="5AFFC4D1"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t xml:space="preserve"> </w:t>
      </w:r>
    </w:p>
    <w:p w14:paraId="531770C5" w14:textId="5739A045" w:rsidR="6109A62B" w:rsidRDefault="5FFE3F0D" w:rsidP="004E4256">
      <w:pPr>
        <w:spacing w:after="0"/>
        <w:jc w:val="both"/>
        <w:rPr>
          <w:rFonts w:ascii="Times New Roman" w:hAnsi="Times New Roman"/>
          <w:b/>
          <w:bCs/>
          <w:sz w:val="24"/>
          <w:szCs w:val="24"/>
        </w:rPr>
      </w:pPr>
      <w:r w:rsidRPr="004E4256">
        <w:rPr>
          <w:rFonts w:ascii="Times New Roman" w:hAnsi="Times New Roman"/>
          <w:b/>
          <w:bCs/>
          <w:sz w:val="24"/>
          <w:szCs w:val="24"/>
        </w:rPr>
        <w:t>K bodu 9</w:t>
      </w:r>
    </w:p>
    <w:p w14:paraId="1DE16C4E" w14:textId="14679830"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t xml:space="preserve">Prechodnými ustanoveniami v odsekoch 1 až 3 sa upravuje, že devízové miesta, ktoré boli do 9. júla 2027 držiteľmi devízovej licencie na vykonávanie obchodov s devízovými hodnotami, sa považujú za devízové miesta (držiteľov devízovej licencie) podľa tohto zákona s tým, že sú povinní do 31. 12. 2027 preukázať splnenie podmienok podľa  § 6 ods. 3 písm. e) až g), i) až k) /ak ide o devízové miesto, ktoré je fyzickou osobou – podnikateľom/ a  podľa § 6 ods. 4 písm. b),  d) až f)  /ak ide o devízové miesto, ktoré je právnickou osobou/.  Uvedená povinnosť sa nevzťahuje na tie podmienky, ktoré už devízové miesto preukázalo podľa predpisov účinných do 9. júla 2027. Takouto podmienkou, ktorú devízové miesto malo povinnosť preukázať podľa predpisov účinných do 9. júla 2027 (konkrétne podľa zákona č. 387/2024 Z. z.), bola bezúhonnosť osoby, ktorá vykonáva manažérsku funkciu a bezúhonnosť konečného užívateľa výhod. Ak devízové miesto tieto podmienky už v minulosti preukázalo a nedošlo k strate bezúhonnosti u týchto osôb, informuje o tejto skutočnosti orgán dohľadu spolu s preukázaním zvyšných podmienok podľa vyššie uvedených ustanovení. </w:t>
      </w:r>
    </w:p>
    <w:p w14:paraId="796CE006" w14:textId="2AA997B2"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t xml:space="preserve">Ak devízové miesto nepredloží dokumenty preukazujúce splnenie podmienok podľa § 6 ods. 3 písm. e) až g), i) až k) a podľa § 6 ods. 4 písm. b),  d) až f)  do 31. 12. 2027, devízová licencia na vykonávanie obchodov s devízovými hodnotami zaniká. O uvedenej skutočnosti bude orgán dohľadu informovať príslušný živnostenský úrad a ak držiteľom devízovej licencie bola právnická osoba, aj obchodný register. </w:t>
      </w:r>
    </w:p>
    <w:p w14:paraId="76E24DAA" w14:textId="0CCF3592"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lastRenderedPageBreak/>
        <w:t>Prechodné ustanovenie odseku 4 upravuje, že konania o udelenie devízovej licencie začaté a neskončené pred účinnosťou tohto zákona sa dokončia podľa tohto nového zákona, pričom právne účinky úkonov, ktoré v konaní nastali pred 10. júlom 2027, zostávajú zachované.</w:t>
      </w:r>
    </w:p>
    <w:p w14:paraId="6130543C" w14:textId="5E2EA665" w:rsidR="6109A62B" w:rsidRDefault="5FFE3F0D" w:rsidP="004E4256">
      <w:pPr>
        <w:spacing w:after="0"/>
        <w:jc w:val="both"/>
        <w:rPr>
          <w:rFonts w:ascii="Times New Roman" w:hAnsi="Times New Roman"/>
          <w:sz w:val="24"/>
          <w:szCs w:val="24"/>
        </w:rPr>
      </w:pPr>
      <w:r w:rsidRPr="004E4256">
        <w:rPr>
          <w:rFonts w:ascii="Times New Roman" w:hAnsi="Times New Roman"/>
          <w:sz w:val="24"/>
          <w:szCs w:val="24"/>
        </w:rPr>
        <w:t>Prechodné ustanovenie odseku 5 upravuje, že konania o uložení opatrenia na nápravu a konania o uložení sankcie začaté a neskončené pred účinnosťou tohto zákona sa dokončia podľa doterajších predpisov, ak je to pre kontrolovanú osobu priaznivejšie.</w:t>
      </w:r>
    </w:p>
    <w:p w14:paraId="372AC0EF" w14:textId="35A55FB5" w:rsidR="6109A62B" w:rsidRDefault="6109A62B" w:rsidP="070BDBF9">
      <w:pPr>
        <w:spacing w:after="0"/>
        <w:jc w:val="center"/>
        <w:rPr>
          <w:rFonts w:ascii="Times New Roman" w:hAnsi="Times New Roman"/>
          <w:b/>
          <w:bCs/>
          <w:sz w:val="24"/>
          <w:szCs w:val="24"/>
          <w:highlight w:val="yellow"/>
          <w:u w:val="single"/>
        </w:rPr>
      </w:pPr>
    </w:p>
    <w:p w14:paraId="23DBC17D" w14:textId="2F2F85AA" w:rsidR="6405D0E6" w:rsidRDefault="6405D0E6" w:rsidP="070BDBF9">
      <w:pPr>
        <w:spacing w:after="0"/>
        <w:jc w:val="center"/>
        <w:rPr>
          <w:rFonts w:ascii="Times New Roman" w:hAnsi="Times New Roman"/>
          <w:b/>
          <w:bCs/>
          <w:sz w:val="24"/>
          <w:szCs w:val="24"/>
          <w:highlight w:val="yellow"/>
          <w:u w:val="single"/>
        </w:rPr>
      </w:pPr>
    </w:p>
    <w:p w14:paraId="032C8683" w14:textId="42BAB81A" w:rsidR="6109A62B" w:rsidRPr="00512478" w:rsidRDefault="1FC6028B" w:rsidP="070BDBF9">
      <w:pPr>
        <w:spacing w:after="0"/>
        <w:jc w:val="center"/>
        <w:rPr>
          <w:rFonts w:ascii="Times New Roman" w:hAnsi="Times New Roman"/>
          <w:b/>
          <w:bCs/>
          <w:sz w:val="24"/>
          <w:szCs w:val="24"/>
        </w:rPr>
      </w:pPr>
      <w:r w:rsidRPr="00512478">
        <w:rPr>
          <w:rFonts w:ascii="Times New Roman" w:hAnsi="Times New Roman"/>
          <w:b/>
          <w:bCs/>
          <w:sz w:val="24"/>
          <w:szCs w:val="24"/>
        </w:rPr>
        <w:t>Čl. VI</w:t>
      </w:r>
    </w:p>
    <w:p w14:paraId="30CB2B66" w14:textId="0281A072" w:rsidR="6405D0E6" w:rsidRDefault="6405D0E6" w:rsidP="070BDBF9">
      <w:pPr>
        <w:spacing w:after="0"/>
        <w:jc w:val="center"/>
        <w:rPr>
          <w:rFonts w:ascii="Times New Roman" w:hAnsi="Times New Roman"/>
          <w:b/>
          <w:bCs/>
          <w:sz w:val="24"/>
          <w:szCs w:val="24"/>
          <w:highlight w:val="yellow"/>
          <w:u w:val="single"/>
        </w:rPr>
      </w:pPr>
    </w:p>
    <w:p w14:paraId="1F646FA0" w14:textId="267A67FD" w:rsidR="6109A62B" w:rsidRDefault="1FC6028B" w:rsidP="070BDBF9">
      <w:pPr>
        <w:spacing w:after="0"/>
        <w:jc w:val="center"/>
        <w:rPr>
          <w:rFonts w:ascii="Times New Roman" w:hAnsi="Times New Roman"/>
          <w:b/>
          <w:bCs/>
          <w:sz w:val="24"/>
          <w:szCs w:val="24"/>
        </w:rPr>
      </w:pPr>
      <w:r w:rsidRPr="070BDBF9">
        <w:rPr>
          <w:rFonts w:ascii="Times New Roman" w:hAnsi="Times New Roman"/>
          <w:b/>
          <w:bCs/>
          <w:sz w:val="24"/>
          <w:szCs w:val="24"/>
        </w:rPr>
        <w:t xml:space="preserve">Zákon č. </w:t>
      </w:r>
      <w:hyperlink r:id="rId10">
        <w:r w:rsidRPr="070BDBF9">
          <w:rPr>
            <w:rFonts w:ascii="Times New Roman" w:hAnsi="Times New Roman"/>
            <w:b/>
            <w:bCs/>
            <w:sz w:val="24"/>
            <w:szCs w:val="24"/>
          </w:rPr>
          <w:t>233/1995 Z. z.</w:t>
        </w:r>
      </w:hyperlink>
      <w:r w:rsidRPr="070BDBF9">
        <w:rPr>
          <w:rFonts w:ascii="Times New Roman" w:hAnsi="Times New Roman"/>
          <w:b/>
          <w:bCs/>
          <w:sz w:val="24"/>
          <w:szCs w:val="24"/>
        </w:rPr>
        <w:t xml:space="preserve"> o súdnych exekútoroch a exekučnej činnosti (Exekučný poriadok)</w:t>
      </w:r>
    </w:p>
    <w:p w14:paraId="275D99DE" w14:textId="35560B24" w:rsidR="6405D0E6" w:rsidRDefault="6405D0E6" w:rsidP="070BDBF9">
      <w:pPr>
        <w:spacing w:after="0"/>
        <w:jc w:val="center"/>
        <w:rPr>
          <w:rFonts w:ascii="Times New Roman" w:hAnsi="Times New Roman"/>
          <w:b/>
          <w:bCs/>
          <w:sz w:val="24"/>
          <w:szCs w:val="24"/>
        </w:rPr>
      </w:pPr>
    </w:p>
    <w:p w14:paraId="4BBDE88E" w14:textId="377C2F1F" w:rsidR="5813F5DB" w:rsidRDefault="5843C8F6" w:rsidP="23BE041E">
      <w:pPr>
        <w:spacing w:after="0"/>
        <w:jc w:val="both"/>
      </w:pPr>
      <w:r w:rsidRPr="23BE041E">
        <w:rPr>
          <w:rFonts w:ascii="Times New Roman" w:hAnsi="Times New Roman"/>
          <w:sz w:val="24"/>
          <w:szCs w:val="24"/>
        </w:rPr>
        <w:t>Navrhovaným ustanovením sa transponuje čl. 56 ods. 2 písm. f) smernice (EÚ) 2024/1640, podľa ktorého musia mať orgány dohľadu právomoc odňať povolenie na vykonávanie činnosti subjektu, nad ktorým vykonávajú dohľad, ak tento subjekt porušuje povinnosti ustanovené v nariadení (EÚ) 2024/1624, má nedostatky vo vnútorných politikách, postupoch a kontrolách, alebo jeho vnútorné politiky, postupy a kontroly nie sú úmerné rizikám ML/TF.</w:t>
      </w:r>
    </w:p>
    <w:p w14:paraId="1D30B741" w14:textId="6E1DE035" w:rsidR="5813F5DB" w:rsidRDefault="5813F5DB" w:rsidP="23BE041E">
      <w:pPr>
        <w:spacing w:after="0"/>
        <w:jc w:val="both"/>
        <w:rPr>
          <w:rFonts w:ascii="Times New Roman" w:hAnsi="Times New Roman"/>
          <w:sz w:val="24"/>
          <w:szCs w:val="24"/>
        </w:rPr>
      </w:pPr>
    </w:p>
    <w:p w14:paraId="2B77FDF4" w14:textId="4420CE39" w:rsidR="5813F5DB" w:rsidRDefault="5843C8F6" w:rsidP="23BE041E">
      <w:pPr>
        <w:spacing w:after="0"/>
        <w:jc w:val="both"/>
        <w:rPr>
          <w:rFonts w:ascii="Times New Roman" w:hAnsi="Times New Roman"/>
          <w:sz w:val="24"/>
          <w:szCs w:val="24"/>
        </w:rPr>
      </w:pPr>
      <w:r w:rsidRPr="23BE041E">
        <w:rPr>
          <w:rFonts w:ascii="Times New Roman" w:hAnsi="Times New Roman"/>
          <w:sz w:val="24"/>
          <w:szCs w:val="24"/>
        </w:rPr>
        <w:t>Keďže FSJ nie je vo vzťahu k povinným osobám, nad ktorými vykonáva dohľad v AML/CFT oblasti zároveň orgánom oprávneným rozhodovať o odňatí oprávnenia na vykonávanie ich činnosti, navrhuje sa upraviť osobitný mechanizmus uplatňovania tejto právomoci.</w:t>
      </w:r>
    </w:p>
    <w:p w14:paraId="1E79D725" w14:textId="7590131F" w:rsidR="5813F5DB" w:rsidRDefault="5843C8F6" w:rsidP="23BE041E">
      <w:pPr>
        <w:spacing w:after="0"/>
        <w:jc w:val="both"/>
      </w:pPr>
      <w:r w:rsidRPr="23BE041E">
        <w:rPr>
          <w:rFonts w:ascii="Times New Roman" w:hAnsi="Times New Roman"/>
          <w:sz w:val="24"/>
          <w:szCs w:val="24"/>
        </w:rPr>
        <w:t>Samotnému rozhodnutiu o odobratí oprávnenia na podnikateľskú alebo inú samostatnú zárobkovú činnosť však bude predchádzať viacero krokov.</w:t>
      </w:r>
    </w:p>
    <w:p w14:paraId="6D6BFF59" w14:textId="2083FD4B" w:rsidR="5813F5DB" w:rsidRDefault="5843C8F6" w:rsidP="23BE041E">
      <w:pPr>
        <w:spacing w:after="0"/>
        <w:jc w:val="both"/>
      </w:pPr>
      <w:r w:rsidRPr="23BE041E">
        <w:rPr>
          <w:rFonts w:ascii="Times New Roman" w:hAnsi="Times New Roman"/>
          <w:sz w:val="24"/>
          <w:szCs w:val="24"/>
        </w:rPr>
        <w:t>Na začiatku musí FSJ v rámci vykonávaného dohľadu zistiť, že povinná osoba neplní alebo porušuje niektorú z povinností upravených v § 54 ods. 1 písm. a) až c). FSJ v rozhodnutí o uložení administratívneho opatrenia určí lehotu na jeho splnenie. V prípade, ak povinná osoba v stanovenej lehote administratívne opatrenie nesplní, FSJ uloží povinnej osobe penále, ktoré môže byť určené na obdobie najviac šesť mesiacov, ktorého cieľom je vynútenie si splnenia administratívneho opatrenia. Ak povinná osoba ani po uplynutí tejto lehoty administratívne opatrenie nesplní, FSJ jej uloží dodatočné penále, taktiež najviac na dobu šesť mesiacov.</w:t>
      </w:r>
    </w:p>
    <w:p w14:paraId="01A14B3A" w14:textId="1281A040" w:rsidR="5813F5DB" w:rsidRDefault="5843C8F6" w:rsidP="23BE041E">
      <w:pPr>
        <w:spacing w:after="0"/>
        <w:jc w:val="both"/>
      </w:pPr>
      <w:r w:rsidRPr="23BE041E">
        <w:rPr>
          <w:rFonts w:ascii="Times New Roman" w:hAnsi="Times New Roman"/>
          <w:sz w:val="24"/>
          <w:szCs w:val="24"/>
        </w:rPr>
        <w:t>V prípade, ak povinná osoba ani po uplynutí doby, na ktorú jej bolo uložené dodatočné penále, administratívne opatrenie nesplní, FSJ rozhodne o odobratí oprávnenia na podnikateľskú alebo inú samostatnú zárobkovú činnosť.</w:t>
      </w:r>
    </w:p>
    <w:p w14:paraId="0DA17B7C" w14:textId="2CD4F7CC" w:rsidR="5813F5DB" w:rsidRDefault="5843C8F6" w:rsidP="23BE041E">
      <w:pPr>
        <w:spacing w:after="0"/>
        <w:jc w:val="both"/>
        <w:rPr>
          <w:rFonts w:ascii="Times New Roman" w:hAnsi="Times New Roman"/>
          <w:sz w:val="24"/>
          <w:szCs w:val="24"/>
        </w:rPr>
      </w:pPr>
      <w:r w:rsidRPr="23BE041E">
        <w:rPr>
          <w:rFonts w:ascii="Times New Roman" w:hAnsi="Times New Roman"/>
          <w:sz w:val="24"/>
          <w:szCs w:val="24"/>
        </w:rPr>
        <w:t xml:space="preserve">Právoplatné rozhodnutie o uložení administratívneho opatrenia spočívajúce v odobratí </w:t>
      </w:r>
      <w:r w:rsidR="429BD27A" w:rsidRPr="23BE041E">
        <w:rPr>
          <w:rFonts w:ascii="Times New Roman" w:hAnsi="Times New Roman"/>
          <w:sz w:val="24"/>
          <w:szCs w:val="24"/>
        </w:rPr>
        <w:t>oprávnenia na podnikateľskú alebo inú samostatnú zárobkovú činnosť</w:t>
      </w:r>
      <w:r w:rsidRPr="23BE041E">
        <w:rPr>
          <w:rFonts w:ascii="Times New Roman" w:hAnsi="Times New Roman"/>
          <w:sz w:val="24"/>
          <w:szCs w:val="24"/>
        </w:rPr>
        <w:t xml:space="preserve"> zašle FSJ do 10 pracovných dní komore. Minister spravodlivosti následne odvolá exekútora a o tejto skutočnosti vyrozumie FSJ do 30 dní odo dňa doručenia rozhodnutia.</w:t>
      </w:r>
    </w:p>
    <w:p w14:paraId="469C58B0" w14:textId="47AEEA7C" w:rsidR="070BDBF9" w:rsidRDefault="070BDBF9" w:rsidP="070BDBF9">
      <w:pPr>
        <w:spacing w:after="0"/>
        <w:jc w:val="center"/>
        <w:rPr>
          <w:rFonts w:ascii="Times New Roman" w:hAnsi="Times New Roman"/>
          <w:b/>
          <w:bCs/>
          <w:sz w:val="24"/>
          <w:szCs w:val="24"/>
        </w:rPr>
      </w:pPr>
    </w:p>
    <w:p w14:paraId="141C342D" w14:textId="56CE5D8E" w:rsidR="00A62CD6" w:rsidRPr="00512478" w:rsidRDefault="271E3E11" w:rsidP="070BDBF9">
      <w:pPr>
        <w:spacing w:after="0"/>
        <w:jc w:val="center"/>
        <w:rPr>
          <w:rFonts w:ascii="Times New Roman" w:hAnsi="Times New Roman"/>
          <w:b/>
          <w:bCs/>
          <w:sz w:val="24"/>
          <w:szCs w:val="24"/>
        </w:rPr>
      </w:pPr>
      <w:r w:rsidRPr="00512478">
        <w:rPr>
          <w:rFonts w:ascii="Times New Roman" w:hAnsi="Times New Roman"/>
          <w:b/>
          <w:bCs/>
          <w:sz w:val="24"/>
          <w:szCs w:val="24"/>
        </w:rPr>
        <w:t xml:space="preserve">Čl. </w:t>
      </w:r>
      <w:r w:rsidR="4E6C0788" w:rsidRPr="00512478">
        <w:rPr>
          <w:rFonts w:ascii="Times New Roman" w:hAnsi="Times New Roman"/>
          <w:b/>
          <w:bCs/>
          <w:sz w:val="24"/>
          <w:szCs w:val="24"/>
        </w:rPr>
        <w:t>VII</w:t>
      </w:r>
    </w:p>
    <w:p w14:paraId="71DA9480" w14:textId="14CA7B10" w:rsidR="11B4D04B" w:rsidRDefault="11B4D04B" w:rsidP="070BDBF9">
      <w:pPr>
        <w:spacing w:after="0"/>
        <w:jc w:val="center"/>
        <w:rPr>
          <w:rFonts w:ascii="Times New Roman" w:hAnsi="Times New Roman"/>
          <w:b/>
          <w:bCs/>
          <w:sz w:val="24"/>
          <w:szCs w:val="24"/>
        </w:rPr>
      </w:pPr>
    </w:p>
    <w:p w14:paraId="3B57BF2A" w14:textId="2CE325AB" w:rsidR="00A67449" w:rsidRDefault="021EC398" w:rsidP="070BDBF9">
      <w:pPr>
        <w:spacing w:after="0"/>
        <w:jc w:val="center"/>
        <w:rPr>
          <w:rFonts w:ascii="Times New Roman" w:hAnsi="Times New Roman"/>
          <w:b/>
          <w:bCs/>
          <w:sz w:val="24"/>
          <w:szCs w:val="24"/>
        </w:rPr>
      </w:pPr>
      <w:r w:rsidRPr="070BDBF9">
        <w:rPr>
          <w:rFonts w:ascii="Times New Roman" w:hAnsi="Times New Roman"/>
          <w:b/>
          <w:bCs/>
          <w:sz w:val="24"/>
          <w:szCs w:val="24"/>
        </w:rPr>
        <w:t>Zákon č. 483/2001 Z.Z. o bankách</w:t>
      </w:r>
    </w:p>
    <w:p w14:paraId="311962A6" w14:textId="414F4F9F" w:rsidR="11B4D04B" w:rsidRDefault="11B4D04B" w:rsidP="070BDBF9">
      <w:pPr>
        <w:spacing w:after="0"/>
        <w:jc w:val="center"/>
        <w:rPr>
          <w:rFonts w:ascii="Times New Roman" w:hAnsi="Times New Roman"/>
          <w:b/>
          <w:bCs/>
          <w:sz w:val="24"/>
          <w:szCs w:val="24"/>
        </w:rPr>
      </w:pPr>
    </w:p>
    <w:p w14:paraId="26BAFCCB" w14:textId="0330BD5C"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1 [Poznámka pod čiarou k odkazu 13nb]</w:t>
      </w:r>
    </w:p>
    <w:p w14:paraId="6E47647A" w14:textId="6B44F5C0"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Legislatívno-technická úprava, ktorej cieľom je úprava odkazu na príslušné ustanovenie nariadenia (EÚ) č. 2024/1624, ktoré vymedzuje úlohy osoby zabezpečujúcej plnenie úloh pri ochrane pred legalizáciou príjmov z trestnej činnosti a pred financovaním terorizmu.</w:t>
      </w:r>
    </w:p>
    <w:p w14:paraId="09E044B8" w14:textId="4B58DF77"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lastRenderedPageBreak/>
        <w:t xml:space="preserve"> </w:t>
      </w:r>
    </w:p>
    <w:p w14:paraId="7384488D" w14:textId="6B433512"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2 [§ 6 ods. 7]</w:t>
      </w:r>
    </w:p>
    <w:p w14:paraId="5ABC6882" w14:textId="0718E993"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Vzhľadom na to, že totožnú oblasť upravuje § 2 ods. 7 zákona 747/2004 Z. z. o dohľade nad finančným trhom a o zmene a doplnení niektorých zákonov v znení neskorších predpisov (ďalej len „zákon o dohľade“), predmetné ustanovenie sa upravuje spôsobom, že odkazuje na existujúcu úpravu v zákone o dohľade.</w:t>
      </w:r>
    </w:p>
    <w:p w14:paraId="7F27F443" w14:textId="1EA53E56"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 xml:space="preserve"> </w:t>
      </w:r>
    </w:p>
    <w:p w14:paraId="72687A1F" w14:textId="0C0FD9A2"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3 [§ 6 ods. 13]</w:t>
      </w:r>
    </w:p>
    <w:p w14:paraId="375D8964" w14:textId="5C0D90DA"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Medzi orgány, s ktorými NBS spolupracuje a vymieňa si informácie pri výkone dohľadu nad bankovníctvom, sa explicitne dopĺňa Európska centrálna banka a účastníci Európskeho systému finančného dohľadu. Uvedené subjekty sa dopĺňajú nielen pre úplnosť, ale aj pre konzistentnosť s inou sektorovou právnou úpravou a tiež s cieľom zvýšenia právnej istoty. Taktiež sa dopĺňajú odkazy na súvisiace právne základy tejto spolupráce (a to najmä príslušné nariadenia EÚ) do poznámok pod čiarou. Podľa § 6 ods. 13 druhá veta sa na subjekty, ktoré sú vymenované v prvej vete citovaného ustanovenia, vzťahuje prelomenie povinnosti mlčanlivosti. </w:t>
      </w:r>
    </w:p>
    <w:p w14:paraId="78D3A822" w14:textId="60492AFD" w:rsidR="6384EC17" w:rsidRDefault="03AC7C8B" w:rsidP="070BDBF9">
      <w:pPr>
        <w:spacing w:after="0"/>
        <w:jc w:val="both"/>
        <w:rPr>
          <w:rFonts w:ascii="Times New Roman" w:hAnsi="Times New Roman"/>
          <w:sz w:val="24"/>
          <w:szCs w:val="24"/>
        </w:rPr>
      </w:pPr>
      <w:r w:rsidRPr="23BE041E">
        <w:rPr>
          <w:rFonts w:ascii="Times New Roman" w:hAnsi="Times New Roman"/>
          <w:sz w:val="24"/>
          <w:szCs w:val="24"/>
        </w:rPr>
        <w:t>Zároveň sa zosúlaďujú pojmy s novým</w:t>
      </w:r>
      <w:r w:rsidR="0FC51674" w:rsidRPr="23BE041E">
        <w:rPr>
          <w:rFonts w:ascii="Times New Roman" w:hAnsi="Times New Roman"/>
          <w:sz w:val="24"/>
          <w:szCs w:val="24"/>
        </w:rPr>
        <w:t xml:space="preserve"> AML</w:t>
      </w:r>
      <w:r w:rsidRPr="23BE041E">
        <w:rPr>
          <w:rFonts w:ascii="Times New Roman" w:hAnsi="Times New Roman"/>
          <w:sz w:val="24"/>
          <w:szCs w:val="24"/>
        </w:rPr>
        <w:t xml:space="preserve"> zákonom</w:t>
      </w:r>
      <w:r w:rsidR="59C704F9" w:rsidRPr="23BE041E">
        <w:rPr>
          <w:rFonts w:ascii="Times New Roman" w:hAnsi="Times New Roman"/>
          <w:sz w:val="24"/>
          <w:szCs w:val="24"/>
        </w:rPr>
        <w:t>.</w:t>
      </w:r>
    </w:p>
    <w:p w14:paraId="3159E4EA" w14:textId="2780EAC8"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23AD58F6" w14:textId="6EA2ADE2"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4 [Poznámka pod čiarou k odkazu 21a]</w:t>
      </w:r>
    </w:p>
    <w:p w14:paraId="48A2AFDC" w14:textId="503FB6C0" w:rsidR="6384EC17" w:rsidRDefault="03AC7C8B" w:rsidP="070BDBF9">
      <w:pPr>
        <w:spacing w:after="0"/>
        <w:jc w:val="both"/>
        <w:rPr>
          <w:rFonts w:ascii="Times New Roman" w:hAnsi="Times New Roman"/>
          <w:sz w:val="24"/>
          <w:szCs w:val="24"/>
        </w:rPr>
      </w:pPr>
      <w:r w:rsidRPr="23BE041E">
        <w:rPr>
          <w:rFonts w:ascii="Times New Roman" w:hAnsi="Times New Roman"/>
          <w:sz w:val="24"/>
          <w:szCs w:val="24"/>
        </w:rPr>
        <w:t>Legislatívno-technická úprava súvisiaca s prijatím právnych predpisov v oblasti AML</w:t>
      </w:r>
      <w:r w:rsidR="67E74661" w:rsidRPr="23BE041E">
        <w:rPr>
          <w:rFonts w:ascii="Times New Roman" w:hAnsi="Times New Roman"/>
          <w:sz w:val="24"/>
          <w:szCs w:val="24"/>
        </w:rPr>
        <w:t>/CFT</w:t>
      </w:r>
      <w:r w:rsidRPr="23BE041E">
        <w:rPr>
          <w:rFonts w:ascii="Times New Roman" w:hAnsi="Times New Roman"/>
          <w:sz w:val="24"/>
          <w:szCs w:val="24"/>
        </w:rPr>
        <w:t xml:space="preserve">, a to nariadenia (EÚ) 2023/1113, nariadenia (EÚ) č. 2024/1624 a </w:t>
      </w:r>
      <w:r w:rsidR="632A22E6" w:rsidRPr="23BE041E">
        <w:rPr>
          <w:rFonts w:ascii="Times New Roman" w:hAnsi="Times New Roman"/>
          <w:sz w:val="24"/>
          <w:szCs w:val="24"/>
        </w:rPr>
        <w:t xml:space="preserve">nového </w:t>
      </w:r>
      <w:r w:rsidRPr="23BE041E">
        <w:rPr>
          <w:rFonts w:ascii="Times New Roman" w:hAnsi="Times New Roman"/>
          <w:sz w:val="24"/>
          <w:szCs w:val="24"/>
        </w:rPr>
        <w:t>AML zákona, ktorý  nahrádza zákon č. 297/2008 Z. z. o ochrane pred legalizáciou príjmov z trestnej činnosti a o ochrane pred financovaním terorizmu a o zmene a doplnení niektorých zákonov v znení neskorších predpisov.</w:t>
      </w:r>
    </w:p>
    <w:p w14:paraId="6B2A4894" w14:textId="73DA1BFC"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 xml:space="preserve"> </w:t>
      </w:r>
    </w:p>
    <w:p w14:paraId="53A3FA77" w14:textId="16CE3ED0"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5 [§ 6 ods. 34, § 8 ods. 4, § 8c ods. 4, § 8o ods. 5, § 9 ods. 14 písm. a), § 28 ods. 27, § 28a ods. 9 písm. b), § 28b ods. 5, § 28g ods. 10 písm. b), § 28h ods. 5]</w:t>
      </w:r>
    </w:p>
    <w:p w14:paraId="342FD665" w14:textId="10DFB249" w:rsidR="6384EC17" w:rsidRDefault="03AC7C8B" w:rsidP="070BDBF9">
      <w:pPr>
        <w:tabs>
          <w:tab w:val="left" w:pos="0"/>
        </w:tabs>
        <w:spacing w:after="0"/>
        <w:jc w:val="both"/>
        <w:rPr>
          <w:rFonts w:ascii="Times New Roman" w:hAnsi="Times New Roman"/>
          <w:sz w:val="24"/>
          <w:szCs w:val="24"/>
          <w:highlight w:val="yellow"/>
        </w:rPr>
      </w:pPr>
      <w:r w:rsidRPr="23BE041E">
        <w:rPr>
          <w:rFonts w:ascii="Times New Roman" w:hAnsi="Times New Roman"/>
          <w:sz w:val="24"/>
          <w:szCs w:val="24"/>
        </w:rPr>
        <w:t xml:space="preserve">Navrhovaná úprava reflektuje zmenu systému dohľadu v oblasti AML/CFT vyplývajúcu z prijatia </w:t>
      </w:r>
      <w:r w:rsidR="4B498760" w:rsidRPr="23BE041E">
        <w:rPr>
          <w:rFonts w:ascii="Times New Roman" w:hAnsi="Times New Roman"/>
          <w:sz w:val="24"/>
          <w:szCs w:val="24"/>
        </w:rPr>
        <w:t xml:space="preserve">nového </w:t>
      </w:r>
      <w:r w:rsidRPr="23BE041E">
        <w:rPr>
          <w:rFonts w:ascii="Times New Roman" w:hAnsi="Times New Roman"/>
          <w:sz w:val="24"/>
          <w:szCs w:val="24"/>
        </w:rPr>
        <w:t xml:space="preserve">AML zákona. Na základe novej právnej úpravy dochádza k zmene doterajšieho modelu duálneho dohľadu nad bankami a pobočkami zahraničných bánk v oblasti AML/CFT, pričom dohľad nad plnením povinností týchto subjektov podľa </w:t>
      </w:r>
      <w:r w:rsidR="6CF40C26" w:rsidRPr="23BE041E">
        <w:rPr>
          <w:rFonts w:ascii="Times New Roman" w:hAnsi="Times New Roman"/>
          <w:sz w:val="24"/>
          <w:szCs w:val="24"/>
        </w:rPr>
        <w:t xml:space="preserve">nového </w:t>
      </w:r>
      <w:r w:rsidRPr="23BE041E">
        <w:rPr>
          <w:rFonts w:ascii="Times New Roman" w:hAnsi="Times New Roman"/>
          <w:sz w:val="24"/>
          <w:szCs w:val="24"/>
        </w:rPr>
        <w:t xml:space="preserve">AML zákona a </w:t>
      </w:r>
      <w:r w:rsidR="79AD71A8" w:rsidRPr="23BE041E">
        <w:rPr>
          <w:rFonts w:ascii="Times New Roman" w:hAnsi="Times New Roman"/>
          <w:sz w:val="24"/>
          <w:szCs w:val="24"/>
        </w:rPr>
        <w:t>n</w:t>
      </w:r>
      <w:r w:rsidRPr="23BE041E">
        <w:rPr>
          <w:rFonts w:ascii="Times New Roman" w:hAnsi="Times New Roman"/>
          <w:sz w:val="24"/>
          <w:szCs w:val="24"/>
        </w:rPr>
        <w:t>ariadeni</w:t>
      </w:r>
      <w:r w:rsidR="1C910147" w:rsidRPr="23BE041E">
        <w:rPr>
          <w:rFonts w:ascii="Times New Roman" w:hAnsi="Times New Roman"/>
          <w:sz w:val="24"/>
          <w:szCs w:val="24"/>
        </w:rPr>
        <w:t>a</w:t>
      </w:r>
      <w:r w:rsidRPr="23BE041E">
        <w:rPr>
          <w:rFonts w:ascii="Times New Roman" w:hAnsi="Times New Roman"/>
          <w:sz w:val="24"/>
          <w:szCs w:val="24"/>
        </w:rPr>
        <w:t xml:space="preserve"> (EÚ) 2024/1624 bude vykonávať Národná banka Slovenska</w:t>
      </w:r>
      <w:r w:rsidR="1F9F2A50" w:rsidRPr="23BE041E">
        <w:rPr>
          <w:rFonts w:ascii="Times New Roman" w:hAnsi="Times New Roman"/>
          <w:sz w:val="24"/>
          <w:szCs w:val="24"/>
        </w:rPr>
        <w:t>.</w:t>
      </w:r>
    </w:p>
    <w:p w14:paraId="4273845F" w14:textId="64E93878" w:rsidR="6384EC17" w:rsidRDefault="03AC7C8B" w:rsidP="070BDBF9">
      <w:pPr>
        <w:spacing w:after="0"/>
        <w:jc w:val="both"/>
        <w:rPr>
          <w:rFonts w:ascii="Times New Roman" w:hAnsi="Times New Roman"/>
          <w:sz w:val="24"/>
          <w:szCs w:val="24"/>
        </w:rPr>
      </w:pPr>
      <w:r w:rsidRPr="23BE041E">
        <w:rPr>
          <w:rFonts w:ascii="Times New Roman" w:hAnsi="Times New Roman"/>
          <w:sz w:val="24"/>
          <w:szCs w:val="24"/>
        </w:rPr>
        <w:t xml:space="preserve">Z uvedeného dôvodu sa vypúšťa povinnosť Národnej banky Slovenska spolupracovať s </w:t>
      </w:r>
      <w:r w:rsidR="5A26F5BD" w:rsidRPr="23BE041E">
        <w:rPr>
          <w:rFonts w:ascii="Times New Roman" w:hAnsi="Times New Roman"/>
          <w:sz w:val="24"/>
          <w:szCs w:val="24"/>
        </w:rPr>
        <w:t>FSJ</w:t>
      </w:r>
      <w:r w:rsidRPr="23BE041E">
        <w:rPr>
          <w:rFonts w:ascii="Times New Roman" w:hAnsi="Times New Roman"/>
          <w:sz w:val="24"/>
          <w:szCs w:val="24"/>
        </w:rPr>
        <w:t xml:space="preserve"> pri výkone činností podľa vyššie uvedených ustanovení zákona, keďže </w:t>
      </w:r>
      <w:r w:rsidR="55E5F540" w:rsidRPr="23BE041E">
        <w:rPr>
          <w:rFonts w:ascii="Times New Roman" w:hAnsi="Times New Roman"/>
          <w:sz w:val="24"/>
          <w:szCs w:val="24"/>
        </w:rPr>
        <w:t>FSJ</w:t>
      </w:r>
      <w:r w:rsidRPr="23BE041E">
        <w:rPr>
          <w:rFonts w:ascii="Times New Roman" w:hAnsi="Times New Roman"/>
          <w:sz w:val="24"/>
          <w:szCs w:val="24"/>
        </w:rPr>
        <w:t xml:space="preserve"> už nezodpovedá za dohľad nad plnením povinností zo strany bánk a pobočiek zahraničných bánk v oblasti AML/CFT</w:t>
      </w:r>
      <w:r w:rsidR="755CF26D" w:rsidRPr="23BE041E">
        <w:rPr>
          <w:rFonts w:ascii="Times New Roman" w:hAnsi="Times New Roman"/>
          <w:sz w:val="24"/>
          <w:szCs w:val="24"/>
        </w:rPr>
        <w:t>.</w:t>
      </w:r>
      <w:r w:rsidRPr="23BE041E">
        <w:rPr>
          <w:rFonts w:ascii="Times New Roman" w:hAnsi="Times New Roman"/>
          <w:sz w:val="24"/>
          <w:szCs w:val="24"/>
        </w:rPr>
        <w:t xml:space="preserve"> Zároveň sa navrhovanou úpravou rešpektuje smernica Európskeho parlamentu a Rady (EÚ) 2019/878 z 20. mája 2019, ktorou sa mení smernica 2013/36/EÚ, pokiaľ ide o oslobodené subjekty, finančné holdingové spoločnosti, zmiešané finančné holdingové spoločnosti, odmeňovanie, opatrenia a právomoci v oblasti dohľadu a opatrenia na zachovanie kapitálu a smernica Európskeho parlamentu a Rady (EÚ) 2024/1619 z 31. mája 2024, ktorou sa mení smernica 2013/36/EÚ, pokiaľ ide o právomoci v oblasti dohľadu, sankcie, pobočky z tretích krajín a environmentálne a sociálne riziká a riziká v oblasti správy a riadenia</w:t>
      </w:r>
      <w:r w:rsidRPr="23BE041E">
        <w:rPr>
          <w:rFonts w:ascii="Times New Roman" w:hAnsi="Times New Roman"/>
          <w:b/>
          <w:bCs/>
          <w:sz w:val="24"/>
          <w:szCs w:val="24"/>
        </w:rPr>
        <w:t xml:space="preserve">. </w:t>
      </w:r>
      <w:r w:rsidRPr="23BE041E">
        <w:rPr>
          <w:rFonts w:ascii="Times New Roman" w:hAnsi="Times New Roman"/>
          <w:sz w:val="24"/>
          <w:szCs w:val="24"/>
        </w:rPr>
        <w:t>Tieto smernice</w:t>
      </w:r>
      <w:r w:rsidRPr="23BE041E">
        <w:rPr>
          <w:rFonts w:ascii="Times New Roman" w:hAnsi="Times New Roman"/>
          <w:b/>
          <w:bCs/>
          <w:sz w:val="24"/>
          <w:szCs w:val="24"/>
        </w:rPr>
        <w:t xml:space="preserve"> </w:t>
      </w:r>
      <w:r w:rsidRPr="23BE041E">
        <w:rPr>
          <w:rFonts w:ascii="Times New Roman" w:hAnsi="Times New Roman"/>
          <w:sz w:val="24"/>
          <w:szCs w:val="24"/>
        </w:rPr>
        <w:t xml:space="preserve">vyžadujú legislatívne ukotvenie spolupráce medzi orgánom dohľadu nad obozretným podnikaním a orgánom dohľadu nad AML/CFT. Na základe novej právnej úpravy budú obe oblasti dohľadu nad subjektmi finančného trhu, t. j. dohľad nad obozretným podnikaním a  dohľad nad AML/CFT,  vykonávané Národnou bankou Slovenska. Keďže ide o samostatné funkčné oblasti výkonu dohľadu, novela zavádza legislatívnu úpravu spolupráce medzi týmito funkčnými oblasťami dohľadu vykonávanými Národnou bankou Slovenska.  </w:t>
      </w:r>
    </w:p>
    <w:p w14:paraId="01C3E5C1" w14:textId="60C13F2D"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lastRenderedPageBreak/>
        <w:t xml:space="preserve"> </w:t>
      </w:r>
    </w:p>
    <w:p w14:paraId="473B8B94" w14:textId="5F7F6A24"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6 [§ 8a ods. 2]</w:t>
      </w:r>
    </w:p>
    <w:p w14:paraId="25E19EEB" w14:textId="76034995"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Navrhovanou úpravou sa dosahuje úplná transpozícia čl. 21c v spojení s čl. 47 ods. 1 smernice Európskeho Parlamentu a Rady 2013/36/EÚ z 26. júna 2013 o prístupe k činnosti úverových inštitúcií a </w:t>
      </w:r>
      <w:proofErr w:type="spellStart"/>
      <w:r w:rsidRPr="070BDBF9">
        <w:rPr>
          <w:rFonts w:ascii="Times New Roman" w:hAnsi="Times New Roman"/>
          <w:sz w:val="24"/>
          <w:szCs w:val="24"/>
        </w:rPr>
        <w:t>prudenciálnom</w:t>
      </w:r>
      <w:proofErr w:type="spellEnd"/>
      <w:r w:rsidRPr="070BDBF9">
        <w:rPr>
          <w:rFonts w:ascii="Times New Roman" w:hAnsi="Times New Roman"/>
          <w:sz w:val="24"/>
          <w:szCs w:val="24"/>
        </w:rPr>
        <w:t xml:space="preserve"> dohľade nad úverovými inštitúciami, o zmene smernice 2002/87/ES a o zrušení smerníc 2006/48/ES a 2006/49/ES.</w:t>
      </w:r>
    </w:p>
    <w:p w14:paraId="3D31481A" w14:textId="77D5FE9D"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40B95F6D" w14:textId="0FD1C4B3"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7 [Poznámka pod čiarou k odkazu 24aai]</w:t>
      </w:r>
    </w:p>
    <w:p w14:paraId="01FCECEB" w14:textId="2597189D" w:rsidR="6384EC17" w:rsidRDefault="03AC7C8B" w:rsidP="070BDBF9">
      <w:pPr>
        <w:spacing w:after="0"/>
        <w:jc w:val="both"/>
        <w:rPr>
          <w:rFonts w:ascii="Times New Roman" w:hAnsi="Times New Roman"/>
          <w:sz w:val="24"/>
          <w:szCs w:val="24"/>
        </w:rPr>
      </w:pPr>
      <w:r w:rsidRPr="23BE041E">
        <w:rPr>
          <w:rFonts w:ascii="Times New Roman" w:hAnsi="Times New Roman"/>
          <w:sz w:val="24"/>
          <w:szCs w:val="24"/>
        </w:rPr>
        <w:t xml:space="preserve">Legislatívno-technická úprava vyplývajúca z prijatia </w:t>
      </w:r>
      <w:r w:rsidR="186BF9BA" w:rsidRPr="23BE041E">
        <w:rPr>
          <w:rFonts w:ascii="Times New Roman" w:hAnsi="Times New Roman"/>
          <w:sz w:val="24"/>
          <w:szCs w:val="24"/>
        </w:rPr>
        <w:t xml:space="preserve">nového </w:t>
      </w:r>
      <w:r w:rsidRPr="23BE041E">
        <w:rPr>
          <w:rFonts w:ascii="Times New Roman" w:hAnsi="Times New Roman"/>
          <w:sz w:val="24"/>
          <w:szCs w:val="24"/>
        </w:rPr>
        <w:t>AML zákona, ktorý nahrádza zákon č. 297/2008 Z. z. o ochrane pred legalizáciou príjmov z trestnej činnosti a o ochrane pred financovaním terorizmu a o zmene a doplnení niektorých zákonov v znení neskorších predpisov.</w:t>
      </w:r>
    </w:p>
    <w:p w14:paraId="4136CF6A" w14:textId="7F7DE761"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 xml:space="preserve"> </w:t>
      </w:r>
    </w:p>
    <w:p w14:paraId="0F8F6820" w14:textId="434D31A9"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8 [§ 8o ods. 5]</w:t>
      </w:r>
    </w:p>
    <w:p w14:paraId="333E0EA0" w14:textId="67F491A6"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Legislatívno-technická úprava vynútená zmenou systému dohľadu v oblasti AML/CFT.</w:t>
      </w:r>
    </w:p>
    <w:p w14:paraId="7BCB4C3A" w14:textId="33A16C10"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 xml:space="preserve"> </w:t>
      </w:r>
    </w:p>
    <w:p w14:paraId="599B652E" w14:textId="6109699A"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9 [§ 9 ods. 12 a 13]</w:t>
      </w:r>
    </w:p>
    <w:p w14:paraId="4256981E" w14:textId="0937AC03"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Upravuje sa proces v súvislosti s udeľovaním predchádzajúcich súhlasov pri tzv. znovuzvolení tej istej osoby do rovnakej funkcie v tej istej banke. Cieľom je zníženie administratívnej záťaže bankového sektora a zefektívnenie celého procesu v prípadoch, kedy je riziko nízke.  Pri tzv. znovuzvolení tej istej osoby do rovnakej funkcie sa zavádza fakultatívna oznamovacia procedúra za podmienok špecifikovaných v danom ustanovení. </w:t>
      </w:r>
    </w:p>
    <w:p w14:paraId="6C6674AC" w14:textId="029D4F59"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Ak má NBS za preukázané, že z oznámenia banky a súvisiacich skutočností vyplýva, že osoba pôsobiaca vo funkcii plní všetky príslušné regulačné požiadavky a po znovuzvolení ich naďalej bude plniť, dotknutá osoba môže pokračovať vo výkone predmetnej funkcie, pričom predchádzajúci súhlas sa vyžadovať nebude.</w:t>
      </w:r>
    </w:p>
    <w:p w14:paraId="7FE62D76" w14:textId="28963BCF"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NBS si však môže písomne vyhradiť, že na tzv. znovuzvolenie tej istej osoby do rovnakej funkcie v tej istej banke sa vyžaduje predchádzajúci súhlas, a to spravidla v prípadoch, ak sa dozvie o skutočnostiach, ktoré by mohli ovplyvniť plnenie príslušných regulačných požiadaviek zo strany danej osoby; v takom prípade má banka povinnosť podať žiadosť o predchádzajúci súhlas podľa § 9 ods. 4. </w:t>
      </w:r>
    </w:p>
    <w:p w14:paraId="69BF5FE5" w14:textId="32C03211"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Rovnako je potrebné podať žiadosť o udelenie predchádzajúceho súhlasu podľa § 9 ods. 4, ak oznámenie banky na tzv. znovuzvolenie tej istej osoby do rovnakej funkcie v tom istom dohliadanom subjekte nebude predložené v stanovenej lehote. Lehota na oznámenie o tzv. znovuzvolení podľa tohto ustanovenia je stanovená tak, aby v prípade, ak NBS rozhodne o tom, že na tzv. znovuzvolenie je potrebné udelenie predchádzajúceho súhlasu, banka mala dostatočný čas na podanie príslušnej žiadosti pred začatím nového funkčného obdobia alebo pôsobenia dotknutej osoby.</w:t>
      </w:r>
    </w:p>
    <w:p w14:paraId="0353781B" w14:textId="7F38F8E0"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 xml:space="preserve"> </w:t>
      </w:r>
    </w:p>
    <w:p w14:paraId="75194C23" w14:textId="4EA45EAD"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10 [Poznámka pod čiarou k odkazu 24d]</w:t>
      </w:r>
    </w:p>
    <w:p w14:paraId="76F9CBAD" w14:textId="11F463D7" w:rsidR="6384EC17" w:rsidRDefault="03AC7C8B" w:rsidP="070BDBF9">
      <w:pPr>
        <w:spacing w:after="0"/>
        <w:jc w:val="both"/>
        <w:rPr>
          <w:rFonts w:ascii="Times New Roman" w:hAnsi="Times New Roman"/>
          <w:sz w:val="24"/>
          <w:szCs w:val="24"/>
        </w:rPr>
      </w:pPr>
      <w:r w:rsidRPr="23BE041E">
        <w:rPr>
          <w:rFonts w:ascii="Times New Roman" w:hAnsi="Times New Roman"/>
          <w:sz w:val="24"/>
          <w:szCs w:val="24"/>
        </w:rPr>
        <w:t>Legislatívno-technická úprava vyplývajúca z prijatia</w:t>
      </w:r>
      <w:r w:rsidR="31BE1180" w:rsidRPr="23BE041E">
        <w:rPr>
          <w:rFonts w:ascii="Times New Roman" w:hAnsi="Times New Roman"/>
          <w:sz w:val="24"/>
          <w:szCs w:val="24"/>
        </w:rPr>
        <w:t xml:space="preserve"> nového</w:t>
      </w:r>
      <w:r w:rsidRPr="23BE041E">
        <w:rPr>
          <w:rFonts w:ascii="Times New Roman" w:hAnsi="Times New Roman"/>
          <w:sz w:val="24"/>
          <w:szCs w:val="24"/>
        </w:rPr>
        <w:t xml:space="preserve"> AML zákona, ktorý nahrádza zákon č.  297/2008 Z. z. o ochrane pred legalizáciou príjmov z trestnej činnosti a o ochrane pred financovaním terorizmu a o zmene a doplnení niektorých zákonov v znení neskorších predpisov. </w:t>
      </w:r>
    </w:p>
    <w:p w14:paraId="10F1C936" w14:textId="4B4CE963"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 xml:space="preserve"> </w:t>
      </w:r>
    </w:p>
    <w:p w14:paraId="13CAE863" w14:textId="0428786F" w:rsidR="6384EC17" w:rsidRDefault="03AC7C8B" w:rsidP="070BDBF9">
      <w:pPr>
        <w:spacing w:after="0"/>
        <w:jc w:val="both"/>
        <w:rPr>
          <w:rFonts w:ascii="Times New Roman" w:hAnsi="Times New Roman"/>
          <w:b/>
          <w:bCs/>
          <w:sz w:val="24"/>
          <w:szCs w:val="24"/>
        </w:rPr>
      </w:pPr>
      <w:r w:rsidRPr="23BE041E">
        <w:rPr>
          <w:rFonts w:ascii="Times New Roman" w:hAnsi="Times New Roman"/>
          <w:b/>
          <w:bCs/>
          <w:sz w:val="24"/>
          <w:szCs w:val="24"/>
        </w:rPr>
        <w:t>K bodu 11</w:t>
      </w:r>
      <w:r w:rsidRPr="23BE041E">
        <w:rPr>
          <w:rFonts w:ascii="Times New Roman" w:hAnsi="Times New Roman"/>
          <w:sz w:val="24"/>
          <w:szCs w:val="24"/>
        </w:rPr>
        <w:t xml:space="preserve"> </w:t>
      </w:r>
      <w:r w:rsidRPr="23BE041E">
        <w:rPr>
          <w:rFonts w:ascii="Times New Roman" w:hAnsi="Times New Roman"/>
          <w:b/>
          <w:bCs/>
          <w:sz w:val="24"/>
          <w:szCs w:val="24"/>
        </w:rPr>
        <w:t xml:space="preserve">[§ 16] </w:t>
      </w:r>
    </w:p>
    <w:p w14:paraId="531919CC" w14:textId="4F07475D" w:rsidR="6384EC17" w:rsidRDefault="03AC7C8B" w:rsidP="070BDBF9">
      <w:pPr>
        <w:spacing w:after="0"/>
        <w:jc w:val="both"/>
        <w:rPr>
          <w:rFonts w:ascii="Times New Roman" w:hAnsi="Times New Roman"/>
          <w:sz w:val="24"/>
          <w:szCs w:val="24"/>
        </w:rPr>
      </w:pPr>
      <w:r w:rsidRPr="23BE041E">
        <w:rPr>
          <w:rFonts w:ascii="Times New Roman" w:hAnsi="Times New Roman"/>
          <w:sz w:val="24"/>
          <w:szCs w:val="24"/>
        </w:rPr>
        <w:lastRenderedPageBreak/>
        <w:t>Zmena reflektuje terminológiu zavedenú AML zákonom. Pojem „zamestnanec zodpovedný za ochranu pred legalizáciou príjmov z trestnej činnosti a pred financovaním terorizmu“ sa nahrádza pojmom „osoba zabezpečujúca plnenie úloh pri ochrane pred legalizáciou príjmov z trestnej činnosti a pred financovaním terorizmu“. Cieľom tejto zmeny je dosiahnuť jednotné a konzistentné označenie funkcie zabezpečujúcej dodržiavanie povinností v oblasti AML/CFT v celom právnom poriadku Slovenskej republiky, a tým prispieť k väčšej právnej istote a jednoznačnosti výkladu jednotlivých ustanovení právnych predpisov.</w:t>
      </w:r>
    </w:p>
    <w:p w14:paraId="3092AF77" w14:textId="71E884EF"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7EE0901F" w14:textId="767FF200"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12 [§ 23 ods. 1]</w:t>
      </w:r>
    </w:p>
    <w:p w14:paraId="5C374297" w14:textId="47DDDBA6"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Legislatívno-technické úpravy v nadväznosti na znenie § 23d, podľa ktorého na systém odmeňovania v banke dozerá buď dozorná rada alebo výbor pre odmeňovanie.</w:t>
      </w:r>
    </w:p>
    <w:p w14:paraId="7D5AA05D" w14:textId="3AEA1D8A"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 xml:space="preserve"> </w:t>
      </w:r>
    </w:p>
    <w:p w14:paraId="445AE0C2" w14:textId="3B7506E2"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13 [§ 28 ods. 27]</w:t>
      </w:r>
    </w:p>
    <w:p w14:paraId="5163B2E1" w14:textId="2B5AA377"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Legislatívno-technická úprava vynútená zmenou systému dohľadu v oblasti AML/CFT.</w:t>
      </w:r>
    </w:p>
    <w:p w14:paraId="4F298C86" w14:textId="40F13CE6"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 xml:space="preserve"> </w:t>
      </w:r>
    </w:p>
    <w:p w14:paraId="4FACA2B5" w14:textId="76923B19"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14 [§ 37 ods. 3]</w:t>
      </w:r>
    </w:p>
    <w:p w14:paraId="2B88EC77" w14:textId="537FB9FE"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Odstraňuje sa duplicitná vykazovacia povinnosť bánk a pobočiek zahraničných bánk v oblasti odplát vyžadovaných od klienta pri vybraných druhoch obchodov, keďže vykazovanie v tejto oblasti je ustanovené v § 44a ods. 2 v spojení s § 34 ods. 1 písm. d) zákona č. 492/2009 Z. z. o platobných službách a o zmene a doplnení niektorých zákonov v znení neskorších predpisov.</w:t>
      </w:r>
    </w:p>
    <w:p w14:paraId="2867C29C" w14:textId="60BAA277"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Zároveň sa informácie, ktoré banky a pobočky zahraničných bánk poskytujú klientom v súvislosti s obchodmi podľa § 37 ods. 2 zákona o bankách, ustanovujú priamo do znenia zákona. V súčasnosti sú tieto informácie uvedené v opatrení Národnej banky Slovenska č. 19/2015, avšak vzhľadom na uvedenú úpravu sa z opatrenia vypustia.</w:t>
      </w:r>
    </w:p>
    <w:p w14:paraId="2688087A" w14:textId="6F01FA44"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4DE34B54" w14:textId="10078672"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15 [§ 37 ods. 14]</w:t>
      </w:r>
    </w:p>
    <w:p w14:paraId="5E7FE560" w14:textId="516AB70D"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V nadväznosti na zánik vykazovacej povinnosti bánk a pobočiek zahraničných bánk v oblasti odplát vyžadovaných od klienta pri vybraných druhoch obchodov a komplexnú úpravu informácií poskytovaných klientom v súvislosti s odplatami v § 37 ods. 2 sa zrušuje splnomocňujúce ustanovenie pre Národnú banku Slovenska na vydanie opatrenia v predmetných veciach; platné opatrenie Národnej banky Slovenska č. 19/2015 upravujúce tieto oblasti sa zruší.</w:t>
      </w:r>
    </w:p>
    <w:p w14:paraId="6CF353E5" w14:textId="4779393C"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2B23BFB6" w14:textId="68E82B43"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16 [§ 38 ods. 2]</w:t>
      </w:r>
    </w:p>
    <w:p w14:paraId="15992787" w14:textId="4BBC3EDA"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Legislatívno-technická úprava, ktorou sa odstraňuje neaktuálny odkaz na neexistujúci pôvodný odsek 10.</w:t>
      </w:r>
    </w:p>
    <w:p w14:paraId="6F400012" w14:textId="58B79BED"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4B142A9E" w14:textId="7ED69586"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17 [§ 38 ods. 4 ]</w:t>
      </w:r>
    </w:p>
    <w:p w14:paraId="4F3C9841" w14:textId="4A81637D"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V nadväznosti na oprávnenie Finančnej spravodajskej jednotky na prístup k tým informáciám o hypotekárnych úveroch a pôžičkách vedených v registri bankových úverov a záruk, ktoré sú potrebné a nevyhnutné na plnenie jej úloh podľa nového AML zákona, sa rozširuje okruh oprávnených osôb získavajúcich údaje z tohto registra na základe zákona o Finančnú spravodajskú jednotku.</w:t>
      </w:r>
    </w:p>
    <w:p w14:paraId="651E6373" w14:textId="2AA74410"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1821308B" w14:textId="5326FD4A"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 xml:space="preserve">K bodu 18 [§ 38 ods. 7] </w:t>
      </w:r>
    </w:p>
    <w:p w14:paraId="0C83CD6D" w14:textId="35DBC834"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Rozširujú sa účely vedenia a používania registra bankových úverov a záruk, pri ktorých orgány verejnej moci a iné osoby sprístupňujú a poskytujú Národnej banke Slovenska údaje z </w:t>
      </w:r>
      <w:r w:rsidRPr="070BDBF9">
        <w:rPr>
          <w:rFonts w:ascii="Times New Roman" w:hAnsi="Times New Roman"/>
          <w:sz w:val="24"/>
          <w:szCs w:val="24"/>
        </w:rPr>
        <w:lastRenderedPageBreak/>
        <w:t>verejných aj neverejných častí svojich registrov, databáz, evidencií, zoznamov a iných súborov informácií. Novým účelom podľa nového odseku 10 je plnenie úloh Finančnej spravodajskej jednotky podľa nového AML zákona.</w:t>
      </w:r>
    </w:p>
    <w:p w14:paraId="056D002C" w14:textId="6EA54361"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0AD2E798" w14:textId="0903B20D"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19 [§ 38 nový odsek 10]</w:t>
      </w:r>
    </w:p>
    <w:p w14:paraId="7FABB796" w14:textId="146FFAAD"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Ide o transpozíciu čl. 21 ods. 1 písm. a) bodu iii) smernice (EÚ) 2024/1640. Vzhľadom na oprávnenie Finančnej spravodajskej jednotky na prístup k informáciám o hypotekárnych úveroch a pôžičkách na plnenie jej úloh podľa nového AML zákona sa Finančná spravodajská jednotka zaraďuje medzi oprávnené osoby na získavanie údajov z registra bankových úverov a záruk vedeného Národnou bankou Slovenska. Poskytované údaje sa týkajú hypotekárnych úverov a pôžičiek poskytnutých právnickým osobám a fyzickým osobám – podnikateľom. Zároveň sa ustanovuje právny základ na poskytovanie údajov z tohto registra Finančnej spravodajskej jednotke, pričom na poskytnuté údaje sa naďalej vzťahuje režim bankového tajomstva. Podrobnosti o rozsahu poskytovaných údajov, spôsobe a postupe ich poskytovania, ako aj o podmienkach ich ochrany a bezpečnostných opatreniach upraví dohoda o vzájomnej spolupráci uzatvorená medzi Národnou bankou Slovenska a Finančnou spravodajskou jednotkou.</w:t>
      </w:r>
    </w:p>
    <w:p w14:paraId="3A1A002F" w14:textId="26DF4A9D"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56772D7A" w14:textId="1F366CBE"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20 [§ 48 ods. 15]</w:t>
      </w:r>
    </w:p>
    <w:p w14:paraId="074AC479" w14:textId="4B339CF4"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Legislatívno-technická úprava, ktorou sa zosúlaďujú pojmy s novým AML zákonom.</w:t>
      </w:r>
    </w:p>
    <w:p w14:paraId="5C4502F0" w14:textId="0716AB89"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25AB0DBA" w14:textId="1DDB8533"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21 [Poznámky pod čiarou k odkazom 45aca a 45acb]</w:t>
      </w:r>
    </w:p>
    <w:p w14:paraId="082180FE" w14:textId="09CB5A7B"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Legislatívno-technická úprava súvisiaca s prijatím právnych predpisov v oblasti AML, a to nariadenia (EÚ) 2023/1113, nariadenia (EÚ) č. 2024/1624, nariadenia (EÚ) č. 2024/1620 a nového AML zákona. </w:t>
      </w:r>
    </w:p>
    <w:p w14:paraId="613BBA1B" w14:textId="427A2AE7"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2BFD6377" w14:textId="3B407B54"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22 [Poznámka pod čiarou k odkazu 73ac]</w:t>
      </w:r>
    </w:p>
    <w:p w14:paraId="21A5330F" w14:textId="0B0174AC"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Legislatívno-technická úprava súvisiaca s prijatím právnych predpisov v oblasti AML, a to nariadenia (EÚ) č. 2024/1624 a AML zákona. Na základe čl. 28 nariadenia (EÚ) č. 2024/1624 bude v oblasti overovania totožnosti klienta pri vykonávaní obchodu prostredníctvom technických zariadení prijaté delegované nariadenie Komisie (EÚ), ktorým sa dopĺňa nariadenie Európskeho parlamentu a Rady (EÚ) 2024/1624, pokiaľ ide o regulačné technické predpisy, ktorými sa špecifikujú informácie a požiadavky potrebné na vykonávanie starostlivosti vo vzťahu ku klientovi na účely článku 28 ods. 1, ktoré sa bude aplikovať na účely odkazu 73ac.</w:t>
      </w:r>
    </w:p>
    <w:p w14:paraId="3947CFAB" w14:textId="42D1016B"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2B912621" w14:textId="1DAA5657"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23 [§ 89 ods. 10]</w:t>
      </w:r>
    </w:p>
    <w:p w14:paraId="31C9C623" w14:textId="198E4005"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Legislatívno-technická úprava súvisiaca s prijatím právnych predpisov v oblasti AML, a to nariadenia (EÚ) č. 2024/1624. Na základe čl. 28 nariadenia (EÚ) č. 2024/1624  bude v oblasti overovania totožnosti klienta, ktorým je fyzická osoba, ktorej bolo poskytnuté dočasné útočisko, prijaté delegované nariadenie Komisie (EÚ), ktorým sa dopĺňa nariadenie Európskeho parlamentu a Rady (EÚ) 2024/1624, pokiaľ ide o regulačné technické predpisy, ktorými sa špecifikujú informácie a požiadavky potrebné na vykonávanie starostlivosti vo vzťahu ku klientovi na účely článku 28 ods. 1, ktoré sa bude aplikovať na účely odkazu 74g.</w:t>
      </w:r>
    </w:p>
    <w:p w14:paraId="18D6954D" w14:textId="35197B73"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 xml:space="preserve"> </w:t>
      </w:r>
    </w:p>
    <w:p w14:paraId="15318DC4" w14:textId="4735A4BC"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24 [§ 91 ods. 3]</w:t>
      </w:r>
    </w:p>
    <w:p w14:paraId="0157440D" w14:textId="0A410E0F"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lastRenderedPageBreak/>
        <w:t>Legislatívno-technická zmena s cieľom zjednotiť označenie osôb, ktoré vykonávajú dohľad v oblasti bankovníctva.</w:t>
      </w:r>
    </w:p>
    <w:p w14:paraId="679ECA2A" w14:textId="7F8E2BAB"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712B40DE" w14:textId="0C3B91C1" w:rsidR="6384EC17" w:rsidRDefault="62997FF1" w:rsidP="070BDBF9">
      <w:pPr>
        <w:spacing w:after="0"/>
        <w:jc w:val="both"/>
        <w:rPr>
          <w:rFonts w:ascii="Times New Roman" w:hAnsi="Times New Roman"/>
          <w:b/>
          <w:bCs/>
          <w:sz w:val="24"/>
          <w:szCs w:val="24"/>
          <w:lang w:val="pl"/>
        </w:rPr>
      </w:pPr>
      <w:r w:rsidRPr="070BDBF9">
        <w:rPr>
          <w:rFonts w:ascii="Times New Roman" w:hAnsi="Times New Roman"/>
          <w:b/>
          <w:bCs/>
          <w:sz w:val="24"/>
          <w:szCs w:val="24"/>
        </w:rPr>
        <w:t xml:space="preserve">K bodu 25 </w:t>
      </w:r>
      <w:r w:rsidRPr="070BDBF9">
        <w:rPr>
          <w:rFonts w:ascii="Times New Roman" w:hAnsi="Times New Roman"/>
          <w:b/>
          <w:bCs/>
          <w:sz w:val="24"/>
          <w:szCs w:val="24"/>
          <w:lang w:val="pl"/>
        </w:rPr>
        <w:t>[</w:t>
      </w:r>
      <w:r w:rsidRPr="070BDBF9">
        <w:rPr>
          <w:rFonts w:ascii="Times New Roman" w:hAnsi="Times New Roman"/>
          <w:b/>
          <w:bCs/>
          <w:sz w:val="24"/>
          <w:szCs w:val="24"/>
        </w:rPr>
        <w:t>Poznámka pod čiarou k odkazu 88id</w:t>
      </w:r>
      <w:r w:rsidRPr="070BDBF9">
        <w:rPr>
          <w:rFonts w:ascii="Times New Roman" w:hAnsi="Times New Roman"/>
          <w:b/>
          <w:bCs/>
          <w:sz w:val="24"/>
          <w:szCs w:val="24"/>
          <w:lang w:val="pl"/>
        </w:rPr>
        <w:t>]</w:t>
      </w:r>
    </w:p>
    <w:p w14:paraId="0BE968C9" w14:textId="110B890A"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Legislatívno-technická úprava súvisiaca s prijatím právnych predpisov v oblasti AML, a to nariadenia (EÚ) 2023/1113, nariadenia (EÚ) č. 2024/1624 a AML zákona, ktorý nahrádza zákon č. 297/2008 Z. z. o ochrane pred legalizáciou príjmov z trestnej činnosti a o ochrane pred financovaním terorizmu a o zmene a doplnení niektorých zákonov v znení neskorších predpisov.</w:t>
      </w:r>
    </w:p>
    <w:p w14:paraId="37F6C576" w14:textId="057D20C9"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30B17FE2" w14:textId="16BE6986"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26 [§ 92a ods. 3]</w:t>
      </w:r>
    </w:p>
    <w:p w14:paraId="1CB35E4E" w14:textId="20EB8682"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Ide o transpozíciu čl. 21 ods. 1 písm. a) bodu iii) smernice (EÚ) 2024/1640. Vzhľadom na oprávnenie Finančnej spravodajskej jednotky na prístup k informáciám o hypotekárnych úveroch a pôžičkách na plnenie jej úloh podľa nového AML zákona sa Finančná spravodajská jednotka zaraďuje medzi oprávnené osoby na získavanie údajov zo spoločného bankového registra bez súhlasu klienta. Navrhovaná úprava zabezpečuje prístup k údajom o hypotekárnych úveroch a pôžičkách poskytnutých fyzickým osobám, keďže register bankových úverov a záruk vedený Národnou bankou Slovenska podľa § 38 obsahuje údaje iba o úverovej angažovanosti právnických osôb a fyzických osôb – podnikateľov. Na poskytnuté údaje sa naďalej vzťahuje režim bankového tajomstva.</w:t>
      </w:r>
    </w:p>
    <w:p w14:paraId="36983CCB" w14:textId="0D33B2A0"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 xml:space="preserve"> </w:t>
      </w:r>
    </w:p>
    <w:p w14:paraId="2055A0F5" w14:textId="5E3EC6D8" w:rsidR="6384EC17" w:rsidRDefault="62997FF1" w:rsidP="070BDBF9">
      <w:pPr>
        <w:spacing w:after="0"/>
        <w:jc w:val="both"/>
        <w:rPr>
          <w:rFonts w:ascii="Times New Roman" w:hAnsi="Times New Roman"/>
          <w:b/>
          <w:bCs/>
          <w:sz w:val="24"/>
          <w:szCs w:val="24"/>
        </w:rPr>
      </w:pPr>
      <w:r w:rsidRPr="070BDBF9">
        <w:rPr>
          <w:rFonts w:ascii="Times New Roman" w:hAnsi="Times New Roman"/>
          <w:b/>
          <w:bCs/>
          <w:sz w:val="24"/>
          <w:szCs w:val="24"/>
        </w:rPr>
        <w:t>K bodu 27 [Poznámka pod čiarou k odkazu 88c]</w:t>
      </w:r>
    </w:p>
    <w:p w14:paraId="79B5C732" w14:textId="436135D0" w:rsidR="6384EC17" w:rsidRDefault="62997FF1" w:rsidP="070BDBF9">
      <w:pPr>
        <w:spacing w:after="0"/>
        <w:jc w:val="both"/>
        <w:rPr>
          <w:rFonts w:ascii="Times New Roman" w:hAnsi="Times New Roman"/>
          <w:sz w:val="24"/>
          <w:szCs w:val="24"/>
        </w:rPr>
      </w:pPr>
      <w:r w:rsidRPr="070BDBF9">
        <w:rPr>
          <w:rFonts w:ascii="Times New Roman" w:hAnsi="Times New Roman"/>
          <w:sz w:val="24"/>
          <w:szCs w:val="24"/>
        </w:rPr>
        <w:t>Legislatívno-technická úprava vyplývajúca z prijatia AML zákona, ktorý nahrádza zákon č. 297/2008 Z. z. o ochrane pred legalizáciou príjmov z trestnej činnosti a o ochrane pred financovaním terorizmu a o zmene a doplnení niektorých zákonov v znení neskorších predpisov.</w:t>
      </w:r>
    </w:p>
    <w:p w14:paraId="2CEB69F0" w14:textId="2FC37008" w:rsidR="6405D0E6" w:rsidRDefault="6405D0E6" w:rsidP="070BDBF9">
      <w:pPr>
        <w:spacing w:after="0"/>
        <w:jc w:val="center"/>
        <w:rPr>
          <w:rFonts w:ascii="Times New Roman" w:hAnsi="Times New Roman"/>
          <w:b/>
          <w:bCs/>
          <w:sz w:val="24"/>
          <w:szCs w:val="24"/>
        </w:rPr>
      </w:pPr>
    </w:p>
    <w:p w14:paraId="44C62B7F" w14:textId="40FD0AB7" w:rsidR="42B6F981" w:rsidRDefault="42B6F981" w:rsidP="070BDBF9">
      <w:pPr>
        <w:spacing w:after="0"/>
        <w:jc w:val="center"/>
        <w:rPr>
          <w:rFonts w:ascii="Times New Roman" w:hAnsi="Times New Roman"/>
          <w:sz w:val="24"/>
          <w:szCs w:val="24"/>
        </w:rPr>
      </w:pPr>
    </w:p>
    <w:p w14:paraId="3626EA5E" w14:textId="193D038F" w:rsidR="42B6F981" w:rsidRPr="00512478" w:rsidRDefault="497AE732" w:rsidP="070BDBF9">
      <w:pPr>
        <w:spacing w:after="0"/>
        <w:jc w:val="center"/>
        <w:rPr>
          <w:rFonts w:ascii="Times New Roman" w:hAnsi="Times New Roman"/>
          <w:b/>
          <w:bCs/>
          <w:sz w:val="24"/>
          <w:szCs w:val="24"/>
        </w:rPr>
      </w:pPr>
      <w:r w:rsidRPr="00512478">
        <w:rPr>
          <w:rFonts w:ascii="Times New Roman" w:hAnsi="Times New Roman"/>
          <w:b/>
          <w:bCs/>
          <w:sz w:val="24"/>
          <w:szCs w:val="24"/>
        </w:rPr>
        <w:t>Čl. VIII</w:t>
      </w:r>
    </w:p>
    <w:p w14:paraId="35C9F83A" w14:textId="0AAF099D" w:rsidR="42B6F981" w:rsidRDefault="42B6F981" w:rsidP="070BDBF9">
      <w:pPr>
        <w:spacing w:after="0"/>
        <w:jc w:val="center"/>
        <w:rPr>
          <w:rFonts w:ascii="Times New Roman" w:hAnsi="Times New Roman"/>
          <w:b/>
          <w:bCs/>
          <w:sz w:val="24"/>
          <w:szCs w:val="24"/>
          <w:u w:val="single"/>
        </w:rPr>
      </w:pPr>
    </w:p>
    <w:p w14:paraId="12E0B8AC" w14:textId="69E0DF88" w:rsidR="42B6F981" w:rsidRDefault="497AE732" w:rsidP="070BDBF9">
      <w:pPr>
        <w:spacing w:after="0"/>
        <w:jc w:val="center"/>
        <w:rPr>
          <w:rFonts w:ascii="Times New Roman" w:hAnsi="Times New Roman"/>
          <w:b/>
          <w:bCs/>
          <w:sz w:val="24"/>
          <w:szCs w:val="24"/>
        </w:rPr>
      </w:pPr>
      <w:r w:rsidRPr="070BDBF9">
        <w:rPr>
          <w:rFonts w:ascii="Times New Roman" w:hAnsi="Times New Roman"/>
          <w:b/>
          <w:bCs/>
          <w:sz w:val="24"/>
          <w:szCs w:val="24"/>
        </w:rPr>
        <w:t>Zákon č. č. 566/2001 Z. z. o cenných papieroch a investičných službách a o zmene a doplnení niektorých zákonov (zákon o cenných papieroch)</w:t>
      </w:r>
    </w:p>
    <w:p w14:paraId="432CD2DD" w14:textId="3C1789CA" w:rsidR="42B6F981" w:rsidRDefault="42B6F981" w:rsidP="070BDBF9">
      <w:pPr>
        <w:spacing w:after="0"/>
        <w:jc w:val="both"/>
        <w:rPr>
          <w:rFonts w:ascii="Times New Roman" w:hAnsi="Times New Roman"/>
          <w:sz w:val="24"/>
          <w:szCs w:val="24"/>
        </w:rPr>
      </w:pPr>
    </w:p>
    <w:p w14:paraId="23B4F7C2" w14:textId="05EDBCE0" w:rsidR="42B6F981" w:rsidRDefault="2E35851B"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bodu 1 [§ 73 ods. 5]</w:t>
      </w:r>
    </w:p>
    <w:p w14:paraId="273A4DE8" w14:textId="3860E100" w:rsidR="42B6F981" w:rsidRDefault="2E35851B" w:rsidP="6405D0E6">
      <w:pPr>
        <w:spacing w:after="200" w:line="276" w:lineRule="auto"/>
        <w:jc w:val="both"/>
        <w:rPr>
          <w:rFonts w:ascii="Times New Roman" w:hAnsi="Times New Roman"/>
          <w:sz w:val="24"/>
          <w:szCs w:val="24"/>
        </w:rPr>
      </w:pPr>
      <w:r w:rsidRPr="070BDBF9">
        <w:rPr>
          <w:rFonts w:ascii="Times New Roman" w:hAnsi="Times New Roman"/>
          <w:sz w:val="24"/>
          <w:szCs w:val="24"/>
        </w:rPr>
        <w:t>Navrhuje sa nové znenie § 73 ods. 5.</w:t>
      </w:r>
    </w:p>
    <w:p w14:paraId="0D3305DD" w14:textId="5434879C" w:rsidR="42B6F981" w:rsidRDefault="2E35851B" w:rsidP="6405D0E6">
      <w:pPr>
        <w:spacing w:after="200" w:line="276" w:lineRule="auto"/>
        <w:jc w:val="both"/>
        <w:rPr>
          <w:rFonts w:ascii="Times New Roman" w:hAnsi="Times New Roman"/>
          <w:sz w:val="24"/>
          <w:szCs w:val="24"/>
        </w:rPr>
      </w:pPr>
      <w:r w:rsidRPr="070BDBF9">
        <w:rPr>
          <w:rFonts w:ascii="Times New Roman" w:hAnsi="Times New Roman"/>
          <w:sz w:val="24"/>
          <w:szCs w:val="24"/>
        </w:rPr>
        <w:t>Platné znenie ustanovenia upravuje povinnosť obchodníka s cennými papiermi zisťovať vlastníctvo prostriedkov použitých klientom na vykonanie obchodu pri každom obchode najmenej v hodnote 15 000 eur a súčasne podrobne upravuje spôsob plnenia tejto povinnosti, vrátane obsahu písomného vyhlásenia klienta, následku nesplnenia tejto povinnosti a výnimky pre prípady, keď zisťovanie už vykonal iný obchodník s cennými papiermi alebo finančná inštitúcia.</w:t>
      </w:r>
    </w:p>
    <w:p w14:paraId="624A7F7B" w14:textId="372A0F47" w:rsidR="42B6F981" w:rsidRDefault="04F05295" w:rsidP="6405D0E6">
      <w:pPr>
        <w:spacing w:after="200" w:line="276" w:lineRule="auto"/>
        <w:jc w:val="both"/>
        <w:rPr>
          <w:rFonts w:ascii="Times New Roman" w:hAnsi="Times New Roman"/>
          <w:sz w:val="24"/>
          <w:szCs w:val="24"/>
        </w:rPr>
      </w:pPr>
      <w:r w:rsidRPr="23BE041E">
        <w:rPr>
          <w:rFonts w:ascii="Times New Roman" w:hAnsi="Times New Roman"/>
          <w:sz w:val="24"/>
          <w:szCs w:val="24"/>
        </w:rPr>
        <w:t xml:space="preserve">Navrhovaná úprava reaguje na nariadenie (EÚ) 2024/1624, ktoré harmonizuje pravidlá v oblasti ochrany pred legalizáciou príjmov z trestnej činnosti a financovaním terorizmu na úrovni Európskej únie. Toto nariadenie vychádza z toho, že všeobecný prah pre väčšinu príležitostných </w:t>
      </w:r>
      <w:r w:rsidRPr="23BE041E">
        <w:rPr>
          <w:rFonts w:ascii="Times New Roman" w:hAnsi="Times New Roman"/>
          <w:sz w:val="24"/>
          <w:szCs w:val="24"/>
        </w:rPr>
        <w:lastRenderedPageBreak/>
        <w:t xml:space="preserve">transakcií je 10 000 eur alebo ekvivalent v národnej mene, pričom samotné opatrenia náležitej starostlivosti vo vzťahu ku klientovi upravuje článok 20. </w:t>
      </w:r>
    </w:p>
    <w:p w14:paraId="5F08C817" w14:textId="5609E1DE" w:rsidR="42B6F981" w:rsidRDefault="2E35851B" w:rsidP="6405D0E6">
      <w:pPr>
        <w:spacing w:after="200" w:line="276" w:lineRule="auto"/>
        <w:jc w:val="both"/>
        <w:rPr>
          <w:rFonts w:ascii="Times New Roman" w:hAnsi="Times New Roman"/>
          <w:sz w:val="24"/>
          <w:szCs w:val="24"/>
        </w:rPr>
      </w:pPr>
      <w:r w:rsidRPr="070BDBF9">
        <w:rPr>
          <w:rFonts w:ascii="Times New Roman" w:hAnsi="Times New Roman"/>
          <w:sz w:val="24"/>
          <w:szCs w:val="24"/>
        </w:rPr>
        <w:t xml:space="preserve">Z uvedeného dôvodu sa navrhuje vypustiť z vnútroštátneho ustanovenia pevnú hranicu 15 000 eur, ako aj podrobnú vnútroštátnu úpravu spôsobu zisťovania vlastníctva prostriedkov, a nahradiť ju všeobecným odkazom na osobitné predpisy. Cieľom je zosúladiť vnútroštátnu právnu úpravu s priamo uplatniteľným právom Európskej únie, predísť duplicite právnej úpravy a odstrániť riziko nesúladu medzi vnútroštátnou úpravou a nariadením 2024/1624. </w:t>
      </w:r>
    </w:p>
    <w:p w14:paraId="2ABEB6B0" w14:textId="107526A8" w:rsidR="42B6F981" w:rsidRDefault="2E35851B" w:rsidP="6405D0E6">
      <w:pPr>
        <w:spacing w:after="200" w:line="276" w:lineRule="auto"/>
        <w:jc w:val="both"/>
        <w:rPr>
          <w:rFonts w:ascii="Times New Roman" w:hAnsi="Times New Roman"/>
          <w:sz w:val="24"/>
          <w:szCs w:val="24"/>
        </w:rPr>
      </w:pPr>
      <w:r w:rsidRPr="070BDBF9">
        <w:rPr>
          <w:rFonts w:ascii="Times New Roman" w:hAnsi="Times New Roman"/>
          <w:sz w:val="24"/>
          <w:szCs w:val="24"/>
        </w:rPr>
        <w:t>Súčasne sa navrhuje vypustiť aj doterajšiu osobitnú vnútroštátnu úpravu výnimky pre prípady, keď zisťovanie vlastníctva prostriedkov už vykonal iný obchodník s cennými papiermi alebo finančná inštitúcia. Táto otázka je totiž na úrovni nariadenia 2024/1624 upravená osobitne v ustanoveniach o spoliehaní sa na náležitú starostlivosť vykonanú inými povinnými subjektmi.</w:t>
      </w:r>
    </w:p>
    <w:p w14:paraId="11DB01C0" w14:textId="1F619097" w:rsidR="42B6F981" w:rsidRDefault="2E35851B"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bodom 2, 3, 5 a 7 [poznámky pod čiarou]</w:t>
      </w:r>
    </w:p>
    <w:p w14:paraId="09A751A5" w14:textId="3990BCDF" w:rsidR="42B6F981" w:rsidRDefault="2E35851B" w:rsidP="6405D0E6">
      <w:pPr>
        <w:spacing w:after="0" w:line="276" w:lineRule="auto"/>
        <w:jc w:val="both"/>
        <w:rPr>
          <w:rFonts w:ascii="Times New Roman" w:hAnsi="Times New Roman"/>
          <w:sz w:val="24"/>
          <w:szCs w:val="24"/>
        </w:rPr>
      </w:pPr>
      <w:r w:rsidRPr="070BDBF9">
        <w:rPr>
          <w:rFonts w:ascii="Times New Roman" w:hAnsi="Times New Roman"/>
          <w:sz w:val="24"/>
          <w:szCs w:val="24"/>
        </w:rPr>
        <w:t>Navrhuje sa upraviť príslušné poznámky pod čiarou v nadväznosti na prijatie novej právnej úpravy v oblasti ochrany pred legalizáciou príjmov z trestnej činnosti a financovaním terorizmu, ktorá nahradí doterajší zákon č. 297/2008 Z. z.</w:t>
      </w:r>
    </w:p>
    <w:p w14:paraId="18816186" w14:textId="7C7569B4" w:rsidR="42B6F981" w:rsidRDefault="2E35851B"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09983376" w14:textId="30BD02D2" w:rsidR="42B6F981" w:rsidRDefault="2E35851B" w:rsidP="6405D0E6">
      <w:pPr>
        <w:spacing w:after="200" w:line="276" w:lineRule="auto"/>
        <w:jc w:val="both"/>
        <w:rPr>
          <w:rFonts w:ascii="Times New Roman" w:hAnsi="Times New Roman"/>
          <w:sz w:val="24"/>
          <w:szCs w:val="24"/>
        </w:rPr>
      </w:pPr>
      <w:r w:rsidRPr="070BDBF9">
        <w:rPr>
          <w:rFonts w:ascii="Times New Roman" w:hAnsi="Times New Roman"/>
          <w:sz w:val="24"/>
          <w:szCs w:val="24"/>
        </w:rPr>
        <w:t>Ide o legislatívno-technickú úpravu nadväzujúcu na prijatie novej právnej úpravy v oblasti ochrany pred legalizáciou príjmov z trestnej činnosti a financovaním terorizmu.</w:t>
      </w:r>
    </w:p>
    <w:p w14:paraId="52880CDE" w14:textId="2F173DC6" w:rsidR="42B6F981" w:rsidRDefault="2E35851B"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bodu 4 [§ 99 ods. 17]</w:t>
      </w:r>
    </w:p>
    <w:p w14:paraId="2107F753" w14:textId="112DA351" w:rsidR="42B6F981" w:rsidRDefault="2E35851B" w:rsidP="6405D0E6">
      <w:pPr>
        <w:spacing w:after="0" w:line="276" w:lineRule="auto"/>
        <w:jc w:val="both"/>
        <w:rPr>
          <w:rFonts w:ascii="Times New Roman" w:hAnsi="Times New Roman"/>
          <w:sz w:val="24"/>
          <w:szCs w:val="24"/>
        </w:rPr>
      </w:pPr>
      <w:r w:rsidRPr="070BDBF9">
        <w:rPr>
          <w:rFonts w:ascii="Times New Roman" w:hAnsi="Times New Roman"/>
          <w:sz w:val="24"/>
          <w:szCs w:val="24"/>
        </w:rPr>
        <w:t>Platné znenie ustanovenia upravuje povinnosť centrálneho depozitára zisťovať vlastníctvo prostriedkov použitých klientom na vykonanie obchodu pri každom obchode najmenej v hodnote 15 000 eur a súčasne podrobne upravuje spôsob plnenia tejto povinnosti, vrátane obsahu písomného vyhlásenia klienta, následku nesplnenia tejto povinnosti a osobitnej výnimky pri vybraných pokynoch.</w:t>
      </w:r>
    </w:p>
    <w:p w14:paraId="678A9BFE" w14:textId="579DA0B6" w:rsidR="42B6F981" w:rsidRDefault="2E35851B"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679DEC93" w14:textId="23093A4D" w:rsidR="42B6F981" w:rsidRDefault="04F05295" w:rsidP="6405D0E6">
      <w:pPr>
        <w:spacing w:after="0" w:line="276" w:lineRule="auto"/>
        <w:jc w:val="both"/>
        <w:rPr>
          <w:rFonts w:ascii="Times New Roman" w:hAnsi="Times New Roman"/>
          <w:sz w:val="24"/>
          <w:szCs w:val="24"/>
        </w:rPr>
      </w:pPr>
      <w:r w:rsidRPr="23BE041E">
        <w:rPr>
          <w:rFonts w:ascii="Times New Roman" w:hAnsi="Times New Roman"/>
          <w:sz w:val="24"/>
          <w:szCs w:val="24"/>
        </w:rPr>
        <w:t xml:space="preserve">Navrhovaná úprava reaguje na nariadenie (EÚ) 2024/1624, ktoré harmonizuje pravidlá v oblasti ochrany pred legalizáciou príjmov z trestnej činnosti a financovaním terorizmu na úrovni Európskej únie. Toto nariadenie vychádza z toho, že opatrenia náležitej starostlivosti vo vzťahu ku klientovi sa uplatňujú aj pri vykonávaní príležitostnej transakcie v hodnote aspoň 10 000 eur alebo prostredníctvom prepojených transakcií, pričom samotné opatrenia náležitej starostlivosti upravuje článok 20. </w:t>
      </w:r>
    </w:p>
    <w:p w14:paraId="06F6E976" w14:textId="6A18A052" w:rsidR="42B6F981" w:rsidRDefault="2E35851B"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482A9B8D" w14:textId="30E26301" w:rsidR="42B6F981" w:rsidRDefault="2E35851B" w:rsidP="6405D0E6">
      <w:pPr>
        <w:spacing w:after="0" w:line="276" w:lineRule="auto"/>
        <w:jc w:val="both"/>
        <w:rPr>
          <w:rFonts w:ascii="Times New Roman" w:hAnsi="Times New Roman"/>
          <w:sz w:val="24"/>
          <w:szCs w:val="24"/>
        </w:rPr>
      </w:pPr>
      <w:r w:rsidRPr="070BDBF9">
        <w:rPr>
          <w:rFonts w:ascii="Times New Roman" w:hAnsi="Times New Roman"/>
          <w:sz w:val="24"/>
          <w:szCs w:val="24"/>
        </w:rPr>
        <w:t xml:space="preserve">Z uvedeného dôvodu sa navrhuje vypustiť z vnútroštátneho ustanovenia pevnú hranicu 15 000 eur, ako aj podrobnú vnútroštátnu úpravu spôsobu zisťovania vlastníctva prostriedkov, a nahradiť ju všeobecným odkazom na osobitné predpisy. Cieľom je zosúladiť vnútroštátnu právnu úpravu s priamo uplatniteľným právom Európskej únie, predísť duplicite právnej úpravy a odstrániť riziko nesúladu medzi vnútroštátnou úpravou a nariadením (EÚ) 2024/1624. </w:t>
      </w:r>
    </w:p>
    <w:p w14:paraId="188BCE09" w14:textId="6C10DE53" w:rsidR="42B6F981" w:rsidRDefault="2E35851B"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5A1350FF" w14:textId="70829327" w:rsidR="42B6F981" w:rsidRDefault="2E35851B" w:rsidP="6405D0E6">
      <w:pPr>
        <w:spacing w:after="0" w:line="276" w:lineRule="auto"/>
        <w:jc w:val="both"/>
        <w:rPr>
          <w:rFonts w:ascii="Times New Roman" w:hAnsi="Times New Roman"/>
          <w:sz w:val="24"/>
          <w:szCs w:val="24"/>
        </w:rPr>
      </w:pPr>
      <w:r w:rsidRPr="070BDBF9">
        <w:rPr>
          <w:rFonts w:ascii="Times New Roman" w:hAnsi="Times New Roman"/>
          <w:sz w:val="24"/>
          <w:szCs w:val="24"/>
        </w:rPr>
        <w:t xml:space="preserve">Súčasne sa navrhuje zachovať doterajšiu osobitnú výnimku pre pokyn na registráciu prevodu zaknihovaných cenných papierov podľa § 24 a 25 a pre pokyny členov a burzy cenných papierov týkajúce sa zúčtovania a vyrovnania obchodov s inými finančnými nástrojmi, a to z </w:t>
      </w:r>
      <w:r w:rsidRPr="070BDBF9">
        <w:rPr>
          <w:rFonts w:ascii="Times New Roman" w:hAnsi="Times New Roman"/>
          <w:sz w:val="24"/>
          <w:szCs w:val="24"/>
        </w:rPr>
        <w:lastRenderedPageBreak/>
        <w:t>dôvodu zachovania osobitostí režimu centrálneho depozitára. Zachovanie tejto výnimky je však viazané klauzulou „ak osobitné predpisy neustanovujú inak“, aby nebola dotknutá priama uplatniteľnosť práva Európskej únie.</w:t>
      </w:r>
    </w:p>
    <w:p w14:paraId="3B145645" w14:textId="232BF67C" w:rsidR="42B6F981" w:rsidRPr="00512478" w:rsidRDefault="2E35851B" w:rsidP="6405D0E6">
      <w:pPr>
        <w:spacing w:after="0" w:line="276" w:lineRule="auto"/>
        <w:ind w:left="284"/>
        <w:jc w:val="both"/>
        <w:rPr>
          <w:rFonts w:ascii="Times New Roman" w:hAnsi="Times New Roman"/>
          <w:sz w:val="24"/>
          <w:szCs w:val="24"/>
        </w:rPr>
      </w:pPr>
      <w:r w:rsidRPr="00512478">
        <w:rPr>
          <w:rFonts w:ascii="Times New Roman" w:hAnsi="Times New Roman"/>
          <w:sz w:val="24"/>
          <w:szCs w:val="24"/>
        </w:rPr>
        <w:t xml:space="preserve"> </w:t>
      </w:r>
    </w:p>
    <w:p w14:paraId="1A7F4C07" w14:textId="4E5A1E0C" w:rsidR="42B6F981" w:rsidRDefault="2E35851B"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bodu 6</w:t>
      </w:r>
    </w:p>
    <w:p w14:paraId="0E4A0065" w14:textId="78D9AF42" w:rsidR="42B6F981" w:rsidRDefault="2E35851B" w:rsidP="6405D0E6">
      <w:pPr>
        <w:spacing w:after="0"/>
        <w:jc w:val="both"/>
        <w:rPr>
          <w:rFonts w:ascii="Times New Roman" w:hAnsi="Times New Roman"/>
          <w:sz w:val="24"/>
          <w:szCs w:val="24"/>
        </w:rPr>
      </w:pPr>
      <w:r w:rsidRPr="070BDBF9">
        <w:rPr>
          <w:rFonts w:ascii="Times New Roman" w:hAnsi="Times New Roman"/>
          <w:sz w:val="24"/>
          <w:szCs w:val="24"/>
        </w:rPr>
        <w:t>Ide o legislatívnu úpravu v nadväznosti na prijatie novej právnej úpravy v oblasti ochrany pred legalizáciou príjmov z trestnej činnosti a financovaním terorizmu, ktorá nahradí doterajší zákon č. 297/2008 Z. z.</w:t>
      </w:r>
    </w:p>
    <w:p w14:paraId="35AE8D1B" w14:textId="36D16C6F" w:rsidR="6405D0E6" w:rsidRDefault="6405D0E6" w:rsidP="070BDBF9">
      <w:pPr>
        <w:spacing w:after="0"/>
        <w:jc w:val="both"/>
        <w:rPr>
          <w:rFonts w:ascii="Times New Roman" w:hAnsi="Times New Roman"/>
          <w:sz w:val="24"/>
          <w:szCs w:val="24"/>
        </w:rPr>
      </w:pPr>
    </w:p>
    <w:p w14:paraId="566EDC54" w14:textId="66164CB3" w:rsidR="72730099" w:rsidRDefault="0B18BEEA" w:rsidP="070BDBF9">
      <w:pPr>
        <w:spacing w:after="120" w:line="276" w:lineRule="auto"/>
        <w:jc w:val="center"/>
        <w:rPr>
          <w:rFonts w:ascii="Times New Roman" w:hAnsi="Times New Roman"/>
          <w:b/>
          <w:bCs/>
          <w:sz w:val="24"/>
          <w:szCs w:val="24"/>
        </w:rPr>
      </w:pPr>
      <w:r w:rsidRPr="070BDBF9">
        <w:rPr>
          <w:rFonts w:ascii="Times New Roman" w:hAnsi="Times New Roman"/>
          <w:b/>
          <w:bCs/>
          <w:sz w:val="24"/>
          <w:szCs w:val="24"/>
        </w:rPr>
        <w:t>Čl. IX</w:t>
      </w:r>
    </w:p>
    <w:p w14:paraId="60B785B3" w14:textId="45DA9DFE" w:rsidR="72730099" w:rsidRDefault="0B18BEEA" w:rsidP="070BDBF9">
      <w:pPr>
        <w:spacing w:after="0"/>
        <w:jc w:val="center"/>
        <w:rPr>
          <w:rFonts w:ascii="Times New Roman" w:hAnsi="Times New Roman"/>
          <w:b/>
          <w:bCs/>
          <w:sz w:val="24"/>
          <w:szCs w:val="24"/>
        </w:rPr>
      </w:pPr>
      <w:r w:rsidRPr="070BDBF9">
        <w:rPr>
          <w:rFonts w:ascii="Times New Roman" w:hAnsi="Times New Roman"/>
          <w:b/>
          <w:bCs/>
          <w:sz w:val="24"/>
          <w:szCs w:val="24"/>
        </w:rPr>
        <w:t>Zákon č. 429/2002 Z. z. o burze cenných papierov</w:t>
      </w:r>
    </w:p>
    <w:p w14:paraId="0A408EC1" w14:textId="5D68C09F" w:rsidR="6405D0E6" w:rsidRDefault="6405D0E6" w:rsidP="070BDBF9">
      <w:pPr>
        <w:spacing w:after="0"/>
        <w:jc w:val="both"/>
        <w:rPr>
          <w:rFonts w:ascii="Times New Roman" w:hAnsi="Times New Roman"/>
          <w:sz w:val="24"/>
          <w:szCs w:val="24"/>
        </w:rPr>
      </w:pPr>
    </w:p>
    <w:p w14:paraId="15E52C64" w14:textId="0C7AC8AB" w:rsidR="72730099" w:rsidRDefault="0B18BEEA"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K bodom 1 a 3 [Poznámky pod čiarou] </w:t>
      </w:r>
    </w:p>
    <w:p w14:paraId="366E577A" w14:textId="5FE899B3" w:rsidR="72730099" w:rsidRDefault="0B18BEEA" w:rsidP="6405D0E6">
      <w:pPr>
        <w:spacing w:after="0" w:line="276" w:lineRule="auto"/>
        <w:jc w:val="both"/>
        <w:rPr>
          <w:rFonts w:ascii="Times New Roman" w:hAnsi="Times New Roman"/>
          <w:sz w:val="24"/>
          <w:szCs w:val="24"/>
        </w:rPr>
      </w:pPr>
      <w:r w:rsidRPr="070BDBF9">
        <w:rPr>
          <w:rFonts w:ascii="Times New Roman" w:hAnsi="Times New Roman"/>
          <w:sz w:val="24"/>
          <w:szCs w:val="24"/>
        </w:rPr>
        <w:t>Navrhuje sa upraviť príslušné poznámky pod čiarou v nadväznosti na prijatie novej právnej úpravy v oblasti ochrany pred legalizáciou príjmov z trestnej činnosti a financovaním terorizmu, ktorá nahradí doterajší zákon č. 297/2008 Z. z.</w:t>
      </w:r>
    </w:p>
    <w:p w14:paraId="67A7AFF2" w14:textId="3C60D295" w:rsidR="72730099" w:rsidRDefault="0B18BEEA"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6033A206" w14:textId="2DABB46F" w:rsidR="72730099" w:rsidRDefault="0B18BEEA" w:rsidP="6405D0E6">
      <w:pPr>
        <w:spacing w:after="0" w:line="276" w:lineRule="auto"/>
        <w:jc w:val="both"/>
        <w:rPr>
          <w:rFonts w:ascii="Times New Roman" w:hAnsi="Times New Roman"/>
          <w:sz w:val="24"/>
          <w:szCs w:val="24"/>
        </w:rPr>
      </w:pPr>
      <w:r w:rsidRPr="070BDBF9">
        <w:rPr>
          <w:rFonts w:ascii="Times New Roman" w:hAnsi="Times New Roman"/>
          <w:sz w:val="24"/>
          <w:szCs w:val="24"/>
        </w:rPr>
        <w:t>Ide o legislatívno-technickú úpravu nadväzujúcu na prijatie novej právnej úpravy v oblasti ochrany pred legalizáciou príjmov z trestnej činnosti a financovaním terorizmu.</w:t>
      </w:r>
    </w:p>
    <w:p w14:paraId="1D5622B3" w14:textId="7CB9F107" w:rsidR="72730099" w:rsidRDefault="0B18BEEA" w:rsidP="6405D0E6">
      <w:pPr>
        <w:spacing w:after="0" w:line="276" w:lineRule="auto"/>
        <w:ind w:left="284"/>
        <w:jc w:val="both"/>
        <w:rPr>
          <w:rFonts w:ascii="Times New Roman" w:hAnsi="Times New Roman"/>
          <w:b/>
          <w:bCs/>
          <w:sz w:val="24"/>
          <w:szCs w:val="24"/>
        </w:rPr>
      </w:pPr>
      <w:r w:rsidRPr="070BDBF9">
        <w:rPr>
          <w:rFonts w:ascii="Times New Roman" w:hAnsi="Times New Roman"/>
          <w:b/>
          <w:bCs/>
          <w:sz w:val="24"/>
          <w:szCs w:val="24"/>
        </w:rPr>
        <w:t xml:space="preserve"> </w:t>
      </w:r>
    </w:p>
    <w:p w14:paraId="72FE1370" w14:textId="66A16493" w:rsidR="72730099" w:rsidRDefault="0B18BEEA"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bodu 2 [§ 14 ods. 1]</w:t>
      </w:r>
    </w:p>
    <w:p w14:paraId="3B43B9CF" w14:textId="5FB8BEE1" w:rsidR="72730099" w:rsidRDefault="7A6330FA" w:rsidP="6405D0E6">
      <w:pPr>
        <w:spacing w:after="0" w:line="276" w:lineRule="auto"/>
        <w:jc w:val="both"/>
        <w:rPr>
          <w:rFonts w:ascii="Times New Roman" w:hAnsi="Times New Roman"/>
          <w:sz w:val="24"/>
          <w:szCs w:val="24"/>
        </w:rPr>
      </w:pPr>
      <w:r w:rsidRPr="23BE041E">
        <w:rPr>
          <w:rFonts w:ascii="Times New Roman" w:hAnsi="Times New Roman"/>
          <w:sz w:val="24"/>
          <w:szCs w:val="24"/>
        </w:rPr>
        <w:t>Navrhovanou úpravou sa vypúšťa požiadavka, aby stanovy burzy cenných papierov upravovali právomoci a zodpovednosť osôb zodpovedných za ochranu pred legalizáciou príjmov z trestnej činnosti a financovaním terorizmu. Navrhovaná úprava reaguje na nariadenie (EÚ) 2024/1624, podľa ktorého burza cenných papierov nepatrí medzi povinné osoby. Súčasne sa nevyužíva národná voľba podľa článku 3 smernice (EÚ) 2024/1640, na základe ktorej by bolo možné rozšíriť pôsobnosť nariadenia (EÚ) 2024/1624 aj na burzu cenných papierov. Z uvedeného dôvodu sa predmetná požiadavka stáva nadbytočnou.</w:t>
      </w:r>
    </w:p>
    <w:p w14:paraId="1EF69EB2" w14:textId="71A8C8F6" w:rsidR="72730099" w:rsidRDefault="0B18BEEA" w:rsidP="6405D0E6">
      <w:pPr>
        <w:spacing w:after="0" w:line="276" w:lineRule="auto"/>
        <w:ind w:left="284"/>
        <w:jc w:val="both"/>
        <w:rPr>
          <w:rFonts w:ascii="Times New Roman" w:hAnsi="Times New Roman"/>
          <w:b/>
          <w:bCs/>
          <w:sz w:val="24"/>
          <w:szCs w:val="24"/>
        </w:rPr>
      </w:pPr>
      <w:r w:rsidRPr="070BDBF9">
        <w:rPr>
          <w:rFonts w:ascii="Times New Roman" w:hAnsi="Times New Roman"/>
          <w:b/>
          <w:bCs/>
          <w:sz w:val="24"/>
          <w:szCs w:val="24"/>
        </w:rPr>
        <w:t xml:space="preserve"> </w:t>
      </w:r>
    </w:p>
    <w:p w14:paraId="3E2489D2" w14:textId="0291F1FD" w:rsidR="72730099" w:rsidRDefault="0B18BEEA"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bodu 4 [§ 18 ods. 1 písm. h)]</w:t>
      </w:r>
    </w:p>
    <w:p w14:paraId="3B41EDCA" w14:textId="30F06F50" w:rsidR="72730099" w:rsidRDefault="7A6330FA" w:rsidP="6405D0E6">
      <w:pPr>
        <w:spacing w:after="0" w:line="276" w:lineRule="auto"/>
        <w:jc w:val="both"/>
        <w:rPr>
          <w:rFonts w:ascii="Times New Roman" w:hAnsi="Times New Roman"/>
          <w:sz w:val="24"/>
          <w:szCs w:val="24"/>
        </w:rPr>
      </w:pPr>
      <w:r w:rsidRPr="23BE041E">
        <w:rPr>
          <w:rFonts w:ascii="Times New Roman" w:hAnsi="Times New Roman"/>
          <w:sz w:val="24"/>
          <w:szCs w:val="24"/>
        </w:rPr>
        <w:t>Navrhuje sa vypustiť písmeno h), podľa ktorého burzové pravidlá obsahujú aj spôsob plnenia povinností burzy ako povinnej osoby podľa osobitného predpisu. Navrhovaná úprava nadväzuje na nariadenie (EÚ) 2024/1624, podľa ktorého burza cenných papierov nepatrí medzi povinné osoby. Z uvedeného dôvodu sa požiadavka, aby burzové pravidlá upravovali spôsob plnenia povinností burzy ako povinnej osoby podľa osobitného predpisu, stáva nadbytočnou.</w:t>
      </w:r>
    </w:p>
    <w:p w14:paraId="435B91DF" w14:textId="7F7154F8" w:rsidR="72730099" w:rsidRDefault="0B18BEEA" w:rsidP="6405D0E6">
      <w:pPr>
        <w:spacing w:after="0" w:line="276" w:lineRule="auto"/>
        <w:ind w:left="284"/>
        <w:jc w:val="both"/>
        <w:rPr>
          <w:rFonts w:ascii="Times New Roman" w:hAnsi="Times New Roman"/>
          <w:b/>
          <w:bCs/>
          <w:sz w:val="24"/>
          <w:szCs w:val="24"/>
        </w:rPr>
      </w:pPr>
      <w:r w:rsidRPr="070BDBF9">
        <w:rPr>
          <w:rFonts w:ascii="Times New Roman" w:hAnsi="Times New Roman"/>
          <w:b/>
          <w:bCs/>
          <w:sz w:val="24"/>
          <w:szCs w:val="24"/>
        </w:rPr>
        <w:t xml:space="preserve"> </w:t>
      </w:r>
    </w:p>
    <w:p w14:paraId="6D0D7154" w14:textId="5FB3F4A4" w:rsidR="72730099" w:rsidRDefault="0B18BEEA"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bodom 5 a 6</w:t>
      </w:r>
    </w:p>
    <w:p w14:paraId="5E79326F" w14:textId="432F5F9B" w:rsidR="72730099" w:rsidRDefault="0B18BEEA" w:rsidP="6405D0E6">
      <w:pPr>
        <w:spacing w:after="0"/>
        <w:jc w:val="both"/>
        <w:rPr>
          <w:rFonts w:ascii="Times New Roman" w:hAnsi="Times New Roman"/>
          <w:sz w:val="24"/>
          <w:szCs w:val="24"/>
        </w:rPr>
      </w:pPr>
      <w:r w:rsidRPr="070BDBF9">
        <w:rPr>
          <w:rFonts w:ascii="Times New Roman" w:hAnsi="Times New Roman"/>
          <w:sz w:val="24"/>
          <w:szCs w:val="24"/>
        </w:rPr>
        <w:t>Ide o úpravu vnútorných odkazov v nadväznosti na zmenu vykonanú v bode 4.</w:t>
      </w:r>
    </w:p>
    <w:p w14:paraId="2686CE6C" w14:textId="402C1560" w:rsidR="6405D0E6" w:rsidRDefault="6405D0E6" w:rsidP="070BDBF9">
      <w:pPr>
        <w:spacing w:after="0"/>
        <w:jc w:val="center"/>
        <w:rPr>
          <w:rFonts w:ascii="Times New Roman" w:hAnsi="Times New Roman"/>
          <w:b/>
          <w:bCs/>
          <w:sz w:val="24"/>
          <w:szCs w:val="24"/>
          <w:u w:val="single"/>
        </w:rPr>
      </w:pPr>
    </w:p>
    <w:p w14:paraId="40092EE5" w14:textId="07A8E081" w:rsidR="72730099" w:rsidRDefault="0B18BEEA" w:rsidP="070BDBF9">
      <w:pPr>
        <w:spacing w:after="0"/>
        <w:jc w:val="center"/>
        <w:rPr>
          <w:rFonts w:ascii="Times New Roman" w:hAnsi="Times New Roman"/>
          <w:b/>
          <w:bCs/>
          <w:sz w:val="24"/>
          <w:szCs w:val="24"/>
        </w:rPr>
      </w:pPr>
      <w:r w:rsidRPr="070BDBF9">
        <w:rPr>
          <w:rFonts w:ascii="Times New Roman" w:hAnsi="Times New Roman"/>
          <w:b/>
          <w:bCs/>
          <w:sz w:val="24"/>
          <w:szCs w:val="24"/>
        </w:rPr>
        <w:t>Čl. X</w:t>
      </w:r>
    </w:p>
    <w:p w14:paraId="11A79EF1" w14:textId="325AB6F6" w:rsidR="6405D0E6" w:rsidRDefault="6405D0E6" w:rsidP="070BDBF9">
      <w:pPr>
        <w:spacing w:after="0"/>
        <w:jc w:val="center"/>
        <w:rPr>
          <w:rFonts w:ascii="Times New Roman" w:hAnsi="Times New Roman"/>
          <w:b/>
          <w:bCs/>
          <w:sz w:val="24"/>
          <w:szCs w:val="24"/>
          <w:u w:val="single"/>
        </w:rPr>
      </w:pPr>
    </w:p>
    <w:p w14:paraId="3087E275" w14:textId="6FCAADCE" w:rsidR="72730099" w:rsidRDefault="0B18BEEA" w:rsidP="070BDBF9">
      <w:pPr>
        <w:spacing w:after="0"/>
        <w:jc w:val="center"/>
        <w:rPr>
          <w:rFonts w:ascii="Times New Roman" w:hAnsi="Times New Roman"/>
          <w:b/>
          <w:bCs/>
          <w:sz w:val="24"/>
          <w:szCs w:val="24"/>
        </w:rPr>
      </w:pPr>
      <w:r w:rsidRPr="070BDBF9">
        <w:rPr>
          <w:rFonts w:ascii="Times New Roman" w:hAnsi="Times New Roman"/>
          <w:b/>
          <w:bCs/>
          <w:sz w:val="24"/>
          <w:szCs w:val="24"/>
        </w:rPr>
        <w:t xml:space="preserve">Zákon č. </w:t>
      </w:r>
      <w:hyperlink r:id="rId11">
        <w:r w:rsidRPr="070BDBF9">
          <w:rPr>
            <w:rFonts w:ascii="Times New Roman" w:hAnsi="Times New Roman"/>
            <w:b/>
            <w:bCs/>
            <w:sz w:val="24"/>
            <w:szCs w:val="24"/>
          </w:rPr>
          <w:t>586/2003 Z. z.</w:t>
        </w:r>
      </w:hyperlink>
      <w:r w:rsidRPr="070BDBF9">
        <w:rPr>
          <w:rFonts w:ascii="Times New Roman" w:hAnsi="Times New Roman"/>
          <w:b/>
          <w:bCs/>
          <w:sz w:val="24"/>
          <w:szCs w:val="24"/>
        </w:rPr>
        <w:t xml:space="preserve"> o advokácii</w:t>
      </w:r>
    </w:p>
    <w:p w14:paraId="6FA88FA8" w14:textId="0AE3D0A5" w:rsidR="6405D0E6" w:rsidRDefault="6405D0E6" w:rsidP="070BDBF9">
      <w:pPr>
        <w:spacing w:after="0"/>
        <w:jc w:val="center"/>
        <w:rPr>
          <w:rFonts w:ascii="Times New Roman" w:hAnsi="Times New Roman"/>
          <w:b/>
          <w:bCs/>
          <w:sz w:val="24"/>
          <w:szCs w:val="24"/>
          <w:u w:val="single"/>
        </w:rPr>
      </w:pPr>
    </w:p>
    <w:p w14:paraId="143E8390" w14:textId="7C2B995E" w:rsidR="6405D0E6" w:rsidRDefault="59871769" w:rsidP="23BE041E">
      <w:pPr>
        <w:spacing w:after="0"/>
        <w:jc w:val="both"/>
      </w:pPr>
      <w:r w:rsidRPr="23BE041E">
        <w:rPr>
          <w:rFonts w:ascii="Times New Roman" w:hAnsi="Times New Roman"/>
          <w:sz w:val="24"/>
          <w:szCs w:val="24"/>
        </w:rPr>
        <w:lastRenderedPageBreak/>
        <w:t>Navrhovaným ustanovením sa transponuje čl. 56 ods. 2 písm. f) smernice (EÚ) 2024/1640, podľa ktorého musia mať orgány dohľadu právomoc odňať povolenie na vykonávanie činnosti subjektu, nad ktorým vykonávajú dohľad, ak tento subjekt porušuje povinnosti ustanovené v nariadení (EÚ) 2024/1624, má nedostatky vo vnútorných politikách, postupoch a kontrolách, alebo jeho vnútorné politiky, postupy a kontroly nie sú úmerné rizikám ML/TF.</w:t>
      </w:r>
    </w:p>
    <w:p w14:paraId="74CEB3ED" w14:textId="6E1DE035" w:rsidR="6405D0E6" w:rsidRDefault="6405D0E6" w:rsidP="23BE041E">
      <w:pPr>
        <w:spacing w:after="0"/>
        <w:jc w:val="both"/>
        <w:rPr>
          <w:rFonts w:ascii="Times New Roman" w:hAnsi="Times New Roman"/>
          <w:sz w:val="24"/>
          <w:szCs w:val="24"/>
        </w:rPr>
      </w:pPr>
    </w:p>
    <w:p w14:paraId="7C5B671E" w14:textId="5B323B36" w:rsidR="6405D0E6" w:rsidRDefault="59871769" w:rsidP="23BE041E">
      <w:pPr>
        <w:spacing w:after="0"/>
        <w:jc w:val="both"/>
        <w:rPr>
          <w:rFonts w:ascii="Times New Roman" w:hAnsi="Times New Roman"/>
          <w:sz w:val="24"/>
          <w:szCs w:val="24"/>
        </w:rPr>
      </w:pPr>
      <w:r w:rsidRPr="23BE041E">
        <w:rPr>
          <w:rFonts w:ascii="Times New Roman" w:hAnsi="Times New Roman"/>
          <w:sz w:val="24"/>
          <w:szCs w:val="24"/>
        </w:rPr>
        <w:t>Keďže FSJ nie je vo vzťahu k povinným osobám, nad ktorými vykonáva dohľad v AML/CFT oblasti zároveň orgánom oprávneným rozhodovať o odňatí oprávnenia na vykonávanie ich činnosti, navrhuje sa upraviť osobitný mechanizmus uplatňovania tejto právomoci.</w:t>
      </w:r>
    </w:p>
    <w:p w14:paraId="20670CAF" w14:textId="7590131F" w:rsidR="6405D0E6" w:rsidRDefault="59871769" w:rsidP="23BE041E">
      <w:pPr>
        <w:spacing w:after="0"/>
        <w:jc w:val="both"/>
      </w:pPr>
      <w:r w:rsidRPr="23BE041E">
        <w:rPr>
          <w:rFonts w:ascii="Times New Roman" w:hAnsi="Times New Roman"/>
          <w:sz w:val="24"/>
          <w:szCs w:val="24"/>
        </w:rPr>
        <w:t>Samotnému rozhodnutiu o odobratí oprávnenia na podnikateľskú alebo inú samostatnú zárobkovú činnosť však bude predchádzať viacero krokov.</w:t>
      </w:r>
    </w:p>
    <w:p w14:paraId="70CC7575" w14:textId="2083FD4B" w:rsidR="6405D0E6" w:rsidRDefault="59871769" w:rsidP="23BE041E">
      <w:pPr>
        <w:spacing w:after="0"/>
        <w:jc w:val="both"/>
      </w:pPr>
      <w:r w:rsidRPr="23BE041E">
        <w:rPr>
          <w:rFonts w:ascii="Times New Roman" w:hAnsi="Times New Roman"/>
          <w:sz w:val="24"/>
          <w:szCs w:val="24"/>
        </w:rPr>
        <w:t>Na začiatku musí FSJ v rámci vykonávaného dohľadu zistiť, že povinná osoba neplní alebo porušuje niektorú z povinností upravených v § 54 ods. 1 písm. a) až c). FSJ v rozhodnutí o uložení administratívneho opatrenia určí lehotu na jeho splnenie. V prípade, ak povinná osoba v stanovenej lehote administratívne opatrenie nesplní, FSJ uloží povinnej osobe penále, ktoré môže byť určené na obdobie najviac šesť mesiacov, ktorého cieľom je vynútenie si splnenia administratívneho opatrenia. Ak povinná osoba ani po uplynutí tejto lehoty administratívne opatrenie nesplní, FSJ jej uloží dodatočné penále, taktiež najviac na dobu šesť mesiacov.</w:t>
      </w:r>
    </w:p>
    <w:p w14:paraId="39002CC6" w14:textId="41D4DA06" w:rsidR="6405D0E6" w:rsidRDefault="59871769" w:rsidP="23BE041E">
      <w:pPr>
        <w:spacing w:after="0"/>
        <w:jc w:val="both"/>
      </w:pPr>
      <w:r w:rsidRPr="23BE041E">
        <w:rPr>
          <w:rFonts w:ascii="Times New Roman" w:hAnsi="Times New Roman"/>
          <w:sz w:val="24"/>
          <w:szCs w:val="24"/>
        </w:rPr>
        <w:t>V prípade, ak povinná osoba ani po uplynutí doby, na ktorú jej bolo uložené dodatočné penále, administratívne opatrenie nesplní, FSJ rozhodne o odobratí oprávnenia na podnikateľskú alebo inú samostatnú zárobkovú činnosť.</w:t>
      </w:r>
    </w:p>
    <w:p w14:paraId="229B65C0" w14:textId="70302B56" w:rsidR="6405D0E6" w:rsidRDefault="6405D0E6" w:rsidP="23BE041E">
      <w:pPr>
        <w:spacing w:after="0"/>
        <w:jc w:val="both"/>
        <w:rPr>
          <w:rFonts w:ascii="Times New Roman" w:hAnsi="Times New Roman"/>
          <w:sz w:val="24"/>
          <w:szCs w:val="24"/>
        </w:rPr>
      </w:pPr>
    </w:p>
    <w:p w14:paraId="69CDB7E3" w14:textId="3E8AC429" w:rsidR="6405D0E6" w:rsidRDefault="5D3AEF2F" w:rsidP="23BE041E">
      <w:pPr>
        <w:spacing w:after="0"/>
        <w:jc w:val="both"/>
        <w:rPr>
          <w:rFonts w:ascii="Times New Roman" w:hAnsi="Times New Roman"/>
          <w:sz w:val="24"/>
          <w:szCs w:val="24"/>
        </w:rPr>
      </w:pPr>
      <w:r w:rsidRPr="23BE041E">
        <w:rPr>
          <w:rFonts w:ascii="Times New Roman" w:hAnsi="Times New Roman"/>
          <w:sz w:val="24"/>
          <w:szCs w:val="24"/>
        </w:rPr>
        <w:t xml:space="preserve">V prípade, ak povinná osoba má oprávnenie na vykonávanie viacerých činností, na základe ktorých je zaradená medzi povinné osoby, administratívne opatrenie o odobratí oprávnenia sa bude vzťahovať iba na tú činnosť, pri vykonávaní ktorej </w:t>
      </w:r>
      <w:r w:rsidR="6C29E109" w:rsidRPr="23BE041E">
        <w:rPr>
          <w:rFonts w:ascii="Times New Roman" w:hAnsi="Times New Roman"/>
          <w:sz w:val="24"/>
          <w:szCs w:val="24"/>
        </w:rPr>
        <w:t xml:space="preserve">povinná osoba </w:t>
      </w:r>
      <w:r w:rsidRPr="23BE041E">
        <w:rPr>
          <w:rFonts w:ascii="Times New Roman" w:hAnsi="Times New Roman"/>
          <w:sz w:val="24"/>
          <w:szCs w:val="24"/>
        </w:rPr>
        <w:t>porušil</w:t>
      </w:r>
      <w:r w:rsidR="11C1808F" w:rsidRPr="23BE041E">
        <w:rPr>
          <w:rFonts w:ascii="Times New Roman" w:hAnsi="Times New Roman"/>
          <w:sz w:val="24"/>
          <w:szCs w:val="24"/>
        </w:rPr>
        <w:t>a</w:t>
      </w:r>
      <w:r w:rsidRPr="23BE041E">
        <w:rPr>
          <w:rFonts w:ascii="Times New Roman" w:hAnsi="Times New Roman"/>
          <w:sz w:val="24"/>
          <w:szCs w:val="24"/>
        </w:rPr>
        <w:t xml:space="preserve"> AML/CFT legislatívu.</w:t>
      </w:r>
    </w:p>
    <w:p w14:paraId="69586648" w14:textId="5D9F6540" w:rsidR="6405D0E6" w:rsidRDefault="6405D0E6" w:rsidP="23BE041E">
      <w:pPr>
        <w:spacing w:after="0"/>
        <w:jc w:val="both"/>
        <w:rPr>
          <w:rFonts w:ascii="Times New Roman" w:hAnsi="Times New Roman"/>
          <w:sz w:val="24"/>
          <w:szCs w:val="24"/>
        </w:rPr>
      </w:pPr>
    </w:p>
    <w:p w14:paraId="2D87F074" w14:textId="3AE1DC97" w:rsidR="6405D0E6" w:rsidRDefault="59871769" w:rsidP="23BE041E">
      <w:pPr>
        <w:spacing w:after="0"/>
        <w:jc w:val="both"/>
        <w:rPr>
          <w:rFonts w:ascii="Times New Roman" w:hAnsi="Times New Roman"/>
          <w:sz w:val="24"/>
          <w:szCs w:val="24"/>
        </w:rPr>
      </w:pPr>
      <w:r w:rsidRPr="23BE041E">
        <w:rPr>
          <w:rFonts w:ascii="Times New Roman" w:hAnsi="Times New Roman"/>
          <w:sz w:val="24"/>
          <w:szCs w:val="24"/>
        </w:rPr>
        <w:t xml:space="preserve">Právoplatné rozhodnutie o uložení administratívneho opatrenia spočívajúce v odobratí </w:t>
      </w:r>
      <w:r w:rsidR="15977A88" w:rsidRPr="23BE041E">
        <w:rPr>
          <w:rFonts w:ascii="Times New Roman" w:hAnsi="Times New Roman"/>
          <w:sz w:val="24"/>
          <w:szCs w:val="24"/>
        </w:rPr>
        <w:t>oprávnenia na podnikateľskú alebo inú samostatnú zárobkovú činnosť</w:t>
      </w:r>
      <w:r w:rsidRPr="23BE041E">
        <w:rPr>
          <w:rFonts w:ascii="Times New Roman" w:hAnsi="Times New Roman"/>
          <w:sz w:val="24"/>
          <w:szCs w:val="24"/>
        </w:rPr>
        <w:t>, zašle FSJ do 10 pracovných dní komore. Komora následne</w:t>
      </w:r>
      <w:r w:rsidR="1B4FCF47" w:rsidRPr="23BE041E">
        <w:rPr>
          <w:rFonts w:ascii="Times New Roman" w:hAnsi="Times New Roman"/>
          <w:sz w:val="24"/>
          <w:szCs w:val="24"/>
        </w:rPr>
        <w:t xml:space="preserve"> advokáta vyčiarkne zo zoznamu advokátov a túto skutočnosť oznámi FSJ do 30 dní.</w:t>
      </w:r>
    </w:p>
    <w:p w14:paraId="2C07C905" w14:textId="38A52B70" w:rsidR="6405D0E6" w:rsidRDefault="6405D0E6" w:rsidP="6405D0E6">
      <w:pPr>
        <w:spacing w:after="0"/>
        <w:jc w:val="center"/>
        <w:rPr>
          <w:rFonts w:ascii="Times New Roman" w:hAnsi="Times New Roman"/>
          <w:b/>
          <w:bCs/>
          <w:sz w:val="24"/>
          <w:szCs w:val="24"/>
        </w:rPr>
      </w:pPr>
    </w:p>
    <w:p w14:paraId="65DBF0F1" w14:textId="1E111084" w:rsidR="72730099" w:rsidRDefault="0B18BEEA" w:rsidP="070BDBF9">
      <w:pPr>
        <w:spacing w:after="0"/>
        <w:jc w:val="center"/>
        <w:rPr>
          <w:rFonts w:ascii="Times New Roman" w:hAnsi="Times New Roman"/>
          <w:b/>
          <w:bCs/>
          <w:sz w:val="24"/>
          <w:szCs w:val="24"/>
        </w:rPr>
      </w:pPr>
      <w:r w:rsidRPr="070BDBF9">
        <w:rPr>
          <w:rFonts w:ascii="Times New Roman" w:hAnsi="Times New Roman"/>
          <w:b/>
          <w:bCs/>
          <w:sz w:val="24"/>
          <w:szCs w:val="24"/>
        </w:rPr>
        <w:t>Čl. XI</w:t>
      </w:r>
    </w:p>
    <w:p w14:paraId="36677CA4" w14:textId="4644BCB6" w:rsidR="6405D0E6" w:rsidRDefault="6405D0E6" w:rsidP="070BDBF9">
      <w:pPr>
        <w:spacing w:after="0"/>
        <w:jc w:val="center"/>
        <w:rPr>
          <w:rFonts w:ascii="Times New Roman" w:hAnsi="Times New Roman"/>
          <w:b/>
          <w:bCs/>
          <w:sz w:val="24"/>
          <w:szCs w:val="24"/>
          <w:u w:val="single"/>
        </w:rPr>
      </w:pPr>
    </w:p>
    <w:p w14:paraId="38B9266E" w14:textId="1BF78528" w:rsidR="2AC2D44F" w:rsidRDefault="5775A83B" w:rsidP="070BDBF9">
      <w:pPr>
        <w:spacing w:after="0" w:line="257" w:lineRule="auto"/>
        <w:jc w:val="center"/>
        <w:rPr>
          <w:rFonts w:ascii="Times New Roman" w:hAnsi="Times New Roman"/>
          <w:b/>
          <w:bCs/>
          <w:sz w:val="24"/>
          <w:szCs w:val="24"/>
        </w:rPr>
      </w:pPr>
      <w:r w:rsidRPr="070BDBF9">
        <w:rPr>
          <w:rFonts w:ascii="Times New Roman" w:hAnsi="Times New Roman"/>
          <w:b/>
          <w:bCs/>
          <w:sz w:val="24"/>
          <w:szCs w:val="24"/>
        </w:rPr>
        <w:t>Zákon č. 43/2004 Z. z. o starobnom dôchodkovom sporení</w:t>
      </w:r>
    </w:p>
    <w:p w14:paraId="0C631768" w14:textId="2F9BA67C" w:rsidR="2AC2D44F" w:rsidRDefault="5775A83B"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 </w:t>
      </w:r>
    </w:p>
    <w:p w14:paraId="3308E890" w14:textId="638D431B" w:rsidR="2AC2D44F" w:rsidRDefault="5775A83B" w:rsidP="070BDBF9">
      <w:pPr>
        <w:spacing w:after="0" w:line="257" w:lineRule="auto"/>
        <w:jc w:val="both"/>
        <w:rPr>
          <w:rFonts w:ascii="Times New Roman" w:hAnsi="Times New Roman"/>
          <w:b/>
          <w:bCs/>
          <w:sz w:val="24"/>
          <w:szCs w:val="24"/>
        </w:rPr>
      </w:pPr>
      <w:r w:rsidRPr="070BDBF9">
        <w:rPr>
          <w:rFonts w:ascii="Times New Roman" w:hAnsi="Times New Roman"/>
          <w:b/>
          <w:bCs/>
          <w:sz w:val="24"/>
          <w:szCs w:val="24"/>
        </w:rPr>
        <w:t>K bodom 1 a 2 (§ 54a ods. 3, § 115 ods. 1)</w:t>
      </w:r>
    </w:p>
    <w:p w14:paraId="1BAE4283" w14:textId="15EF8930" w:rsidR="2AC2D44F" w:rsidRDefault="14D2C3FF" w:rsidP="070BDBF9">
      <w:pPr>
        <w:spacing w:after="0" w:line="257" w:lineRule="auto"/>
        <w:jc w:val="both"/>
        <w:rPr>
          <w:rFonts w:ascii="Times New Roman" w:hAnsi="Times New Roman"/>
          <w:sz w:val="24"/>
          <w:szCs w:val="24"/>
        </w:rPr>
      </w:pPr>
      <w:r w:rsidRPr="23BE041E">
        <w:rPr>
          <w:rFonts w:ascii="Times New Roman" w:hAnsi="Times New Roman"/>
          <w:sz w:val="24"/>
          <w:szCs w:val="24"/>
        </w:rPr>
        <w:t xml:space="preserve">Navrhovaná úprava nadväzuje na skutočnosť, že dôchodková správcovská spoločnosť sa považovala za povinnú osobu podľa osobitného predpisu, ktorým je zákon č. 297/2008 Z. z. o ochrane pred legalizáciou príjmov z trestnej činnosti a o ochrane pred financovaním terorizmu a o zmene a doplnení niektorých zákonov v znení neskorších predpisov. Dôvodom tejto zmeny je potreba zosúladenia vnútroštátnej právnej úpravy s nariadením (EÚ) 2024/1624. Uvedené nariadenie vymedzuje okruh povinných osôb na účely AML a dôchodkové subjekty medzi povinné osoby už ďalej nezaraďuje. V nadväznosti na priamu aplikovateľnosť nariadenia Európskeho parlamentu a Rady je preto potrebné odstrániť vnútroštátne ustanovenie, ktoré by bolo s európskou úpravou v rozpore. </w:t>
      </w:r>
    </w:p>
    <w:p w14:paraId="1476E485" w14:textId="23BB8F35" w:rsidR="2AC2D44F" w:rsidRDefault="5775A83B" w:rsidP="070BDBF9">
      <w:pPr>
        <w:spacing w:after="0" w:line="257" w:lineRule="auto"/>
        <w:jc w:val="both"/>
        <w:rPr>
          <w:rFonts w:ascii="Times New Roman" w:hAnsi="Times New Roman"/>
          <w:sz w:val="24"/>
          <w:szCs w:val="24"/>
        </w:rPr>
      </w:pPr>
      <w:r w:rsidRPr="070BDBF9">
        <w:rPr>
          <w:rFonts w:ascii="Times New Roman" w:hAnsi="Times New Roman"/>
          <w:sz w:val="24"/>
          <w:szCs w:val="24"/>
        </w:rPr>
        <w:lastRenderedPageBreak/>
        <w:t>Navrhovaná úprava preto predstavuje harmonizačný zásah, ktorý zabezpečuje súlad vnútroštátnej právnej úpravy s právom Európskej únie.</w:t>
      </w:r>
    </w:p>
    <w:p w14:paraId="46A1BE10" w14:textId="526C3399" w:rsidR="2AC2D44F" w:rsidRDefault="5775A83B"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 </w:t>
      </w:r>
    </w:p>
    <w:p w14:paraId="08DBE129" w14:textId="68248BDF" w:rsidR="2AC2D44F" w:rsidRDefault="5775A83B" w:rsidP="070BDBF9">
      <w:pPr>
        <w:spacing w:after="0" w:line="257" w:lineRule="auto"/>
        <w:jc w:val="both"/>
        <w:rPr>
          <w:rFonts w:ascii="Times New Roman" w:hAnsi="Times New Roman"/>
          <w:b/>
          <w:bCs/>
          <w:sz w:val="24"/>
          <w:szCs w:val="24"/>
        </w:rPr>
      </w:pPr>
      <w:r w:rsidRPr="070BDBF9">
        <w:rPr>
          <w:rFonts w:ascii="Times New Roman" w:hAnsi="Times New Roman"/>
          <w:b/>
          <w:bCs/>
          <w:sz w:val="24"/>
          <w:szCs w:val="24"/>
        </w:rPr>
        <w:t xml:space="preserve">K bodu 3 </w:t>
      </w:r>
    </w:p>
    <w:p w14:paraId="184AE97F" w14:textId="3728A86E" w:rsidR="2AC2D44F" w:rsidRDefault="14D2C3FF" w:rsidP="070BDBF9">
      <w:pPr>
        <w:spacing w:after="0" w:line="257" w:lineRule="auto"/>
        <w:jc w:val="both"/>
        <w:rPr>
          <w:rFonts w:ascii="Times New Roman" w:hAnsi="Times New Roman"/>
          <w:sz w:val="24"/>
          <w:szCs w:val="24"/>
        </w:rPr>
      </w:pPr>
      <w:r w:rsidRPr="23BE041E">
        <w:rPr>
          <w:rFonts w:ascii="Times New Roman" w:hAnsi="Times New Roman"/>
          <w:sz w:val="24"/>
          <w:szCs w:val="24"/>
        </w:rPr>
        <w:t>Ide o legislatívno-technickú úpravu, ktorou sa navrhuje zaradiť úplnú citáciu zákona č. 659/2007 Z. z. v poznámke pod čiarou k odkazu 98.</w:t>
      </w:r>
    </w:p>
    <w:p w14:paraId="3F28AC2B" w14:textId="6272371D" w:rsidR="6405D0E6" w:rsidRDefault="6405D0E6" w:rsidP="070BDBF9">
      <w:pPr>
        <w:spacing w:after="0"/>
        <w:jc w:val="center"/>
        <w:rPr>
          <w:rFonts w:ascii="Times New Roman" w:hAnsi="Times New Roman"/>
          <w:b/>
          <w:bCs/>
          <w:sz w:val="24"/>
          <w:szCs w:val="24"/>
          <w:u w:val="single"/>
        </w:rPr>
      </w:pPr>
    </w:p>
    <w:p w14:paraId="5EE29C27" w14:textId="6603D9A9" w:rsidR="6405D0E6" w:rsidRDefault="6405D0E6" w:rsidP="070BDBF9">
      <w:pPr>
        <w:spacing w:after="0"/>
        <w:jc w:val="center"/>
        <w:rPr>
          <w:rFonts w:ascii="Times New Roman" w:hAnsi="Times New Roman"/>
          <w:b/>
          <w:bCs/>
          <w:sz w:val="24"/>
          <w:szCs w:val="24"/>
          <w:u w:val="single"/>
        </w:rPr>
      </w:pPr>
    </w:p>
    <w:p w14:paraId="4DE9CF9B" w14:textId="28797AE3" w:rsidR="2AC2D44F" w:rsidRDefault="5775A83B" w:rsidP="070BDBF9">
      <w:pPr>
        <w:spacing w:after="0"/>
        <w:jc w:val="center"/>
        <w:rPr>
          <w:rFonts w:ascii="Times New Roman" w:hAnsi="Times New Roman"/>
          <w:b/>
          <w:bCs/>
          <w:sz w:val="24"/>
          <w:szCs w:val="24"/>
        </w:rPr>
      </w:pPr>
      <w:r w:rsidRPr="070BDBF9">
        <w:rPr>
          <w:rFonts w:ascii="Times New Roman" w:hAnsi="Times New Roman"/>
          <w:b/>
          <w:bCs/>
          <w:sz w:val="24"/>
          <w:szCs w:val="24"/>
        </w:rPr>
        <w:t>Čl. XII</w:t>
      </w:r>
    </w:p>
    <w:p w14:paraId="27A7681E" w14:textId="5127696B" w:rsidR="6405D0E6" w:rsidRDefault="6405D0E6" w:rsidP="070BDBF9">
      <w:pPr>
        <w:spacing w:after="0"/>
        <w:jc w:val="center"/>
        <w:rPr>
          <w:rFonts w:ascii="Times New Roman" w:hAnsi="Times New Roman"/>
          <w:b/>
          <w:bCs/>
          <w:sz w:val="24"/>
          <w:szCs w:val="24"/>
          <w:u w:val="single"/>
        </w:rPr>
      </w:pPr>
    </w:p>
    <w:p w14:paraId="19D5F681" w14:textId="10F5A5BD" w:rsidR="2AC2D44F" w:rsidRDefault="5775A83B" w:rsidP="070BDBF9">
      <w:pPr>
        <w:spacing w:after="0" w:line="257" w:lineRule="auto"/>
        <w:jc w:val="center"/>
        <w:rPr>
          <w:rFonts w:ascii="Times New Roman" w:hAnsi="Times New Roman"/>
          <w:b/>
          <w:bCs/>
          <w:sz w:val="24"/>
          <w:szCs w:val="24"/>
        </w:rPr>
      </w:pPr>
      <w:r w:rsidRPr="070BDBF9">
        <w:rPr>
          <w:rFonts w:ascii="Times New Roman" w:hAnsi="Times New Roman"/>
          <w:b/>
          <w:bCs/>
          <w:sz w:val="24"/>
          <w:szCs w:val="24"/>
        </w:rPr>
        <w:t>Zákon č. 650/2004 Z. z. o doplnkovom dôchodkovom sporení</w:t>
      </w:r>
    </w:p>
    <w:p w14:paraId="158B2BEC" w14:textId="4FCEB705" w:rsidR="2AC2D44F" w:rsidRDefault="5775A83B"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 </w:t>
      </w:r>
    </w:p>
    <w:p w14:paraId="4BA038CD" w14:textId="212D16CF" w:rsidR="2AC2D44F" w:rsidRDefault="5775A83B" w:rsidP="070BDBF9">
      <w:pPr>
        <w:spacing w:after="0" w:line="257" w:lineRule="auto"/>
        <w:jc w:val="both"/>
        <w:rPr>
          <w:rFonts w:ascii="Times New Roman" w:hAnsi="Times New Roman"/>
          <w:b/>
          <w:bCs/>
          <w:sz w:val="24"/>
          <w:szCs w:val="24"/>
        </w:rPr>
      </w:pPr>
      <w:r w:rsidRPr="070BDBF9">
        <w:rPr>
          <w:rFonts w:ascii="Times New Roman" w:hAnsi="Times New Roman"/>
          <w:b/>
          <w:bCs/>
          <w:sz w:val="24"/>
          <w:szCs w:val="24"/>
        </w:rPr>
        <w:t>K bodom 1 až 4 (§ 28 ods. 2, § 28a ods. 3, § 57 ods. 5)</w:t>
      </w:r>
    </w:p>
    <w:p w14:paraId="20B7F5F7" w14:textId="13C8DBB7" w:rsidR="2AC2D44F" w:rsidRDefault="5775A83B" w:rsidP="070BDBF9">
      <w:pPr>
        <w:spacing w:after="0" w:line="257" w:lineRule="auto"/>
        <w:jc w:val="both"/>
        <w:rPr>
          <w:rFonts w:ascii="Times New Roman" w:hAnsi="Times New Roman"/>
          <w:sz w:val="24"/>
          <w:szCs w:val="24"/>
        </w:rPr>
      </w:pPr>
      <w:r w:rsidRPr="070BDBF9">
        <w:rPr>
          <w:rFonts w:ascii="Times New Roman" w:hAnsi="Times New Roman"/>
          <w:sz w:val="24"/>
          <w:szCs w:val="24"/>
        </w:rPr>
        <w:t>Navrhovaná úprava nadväzuje na skutočnosť, že doplnková dôchodková spoločnosť sa považovala za povinnú osobu podľa osobitného predpisu, ktorým je zákon č. 297/2008 Z. z. o ochrane pred legalizáciou príjmov z trestnej činnosti a o ochrane pred financovaním terorizmu a o zmene a doplnení niektorých zákonov v znení neskorších predpisov. Dôvodom tejto zmeny je potreba zosúladenia vnútroštátnej právnej úpravy s nariadením (EÚ) 2024/1624</w:t>
      </w:r>
      <w:r w:rsidR="2D88509C" w:rsidRPr="070BDBF9">
        <w:rPr>
          <w:rFonts w:ascii="Times New Roman" w:hAnsi="Times New Roman"/>
          <w:sz w:val="24"/>
          <w:szCs w:val="24"/>
        </w:rPr>
        <w:t xml:space="preserve">. </w:t>
      </w:r>
      <w:r w:rsidRPr="070BDBF9">
        <w:rPr>
          <w:rFonts w:ascii="Times New Roman" w:hAnsi="Times New Roman"/>
          <w:sz w:val="24"/>
          <w:szCs w:val="24"/>
        </w:rPr>
        <w:t xml:space="preserve">Uvedené nariadenie vymedzuje okruh povinných osôb na účely AML a dôchodkové subjekty medzi povinné osoby už ďalej nezaraďuje. V nadväznosti na priamu aplikovateľnosť nariadenia je preto potrebné odstrániť vnútroštátne ustanovenie, ktoré by bolo s európskou úpravou v rozpore. </w:t>
      </w:r>
    </w:p>
    <w:p w14:paraId="4CB4E87C" w14:textId="76044CC1" w:rsidR="2AC2D44F" w:rsidRDefault="5775A83B" w:rsidP="070BDBF9">
      <w:pPr>
        <w:spacing w:after="0" w:line="257" w:lineRule="auto"/>
        <w:jc w:val="both"/>
        <w:rPr>
          <w:rFonts w:ascii="Times New Roman" w:hAnsi="Times New Roman"/>
          <w:sz w:val="24"/>
          <w:szCs w:val="24"/>
        </w:rPr>
      </w:pPr>
      <w:r w:rsidRPr="070BDBF9">
        <w:rPr>
          <w:rFonts w:ascii="Times New Roman" w:hAnsi="Times New Roman"/>
          <w:sz w:val="24"/>
          <w:szCs w:val="24"/>
        </w:rPr>
        <w:t>Navrhovaná úprava preto predstavuje harmonizačný zásah, ktorý zabezpečuje súlad vnútroštátnej právnej úpravy s právom Európskej únie.</w:t>
      </w:r>
    </w:p>
    <w:p w14:paraId="141664CA" w14:textId="4E42C19D" w:rsidR="2AC2D44F" w:rsidRDefault="5775A83B"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 </w:t>
      </w:r>
    </w:p>
    <w:p w14:paraId="575E1A1E" w14:textId="1519EED8" w:rsidR="2AC2D44F" w:rsidRDefault="5775A83B" w:rsidP="070BDBF9">
      <w:pPr>
        <w:spacing w:after="0" w:line="257" w:lineRule="auto"/>
        <w:jc w:val="both"/>
        <w:rPr>
          <w:rFonts w:ascii="Times New Roman" w:hAnsi="Times New Roman"/>
          <w:b/>
          <w:bCs/>
          <w:sz w:val="24"/>
          <w:szCs w:val="24"/>
        </w:rPr>
      </w:pPr>
      <w:r w:rsidRPr="070BDBF9">
        <w:rPr>
          <w:rFonts w:ascii="Times New Roman" w:hAnsi="Times New Roman"/>
          <w:b/>
          <w:bCs/>
          <w:sz w:val="24"/>
          <w:szCs w:val="24"/>
        </w:rPr>
        <w:t xml:space="preserve">K bodu 5 </w:t>
      </w:r>
    </w:p>
    <w:p w14:paraId="3BF7D4AA" w14:textId="20A844EA" w:rsidR="2AC2D44F" w:rsidRDefault="5775A83B" w:rsidP="070BDBF9">
      <w:pPr>
        <w:spacing w:after="0" w:line="257" w:lineRule="auto"/>
        <w:jc w:val="both"/>
        <w:rPr>
          <w:rFonts w:ascii="Times New Roman" w:hAnsi="Times New Roman"/>
          <w:sz w:val="24"/>
          <w:szCs w:val="24"/>
        </w:rPr>
      </w:pPr>
      <w:r w:rsidRPr="070BDBF9">
        <w:rPr>
          <w:rFonts w:ascii="Times New Roman" w:hAnsi="Times New Roman"/>
          <w:sz w:val="24"/>
          <w:szCs w:val="24"/>
        </w:rPr>
        <w:t>Ide o legislatívno-technickú úpravu súvisiacu s vypustením poznámky pod čiarou k odkazu 45a, čím sa vypustila aj úplná citácia zákona č. 659/2007 Z. z. Navrhuje sa zaradiť úplnú citáciu tohto zákona v najbližšej poznámke pod čiarou, kde sa na tento zákon odkazuje.</w:t>
      </w:r>
    </w:p>
    <w:p w14:paraId="4F2971ED" w14:textId="24E382A5" w:rsidR="6405D0E6" w:rsidRDefault="6405D0E6" w:rsidP="070BDBF9">
      <w:pPr>
        <w:spacing w:after="0"/>
        <w:jc w:val="center"/>
        <w:rPr>
          <w:rFonts w:ascii="Times New Roman" w:hAnsi="Times New Roman"/>
          <w:b/>
          <w:bCs/>
          <w:sz w:val="24"/>
          <w:szCs w:val="24"/>
          <w:u w:val="single"/>
        </w:rPr>
      </w:pPr>
    </w:p>
    <w:p w14:paraId="5A632F35" w14:textId="223EBFC2" w:rsidR="2AC2D44F" w:rsidRDefault="5775A83B" w:rsidP="070BDBF9">
      <w:pPr>
        <w:spacing w:after="120" w:line="276" w:lineRule="auto"/>
        <w:ind w:left="-11"/>
        <w:jc w:val="center"/>
        <w:rPr>
          <w:rFonts w:ascii="Times New Roman" w:hAnsi="Times New Roman"/>
          <w:b/>
          <w:bCs/>
          <w:sz w:val="24"/>
          <w:szCs w:val="24"/>
        </w:rPr>
      </w:pPr>
      <w:r w:rsidRPr="070BDBF9">
        <w:rPr>
          <w:rFonts w:ascii="Times New Roman" w:hAnsi="Times New Roman"/>
          <w:b/>
          <w:bCs/>
          <w:sz w:val="24"/>
          <w:szCs w:val="24"/>
        </w:rPr>
        <w:t>Čl. XIII</w:t>
      </w:r>
    </w:p>
    <w:p w14:paraId="0829A54F" w14:textId="5F79D1EE" w:rsidR="2AC2D44F" w:rsidRDefault="5775A83B" w:rsidP="6405D0E6">
      <w:pPr>
        <w:spacing w:after="120" w:line="276" w:lineRule="auto"/>
        <w:ind w:left="-11"/>
        <w:jc w:val="center"/>
        <w:rPr>
          <w:rFonts w:ascii="Times New Roman" w:hAnsi="Times New Roman"/>
          <w:b/>
          <w:bCs/>
          <w:sz w:val="24"/>
          <w:szCs w:val="24"/>
        </w:rPr>
      </w:pPr>
      <w:r w:rsidRPr="070BDBF9">
        <w:rPr>
          <w:rFonts w:ascii="Times New Roman" w:hAnsi="Times New Roman"/>
          <w:b/>
          <w:bCs/>
          <w:sz w:val="24"/>
          <w:szCs w:val="24"/>
        </w:rPr>
        <w:t>Zákon č. 747/2004 Z. z. o dohľade</w:t>
      </w:r>
    </w:p>
    <w:p w14:paraId="668D75B5" w14:textId="658C99A9" w:rsidR="6405D0E6" w:rsidRDefault="6405D0E6" w:rsidP="070BDBF9">
      <w:pPr>
        <w:spacing w:after="0"/>
        <w:jc w:val="center"/>
        <w:rPr>
          <w:rFonts w:ascii="Times New Roman" w:hAnsi="Times New Roman"/>
          <w:b/>
          <w:bCs/>
          <w:sz w:val="24"/>
          <w:szCs w:val="24"/>
          <w:u w:val="single"/>
        </w:rPr>
      </w:pPr>
    </w:p>
    <w:p w14:paraId="484E6525" w14:textId="66A6CFBE" w:rsidR="2AC2D44F" w:rsidRDefault="4092A8E9" w:rsidP="004E4256">
      <w:pPr>
        <w:spacing w:after="0" w:line="276" w:lineRule="auto"/>
      </w:pPr>
      <w:r w:rsidRPr="004E4256">
        <w:rPr>
          <w:rFonts w:ascii="Times New Roman" w:hAnsi="Times New Roman"/>
          <w:b/>
          <w:bCs/>
          <w:sz w:val="24"/>
          <w:szCs w:val="24"/>
        </w:rPr>
        <w:t>K bodu 1 (poznámka pod čiarou k odkazu 1)</w:t>
      </w:r>
    </w:p>
    <w:p w14:paraId="16230F82" w14:textId="74027C12" w:rsidR="2AC2D44F" w:rsidRDefault="1CF44FD5" w:rsidP="004E4256">
      <w:pPr>
        <w:spacing w:after="0" w:line="276" w:lineRule="auto"/>
        <w:jc w:val="both"/>
      </w:pPr>
      <w:r w:rsidRPr="23BE041E">
        <w:rPr>
          <w:rFonts w:ascii="Times New Roman" w:hAnsi="Times New Roman"/>
          <w:sz w:val="24"/>
          <w:szCs w:val="24"/>
        </w:rPr>
        <w:t xml:space="preserve">Legislatívno-technická úprava zohľadňuje zrušenie doterajších právnych predpisov a ich nahradenie novými právnymi predpismi, vrátane </w:t>
      </w:r>
      <w:r w:rsidR="7156E8E2" w:rsidRPr="23BE041E">
        <w:rPr>
          <w:rFonts w:ascii="Times New Roman" w:hAnsi="Times New Roman"/>
          <w:sz w:val="24"/>
          <w:szCs w:val="24"/>
        </w:rPr>
        <w:t>navrhovaného zákona.</w:t>
      </w:r>
      <w:r w:rsidRPr="23BE041E">
        <w:rPr>
          <w:rFonts w:ascii="Times New Roman" w:hAnsi="Times New Roman"/>
          <w:sz w:val="24"/>
          <w:szCs w:val="24"/>
        </w:rPr>
        <w:t xml:space="preserve"> </w:t>
      </w:r>
    </w:p>
    <w:p w14:paraId="796D0984" w14:textId="6313A6F7" w:rsidR="2AC2D44F" w:rsidRDefault="4092A8E9" w:rsidP="004E4256">
      <w:pPr>
        <w:spacing w:after="0" w:line="276" w:lineRule="auto"/>
        <w:jc w:val="center"/>
      </w:pPr>
      <w:r w:rsidRPr="004E4256">
        <w:rPr>
          <w:rFonts w:ascii="Times New Roman" w:hAnsi="Times New Roman"/>
          <w:sz w:val="24"/>
          <w:szCs w:val="24"/>
        </w:rPr>
        <w:t xml:space="preserve"> </w:t>
      </w:r>
    </w:p>
    <w:p w14:paraId="5EE04762" w14:textId="246AB15D" w:rsidR="2AC2D44F" w:rsidRDefault="4092A8E9" w:rsidP="004E4256">
      <w:pPr>
        <w:spacing w:after="0" w:line="276" w:lineRule="auto"/>
      </w:pPr>
      <w:r w:rsidRPr="004E4256">
        <w:rPr>
          <w:rFonts w:ascii="Times New Roman" w:hAnsi="Times New Roman"/>
          <w:b/>
          <w:bCs/>
          <w:sz w:val="24"/>
          <w:szCs w:val="24"/>
        </w:rPr>
        <w:t>K bodu 2 (§ 1 ods. 3 písm. e) a poznámka pod čiarou k odkazu 1ac)</w:t>
      </w:r>
    </w:p>
    <w:p w14:paraId="4CE19F38" w14:textId="18805E5B" w:rsidR="2AC2D44F" w:rsidRDefault="1CF44FD5" w:rsidP="004E4256">
      <w:pPr>
        <w:spacing w:after="0" w:line="276" w:lineRule="auto"/>
        <w:jc w:val="both"/>
      </w:pPr>
      <w:r w:rsidRPr="23BE041E">
        <w:rPr>
          <w:rFonts w:ascii="Times New Roman" w:hAnsi="Times New Roman"/>
          <w:sz w:val="24"/>
          <w:szCs w:val="24"/>
        </w:rPr>
        <w:t>Komplexný právny rámec Európskej únie v AML/CFT</w:t>
      </w:r>
      <w:r w:rsidR="39D319A1" w:rsidRPr="23BE041E">
        <w:rPr>
          <w:rFonts w:ascii="Times New Roman" w:hAnsi="Times New Roman"/>
          <w:sz w:val="24"/>
          <w:szCs w:val="24"/>
        </w:rPr>
        <w:t xml:space="preserve"> oblasti,</w:t>
      </w:r>
      <w:r w:rsidRPr="23BE041E">
        <w:rPr>
          <w:rFonts w:ascii="Times New Roman" w:hAnsi="Times New Roman"/>
          <w:sz w:val="24"/>
          <w:szCs w:val="24"/>
        </w:rPr>
        <w:t xml:space="preserve"> prináša zásadnú reformu systému AML/CFT dohľadu. Zavádza jednotný právny rámec upravujúci požiadavky na povinné osoby, pravidlá výkonu dohľadu, mechanizmy spolupráce medzi príslušnými orgánmi, ako aj nový inštitucionálny rámec na úrovni Európskej únie pozostávajúci z Úradu  AMLA, vnútroštátnych orgánov dohľadu a finančných spravodajských jednotiek (FIU). </w:t>
      </w:r>
      <w:r w:rsidR="7A36C8D9" w:rsidRPr="23BE041E">
        <w:rPr>
          <w:rFonts w:ascii="Times New Roman" w:hAnsi="Times New Roman"/>
          <w:sz w:val="24"/>
          <w:szCs w:val="24"/>
        </w:rPr>
        <w:t>Návrh zákona</w:t>
      </w:r>
      <w:r w:rsidRPr="23BE041E">
        <w:rPr>
          <w:rFonts w:ascii="Times New Roman" w:hAnsi="Times New Roman"/>
          <w:sz w:val="24"/>
          <w:szCs w:val="24"/>
        </w:rPr>
        <w:t xml:space="preserve"> dopĺňa legislatívny rámec Európskej únie na vnútroštátnej úrovni. Najmä vymedzuje pôsobnosť a kompetencie jednotlivých orgánov dohľadu nad povinnými osobami v oblasti AML/CFT a </w:t>
      </w:r>
      <w:r w:rsidRPr="23BE041E">
        <w:rPr>
          <w:rFonts w:ascii="Times New Roman" w:hAnsi="Times New Roman"/>
          <w:sz w:val="24"/>
          <w:szCs w:val="24"/>
        </w:rPr>
        <w:lastRenderedPageBreak/>
        <w:t>upravuje mechanizmy vnútroštátnej a medzinárodnej spolupráce medzi orgánmi dohľadu, inými orgánmi verejnej moci a právnickými osobami, vrátane spolupráce s orgánmi dohľadu členských štátov Európskej únie a tretích štátov, európskymi orgánmi dohľadu a Európskou centrálnou bankou.</w:t>
      </w:r>
    </w:p>
    <w:p w14:paraId="505D1C82" w14:textId="0C18FC2D" w:rsidR="2AC2D44F" w:rsidRDefault="4092A8E9" w:rsidP="004E4256">
      <w:pPr>
        <w:spacing w:after="0" w:line="276" w:lineRule="auto"/>
        <w:jc w:val="both"/>
      </w:pPr>
      <w:r w:rsidRPr="004E4256">
        <w:rPr>
          <w:rFonts w:ascii="Times New Roman" w:hAnsi="Times New Roman"/>
          <w:sz w:val="24"/>
          <w:szCs w:val="24"/>
        </w:rPr>
        <w:t xml:space="preserve"> </w:t>
      </w:r>
    </w:p>
    <w:p w14:paraId="4BAAD4A2" w14:textId="46FB6FA3" w:rsidR="2AC2D44F" w:rsidRDefault="1CF44FD5" w:rsidP="004E4256">
      <w:pPr>
        <w:spacing w:after="0" w:line="276" w:lineRule="auto"/>
        <w:jc w:val="both"/>
      </w:pPr>
      <w:r w:rsidRPr="23BE041E">
        <w:rPr>
          <w:rFonts w:ascii="Times New Roman" w:hAnsi="Times New Roman"/>
          <w:sz w:val="24"/>
          <w:szCs w:val="24"/>
        </w:rPr>
        <w:t xml:space="preserve">V zmysle </w:t>
      </w:r>
      <w:r w:rsidR="55EC24B7" w:rsidRPr="23BE041E">
        <w:rPr>
          <w:rFonts w:ascii="Times New Roman" w:hAnsi="Times New Roman"/>
          <w:sz w:val="24"/>
          <w:szCs w:val="24"/>
        </w:rPr>
        <w:t>návrhu zákona</w:t>
      </w:r>
      <w:r w:rsidRPr="23BE041E">
        <w:rPr>
          <w:rFonts w:ascii="Times New Roman" w:hAnsi="Times New Roman"/>
          <w:sz w:val="24"/>
          <w:szCs w:val="24"/>
        </w:rPr>
        <w:t xml:space="preserve"> sa Národná banka Slovenska stala na vnútroštátnej úrovni samostatným orgánom dohľadu v oblasti AML/CFT vo vzťahu k povinným osobám, ktoré sú subjektmi finančného trhu podliehajúcimi jej </w:t>
      </w:r>
      <w:proofErr w:type="spellStart"/>
      <w:r w:rsidRPr="23BE041E">
        <w:rPr>
          <w:rFonts w:ascii="Times New Roman" w:hAnsi="Times New Roman"/>
          <w:sz w:val="24"/>
          <w:szCs w:val="24"/>
        </w:rPr>
        <w:t>prudenciálnemu</w:t>
      </w:r>
      <w:proofErr w:type="spellEnd"/>
      <w:r w:rsidRPr="23BE041E">
        <w:rPr>
          <w:rFonts w:ascii="Times New Roman" w:hAnsi="Times New Roman"/>
          <w:sz w:val="24"/>
          <w:szCs w:val="24"/>
        </w:rPr>
        <w:t xml:space="preserve"> dohľadu. Súčasne sa začlenila do nového inštitucionálneho systému dohľadu na úrovni Európskej únie, z čoho jej vyplývajú nové úlohy, právomoci a povinnosti, najmä vo vzťahu k AMLA pri výkone priameho a nepriameho dohľadu, ako aj pri tvorbe regulačných technických predpisov a vykonávacích technických predpisov (legislatíva úrovne 2) a usmernení, odporúčaní a stanovísk (legislatíva úrovne 3). Z uvedeného dôvodu sa medzi úlohy a kompetencie Národnej banky Slovenska dopĺňa nové písmeno e), ktoré upravuje jej pôsobnosť v oblasti AML/CFT. V nadväznosti na toto doplnenie sa doterajšie označenie písmen e) až j) mení na označenie písmen f) až k).</w:t>
      </w:r>
    </w:p>
    <w:p w14:paraId="4DCAB9CF" w14:textId="7CB188AF" w:rsidR="2AC2D44F" w:rsidRDefault="4092A8E9" w:rsidP="004E4256">
      <w:pPr>
        <w:spacing w:after="0" w:line="276" w:lineRule="auto"/>
        <w:jc w:val="both"/>
      </w:pPr>
      <w:r w:rsidRPr="004E4256">
        <w:rPr>
          <w:rFonts w:ascii="Times New Roman" w:hAnsi="Times New Roman"/>
          <w:sz w:val="24"/>
          <w:szCs w:val="24"/>
        </w:rPr>
        <w:t xml:space="preserve"> </w:t>
      </w:r>
    </w:p>
    <w:p w14:paraId="45BE7627" w14:textId="2B99B2FD" w:rsidR="2AC2D44F" w:rsidRDefault="4092A8E9" w:rsidP="004E4256">
      <w:pPr>
        <w:spacing w:after="0" w:line="276" w:lineRule="auto"/>
        <w:jc w:val="both"/>
      </w:pPr>
      <w:r w:rsidRPr="004E4256">
        <w:rPr>
          <w:rFonts w:ascii="Times New Roman" w:hAnsi="Times New Roman"/>
          <w:b/>
          <w:bCs/>
          <w:sz w:val="24"/>
          <w:szCs w:val="24"/>
        </w:rPr>
        <w:t xml:space="preserve">K bodu 3 a 4 </w:t>
      </w:r>
    </w:p>
    <w:p w14:paraId="48E9D3D9" w14:textId="5332B8CB" w:rsidR="2AC2D44F" w:rsidRDefault="4092A8E9" w:rsidP="004E4256">
      <w:pPr>
        <w:spacing w:after="0" w:line="276" w:lineRule="auto"/>
        <w:jc w:val="both"/>
      </w:pPr>
      <w:r w:rsidRPr="004E4256">
        <w:rPr>
          <w:rFonts w:ascii="Times New Roman" w:hAnsi="Times New Roman"/>
          <w:sz w:val="24"/>
          <w:szCs w:val="24"/>
        </w:rPr>
        <w:t xml:space="preserve">Navrhované doplnenie Ministerstva vnútra Slovenskej republiky reflektuje účasť a súčinnosť Národnej banky Slovenska pri príprave legislatívy v oblasti AML/CFT. Do poznámky pod čiarou k odkazu 1b sa pripája úrad AMLA. </w:t>
      </w:r>
    </w:p>
    <w:p w14:paraId="6308CEE7" w14:textId="2B1FE30D" w:rsidR="2AC2D44F" w:rsidRDefault="4092A8E9" w:rsidP="004E4256">
      <w:pPr>
        <w:spacing w:after="0" w:line="276" w:lineRule="auto"/>
        <w:jc w:val="both"/>
      </w:pPr>
      <w:r w:rsidRPr="004E4256">
        <w:rPr>
          <w:rFonts w:ascii="Times New Roman" w:hAnsi="Times New Roman"/>
          <w:sz w:val="24"/>
          <w:szCs w:val="24"/>
        </w:rPr>
        <w:t xml:space="preserve"> </w:t>
      </w:r>
    </w:p>
    <w:p w14:paraId="33BC377D" w14:textId="26F8989A" w:rsidR="2AC2D44F" w:rsidRDefault="4092A8E9" w:rsidP="004E4256">
      <w:pPr>
        <w:spacing w:after="0" w:line="276" w:lineRule="auto"/>
        <w:jc w:val="both"/>
      </w:pPr>
      <w:r w:rsidRPr="004E4256">
        <w:rPr>
          <w:rFonts w:ascii="Times New Roman" w:hAnsi="Times New Roman"/>
          <w:b/>
          <w:bCs/>
          <w:sz w:val="24"/>
          <w:szCs w:val="24"/>
        </w:rPr>
        <w:t xml:space="preserve">K bodu 5 </w:t>
      </w:r>
    </w:p>
    <w:p w14:paraId="03A29D1F" w14:textId="65DEE7E9" w:rsidR="2AC2D44F" w:rsidRDefault="4092A8E9" w:rsidP="004E4256">
      <w:pPr>
        <w:spacing w:after="0" w:line="276" w:lineRule="auto"/>
        <w:jc w:val="both"/>
      </w:pPr>
      <w:r w:rsidRPr="004E4256">
        <w:rPr>
          <w:rFonts w:ascii="Times New Roman" w:hAnsi="Times New Roman"/>
          <w:sz w:val="24"/>
          <w:szCs w:val="24"/>
        </w:rPr>
        <w:t>V nadväznosti na uvedené sa dopĺňa aj poznámka pod čiarou k odkazu 2, ktorej účelom je identifikovať Ministerstvo vnútra Slovenskej republiky ako ústredný orgán štátnej správy a poukázať na právny základ jeho pôsobnosti v predmetnej oblasti.</w:t>
      </w:r>
    </w:p>
    <w:p w14:paraId="536568F4" w14:textId="6A97E770" w:rsidR="2AC2D44F" w:rsidRDefault="4092A8E9" w:rsidP="004E4256">
      <w:pPr>
        <w:spacing w:after="0" w:line="276" w:lineRule="auto"/>
        <w:jc w:val="both"/>
      </w:pPr>
      <w:r w:rsidRPr="004E4256">
        <w:rPr>
          <w:rFonts w:ascii="Times New Roman" w:hAnsi="Times New Roman"/>
          <w:b/>
          <w:bCs/>
          <w:sz w:val="24"/>
          <w:szCs w:val="24"/>
        </w:rPr>
        <w:t xml:space="preserve"> </w:t>
      </w:r>
    </w:p>
    <w:p w14:paraId="5EBCE93F" w14:textId="5B1EF8B9" w:rsidR="2AC2D44F" w:rsidRDefault="4092A8E9" w:rsidP="004E4256">
      <w:pPr>
        <w:spacing w:after="0" w:line="276" w:lineRule="auto"/>
        <w:jc w:val="both"/>
      </w:pPr>
      <w:r w:rsidRPr="004E4256">
        <w:rPr>
          <w:rFonts w:ascii="Times New Roman" w:hAnsi="Times New Roman"/>
          <w:b/>
          <w:bCs/>
          <w:sz w:val="24"/>
          <w:szCs w:val="24"/>
        </w:rPr>
        <w:t xml:space="preserve">K bodu 6  (poznámka pod čiarou k odkazu 1c) </w:t>
      </w:r>
    </w:p>
    <w:p w14:paraId="24757826" w14:textId="1E83373A" w:rsidR="2AC2D44F" w:rsidRDefault="4092A8E9" w:rsidP="004E4256">
      <w:pPr>
        <w:spacing w:after="0" w:line="276" w:lineRule="auto"/>
        <w:jc w:val="both"/>
      </w:pPr>
      <w:r w:rsidRPr="004E4256">
        <w:rPr>
          <w:rFonts w:ascii="Times New Roman" w:hAnsi="Times New Roman"/>
          <w:sz w:val="24"/>
          <w:szCs w:val="24"/>
        </w:rPr>
        <w:t>Navrhovaná úprava reflektuje postavenie Národnej banky Slovenska v novom európskom systéme dohľadu v oblasti AML/CFT. Tento systém je založený na vzájomnej dôvere, spolupráci v dobrej viere a výmene informácií a údajov týkajúcich sa dohľadu medzi Úradom AMLA a vnútroštátnymi orgánmi dohľadu s cieľom zabezpečiť účinný výkon ich úloh a efektívne riešenie zvýšených AML/CFT rizík.</w:t>
      </w:r>
    </w:p>
    <w:p w14:paraId="1C6F23C3" w14:textId="3655F83F" w:rsidR="2AC2D44F" w:rsidRDefault="4092A8E9" w:rsidP="004E4256">
      <w:pPr>
        <w:spacing w:before="240" w:after="240"/>
        <w:jc w:val="both"/>
      </w:pPr>
      <w:r w:rsidRPr="004E4256">
        <w:rPr>
          <w:rFonts w:ascii="Times New Roman" w:hAnsi="Times New Roman"/>
          <w:sz w:val="24"/>
          <w:szCs w:val="24"/>
        </w:rPr>
        <w:t>V nadväznosti na uvedené sa upravuje povinnosť Národnej banky Slovenska spolupracovať s Úradom AMLA, poskytovať mu na jeho žiadosť informácie potrebné na výkon jeho pôsobnosti a poskytovať súčinnosť pri zohľadňovaní osobitostí vnútroštátneho právneho rámca. Navrhovaná úprava tak vytvára právny základ na plnenie povinností Národnej banky Slovenska voči Úradu AMLA vyplývajúcich z jej začlenenia do európskeho systému AML/CFT dohľadu, najmä v oblasti spolupráce, výmeny informácií, poskytovania súčinnosti a podpory efektívneho výkonu dohľadu. Do poznámky pod čiarou k odkazu 1b sa dopĺňa  právny základ, z ktorého vyplývajú nové úlohy a povinnosti Národnej banky Slovenska ako vnútroštátneho orgánu dohľadu v oblasti AML/CFT týkajúce sa spolupráce s Úradom AMLA a výmeny informácií o povinných osobách, ktoré podliehajú jej dohľadu.  Nová poznámka pod čiarou k odkazu 1c odkazuje na príslušnú právnu úpravu upravujúcu zriadenie Úradu AMLA, ako aj jeho postavenie, právomoci a úlohy v rámci európskeho systému dohľadu v oblasti AML/CFT.</w:t>
      </w:r>
    </w:p>
    <w:p w14:paraId="1F2DBA5F" w14:textId="5F71E110" w:rsidR="2AC2D44F" w:rsidRDefault="4092A8E9" w:rsidP="004E4256">
      <w:pPr>
        <w:spacing w:after="0" w:line="276" w:lineRule="auto"/>
        <w:jc w:val="both"/>
      </w:pPr>
      <w:r w:rsidRPr="004E4256">
        <w:rPr>
          <w:rFonts w:ascii="Times New Roman" w:hAnsi="Times New Roman"/>
          <w:b/>
          <w:bCs/>
          <w:sz w:val="24"/>
          <w:szCs w:val="24"/>
        </w:rPr>
        <w:lastRenderedPageBreak/>
        <w:t>K bodu 7 (§ 2 ods. 9) a 8 (poznámka pod čiarou k odkazu 6a)</w:t>
      </w:r>
    </w:p>
    <w:p w14:paraId="29E283C1" w14:textId="7353D4E8" w:rsidR="2AC2D44F" w:rsidRDefault="4092A8E9" w:rsidP="004E4256">
      <w:pPr>
        <w:spacing w:after="120" w:line="276" w:lineRule="auto"/>
        <w:jc w:val="both"/>
      </w:pPr>
      <w:r w:rsidRPr="004E4256">
        <w:rPr>
          <w:rFonts w:ascii="Times New Roman" w:hAnsi="Times New Roman"/>
          <w:sz w:val="24"/>
          <w:szCs w:val="24"/>
        </w:rPr>
        <w:t>Navrhovaná úprava rozširuje okruh dokumentov, ktoré Národná banka Slovenska zverejňuje v súvislosti s výkonom dohľadu v oblasti AML/CFT nad povinnými osobami podliehajúcimi jej dohľadu, a to o usmernenia a odporúčania vydávané Úradom AMLA podľa článku 54 AMLAR. Národnej banke Slovenska ako účastníkovi európskeho systému dohľadu v oblasti AML/CFT vzniká povinnosť preberať a uplatňovať usmernenia a odporúčania vydané Úradom AMLA. Výnimku predstavujú prípady, keď sa Národná banka Slovenska rozhodne takéto usmernenie alebo odporúčanie nedodržať; v takom prípade postupuje v súlade s článkom 54 ods. 3 AMLAR. Cieľom navrhovanej úpravy je podporiť jednotné uplatňovanie právnych predpisov v oblasti AML/CFT a zabezpečiť konzistentný výkon dohľadu na vnútroštátnej aj európskej úrovni. Do poznámky pod čiarou k odkazu 6a sa dopĺňa odkaz na príslušný právny základ upravujúci povinnosť Národnej banky Slovenska dodržiavať usmernenia a odporúčania vydávané Úradom AMLA, vrátane postupu pri ich neuplatňovaní, ako aj povinnosť zverejňovať informácie o ich uplatňovaní, čiastočnom uplatňovaní alebo neuplatňovaní.</w:t>
      </w:r>
    </w:p>
    <w:p w14:paraId="3E795D5C" w14:textId="305061EB" w:rsidR="2AC2D44F" w:rsidRDefault="2AC2D44F" w:rsidP="004E4256">
      <w:pPr>
        <w:spacing w:after="0" w:line="276" w:lineRule="auto"/>
        <w:jc w:val="center"/>
        <w:rPr>
          <w:rFonts w:ascii="Times New Roman" w:hAnsi="Times New Roman"/>
          <w:b/>
          <w:bCs/>
          <w:sz w:val="24"/>
          <w:szCs w:val="24"/>
          <w:highlight w:val="yellow"/>
        </w:rPr>
      </w:pPr>
    </w:p>
    <w:p w14:paraId="35F47A84" w14:textId="1C11B713" w:rsidR="2AC2D44F" w:rsidRDefault="4092A8E9" w:rsidP="004E4256">
      <w:pPr>
        <w:spacing w:after="0" w:line="276" w:lineRule="auto"/>
      </w:pPr>
      <w:r w:rsidRPr="004E4256">
        <w:rPr>
          <w:rFonts w:ascii="Times New Roman" w:hAnsi="Times New Roman"/>
          <w:b/>
          <w:bCs/>
          <w:color w:val="000000" w:themeColor="text1"/>
          <w:sz w:val="24"/>
          <w:szCs w:val="24"/>
        </w:rPr>
        <w:t>K bodu 9 (§ 3 ods. 4 a § 36 ods. 4)</w:t>
      </w:r>
    </w:p>
    <w:p w14:paraId="6DB850E2" w14:textId="0FB9DAAB" w:rsidR="2AC2D44F" w:rsidRDefault="4092A8E9" w:rsidP="004E4256">
      <w:pPr>
        <w:spacing w:after="0" w:line="276" w:lineRule="auto"/>
        <w:jc w:val="both"/>
      </w:pPr>
      <w:r w:rsidRPr="004E4256">
        <w:rPr>
          <w:rFonts w:ascii="Times New Roman" w:hAnsi="Times New Roman"/>
          <w:sz w:val="24"/>
          <w:szCs w:val="24"/>
        </w:rPr>
        <w:t>Navrhovaná úprava rozširuje okruh subjektov, ktorým je Národná banka Slovenska oprávnená v rámci spolupráce pri výkone dohľadu sprístupňovať a poskytovať informácie chránené povinnosťou mlčanlivosti, o Úrad AMLA. Cieľom navrhovanej úpravy je zohľadniť postavenie Úradu AMLA v rámci európskeho systému dohľadu v oblasti AML/CFT a vytvoriť podmienky na efektívnu výmenu informácií nevyhnutnú na plnenie jeho úloh a výkon jeho právomocí. Úradu AMLA bude možné poskytovať informácie za rovnakých podmienok ako ostatným subjektom uvedeným v predmetnom ustanovení vrátane informácií podliehajúcich zákonom ustanovenej povinnosti mlčanlivosti.</w:t>
      </w:r>
    </w:p>
    <w:p w14:paraId="26A42048" w14:textId="639CA5F6" w:rsidR="2AC2D44F" w:rsidRDefault="4092A8E9" w:rsidP="004E4256">
      <w:pPr>
        <w:spacing w:after="0" w:line="276" w:lineRule="auto"/>
        <w:jc w:val="both"/>
      </w:pPr>
      <w:r w:rsidRPr="004E4256">
        <w:rPr>
          <w:rFonts w:ascii="Times New Roman" w:hAnsi="Times New Roman"/>
          <w:sz w:val="24"/>
          <w:szCs w:val="24"/>
        </w:rPr>
        <w:t xml:space="preserve"> </w:t>
      </w:r>
    </w:p>
    <w:p w14:paraId="2A8C4154" w14:textId="433D871A" w:rsidR="2AC2D44F" w:rsidRDefault="4092A8E9" w:rsidP="004E4256">
      <w:pPr>
        <w:spacing w:after="0" w:line="276" w:lineRule="auto"/>
        <w:jc w:val="both"/>
      </w:pPr>
      <w:r w:rsidRPr="004E4256">
        <w:rPr>
          <w:rFonts w:ascii="Times New Roman" w:hAnsi="Times New Roman"/>
          <w:color w:val="000000" w:themeColor="text1"/>
          <w:sz w:val="24"/>
          <w:szCs w:val="24"/>
        </w:rPr>
        <w:t xml:space="preserve">Navrhuje sa doplnenie Úradu AMLA medzi oprávnených príjemcov údajov z verejnej a neverejnej časti zoznamov, ktoré sú potrebné na výkon jeho úloh v rámci európskeho systému dohľadu v oblasti AML/CFT, najmä pri výkone dohľadu, koordinácii činností príslušných orgánov a zabezpečovaní účinnej spolupráce medzi orgánmi dohľadu členských štátov. Na sprístupňovanie a poskytovanie údajov Úradu AMLA sa budú vzťahovať rovnaké podmienky a záruky ochrany údajov ako pri ostatných oprávnených subjektoch uvedených v ustanovení vrátane povinností týkajúcich sa ich využívania, ochrany a zachovávania dôvernosti. </w:t>
      </w:r>
    </w:p>
    <w:p w14:paraId="57058414" w14:textId="67E33ABE" w:rsidR="2AC2D44F" w:rsidRDefault="4092A8E9" w:rsidP="004E4256">
      <w:pPr>
        <w:spacing w:after="0" w:line="276" w:lineRule="auto"/>
        <w:jc w:val="both"/>
      </w:pPr>
      <w:r w:rsidRPr="004E4256">
        <w:rPr>
          <w:rFonts w:ascii="Times New Roman" w:hAnsi="Times New Roman"/>
          <w:sz w:val="24"/>
          <w:szCs w:val="24"/>
        </w:rPr>
        <w:t xml:space="preserve"> </w:t>
      </w:r>
    </w:p>
    <w:p w14:paraId="66F0990B" w14:textId="15833B64" w:rsidR="2AC2D44F" w:rsidRDefault="4092A8E9" w:rsidP="004E4256">
      <w:pPr>
        <w:spacing w:after="0" w:line="276" w:lineRule="auto"/>
        <w:jc w:val="both"/>
      </w:pPr>
      <w:r w:rsidRPr="004E4256">
        <w:rPr>
          <w:rFonts w:ascii="Times New Roman" w:hAnsi="Times New Roman"/>
          <w:sz w:val="24"/>
          <w:szCs w:val="24"/>
        </w:rPr>
        <w:t xml:space="preserve"> </w:t>
      </w:r>
    </w:p>
    <w:p w14:paraId="65157057" w14:textId="0B5A100E" w:rsidR="2AC2D44F" w:rsidRDefault="4092A8E9" w:rsidP="004E4256">
      <w:pPr>
        <w:spacing w:after="0" w:line="276" w:lineRule="auto"/>
        <w:jc w:val="both"/>
      </w:pPr>
      <w:r w:rsidRPr="004E4256">
        <w:rPr>
          <w:rFonts w:ascii="Times New Roman" w:hAnsi="Times New Roman"/>
          <w:b/>
          <w:bCs/>
          <w:sz w:val="24"/>
          <w:szCs w:val="24"/>
        </w:rPr>
        <w:t xml:space="preserve">K bodu 10 ( § 8 ods. 2 písm. a) </w:t>
      </w:r>
    </w:p>
    <w:p w14:paraId="6D7A53CC" w14:textId="456F0459" w:rsidR="2AC2D44F" w:rsidRDefault="4092A8E9" w:rsidP="004E4256">
      <w:pPr>
        <w:spacing w:after="0" w:line="276" w:lineRule="auto"/>
        <w:jc w:val="both"/>
      </w:pPr>
      <w:r w:rsidRPr="004E4256">
        <w:rPr>
          <w:rFonts w:ascii="Times New Roman" w:hAnsi="Times New Roman"/>
          <w:sz w:val="24"/>
          <w:szCs w:val="24"/>
        </w:rPr>
        <w:t xml:space="preserve">Navrhovaná úprava rozširuje oprávnenie Národnej banky Slovenska aj o vstup do priestorov a miestností obydlia, ktoré dohliadaný subjekt využíva na výkon dohliadanej činnosti. Cieľom navrhovanej úpravy je zabezpečiť efektívny výkon dohľadu aj v prípadoch, keď dohliadaný subjekt vykonáva svoju činnosť alebo uchováva dokumentáciu v priestoroch obydlia využívaných na výkon dohliadanej činnosti. Cieľom je odstrániť prekážku dohliadaného subjektu spočívajúcu v nesprístupnení obydlia pre výkon dohľadu na mieste.   </w:t>
      </w:r>
    </w:p>
    <w:p w14:paraId="3B86E28A" w14:textId="285C9D1F" w:rsidR="2AC2D44F" w:rsidRDefault="4092A8E9" w:rsidP="004E4256">
      <w:pPr>
        <w:spacing w:after="0" w:line="276" w:lineRule="auto"/>
        <w:jc w:val="both"/>
      </w:pPr>
      <w:r w:rsidRPr="004E4256">
        <w:rPr>
          <w:rFonts w:ascii="Times New Roman" w:hAnsi="Times New Roman"/>
          <w:sz w:val="24"/>
          <w:szCs w:val="24"/>
        </w:rPr>
        <w:t xml:space="preserve"> </w:t>
      </w:r>
    </w:p>
    <w:p w14:paraId="1FC7488D" w14:textId="2EF88622" w:rsidR="2AC2D44F" w:rsidRDefault="4092A8E9" w:rsidP="004E4256">
      <w:pPr>
        <w:spacing w:after="0" w:line="276" w:lineRule="auto"/>
        <w:jc w:val="both"/>
      </w:pPr>
      <w:r w:rsidRPr="004E4256">
        <w:rPr>
          <w:rFonts w:ascii="Times New Roman" w:hAnsi="Times New Roman"/>
          <w:sz w:val="24"/>
          <w:szCs w:val="24"/>
        </w:rPr>
        <w:lastRenderedPageBreak/>
        <w:t xml:space="preserve">Doplnené oprávnenie Národnej banky Slovenska je v súlade s čl. 21 ods. 3 Ústavy Slovenskej republiky, podľa ktorého, ak sa obydlie používa aj na podnikanie alebo vykonávanie inej hospodárskej činnosti, zásahy do jeho nedotknuteľnosti môžu byť zákonom dovolené, ak sú nevyhnutné na plnenie úloh verejnej správy. Výkon dohľadu na mieste vykonávaný Národnou bankou Slovenska predstavuje výkon zákonom zverenej úlohy verejnej správy, ktorej účelom je zabezpečenie bezpečného a zdravého fungovania finančného trhu. Uvedené oprávnenie sleduje legitímny cieľ spočívajúci najmä v udržiavaní dôveryhodnosti finančného trhu, ochrane finančných spotrebiteľov a ostatných klientov finančného trhu, ako aj v predchádzaní zneužívaniu finančného systému na legalizáciu príjmov z trestnej činnosti a financovanie terorizmu. Navrhované oprávnenie je preto nevyhnutným nástrojom na účinný výkon dohľadu aj v prípadoch, keď priestory alebo miestnosti slúžiace dohliadanému subjektu na výkon dohliadanej činnosti sú zároveň aj jeho obydlím. V dôsledku navrhovanej úpravy sa poznámka pod čiarou k odkazu 22 vypúšťa. </w:t>
      </w:r>
    </w:p>
    <w:p w14:paraId="4470CC33" w14:textId="71F74459" w:rsidR="2AC2D44F" w:rsidRDefault="4092A8E9" w:rsidP="004E4256">
      <w:pPr>
        <w:spacing w:after="0" w:line="276" w:lineRule="auto"/>
        <w:jc w:val="both"/>
      </w:pPr>
      <w:r w:rsidRPr="004E4256">
        <w:rPr>
          <w:rFonts w:ascii="Times New Roman" w:hAnsi="Times New Roman"/>
          <w:sz w:val="24"/>
          <w:szCs w:val="24"/>
        </w:rPr>
        <w:t xml:space="preserve"> </w:t>
      </w:r>
    </w:p>
    <w:p w14:paraId="5098271A" w14:textId="127BD093" w:rsidR="2AC2D44F" w:rsidRDefault="4092A8E9" w:rsidP="004E4256">
      <w:pPr>
        <w:spacing w:after="0" w:line="276" w:lineRule="auto"/>
        <w:jc w:val="both"/>
      </w:pPr>
      <w:r w:rsidRPr="004E4256">
        <w:rPr>
          <w:rFonts w:ascii="Times New Roman" w:hAnsi="Times New Roman"/>
          <w:b/>
          <w:bCs/>
          <w:sz w:val="24"/>
          <w:szCs w:val="24"/>
        </w:rPr>
        <w:t>K bodu 11 ( § 29 ods. 2)</w:t>
      </w:r>
    </w:p>
    <w:p w14:paraId="12EA4FF1" w14:textId="21B7913E" w:rsidR="2AC2D44F" w:rsidRDefault="4092A8E9" w:rsidP="004E4256">
      <w:pPr>
        <w:spacing w:after="0"/>
        <w:jc w:val="both"/>
      </w:pPr>
      <w:r w:rsidRPr="004E4256">
        <w:rPr>
          <w:rFonts w:ascii="Times New Roman" w:hAnsi="Times New Roman"/>
          <w:sz w:val="24"/>
          <w:szCs w:val="24"/>
        </w:rPr>
        <w:t>Navrhovaná úprava zohľadňuje posilnenú spoluprácu Národnej banky Slovenska s orgánmi dohľadu v oblasti AML/CFT pri povoľovacích konaniach. Národnej banke Slovenska sa výslovne umožňuje vyžiadať si pri posudzovaní splnenia zákonných podmienok a požiadaviek vzťahujúcich sa na osoby vykonávajúce funkciu člena štatutárneho orgánu, člena dozornej rady, vedúceho zamestnanca, osoby zodpovednej za plnenie úloh v oblasti AML/CFT, konečného užívateľa výhod alebo žiadateľa stanoviská, informácie alebo iné relevantné podklady od Úradu AMLA, ako aj od príslušných orgánov dohľadu členských štátov alebo tretích štátov vykonávajúcich dohľad v oblasti AML/CFT.</w:t>
      </w:r>
    </w:p>
    <w:p w14:paraId="52BA2DE7" w14:textId="74481C7D" w:rsidR="2AC2D44F" w:rsidRDefault="1CF44FD5" w:rsidP="004E4256">
      <w:pPr>
        <w:spacing w:after="0"/>
        <w:jc w:val="both"/>
      </w:pPr>
      <w:r w:rsidRPr="23BE041E">
        <w:rPr>
          <w:rFonts w:ascii="Times New Roman" w:hAnsi="Times New Roman"/>
          <w:sz w:val="24"/>
          <w:szCs w:val="24"/>
        </w:rPr>
        <w:t xml:space="preserve">Cieľom navrhovanej úpravy je zabezpečiť, aby Národná banka Slovenska mohla pri rozhodovaní zohľadniť všetky relevantné skutočnosti významné na posúdenie splnenia zákonných podmienok vrátane informácií o prípadných zisteniach v oblasti AML/CFT. Úprava zároveň podporuje účinnú medzinárodnú spoluprácu a výmenu informácií medzi Národnou bankou Slovenska ako </w:t>
      </w:r>
      <w:proofErr w:type="spellStart"/>
      <w:r w:rsidRPr="23BE041E">
        <w:rPr>
          <w:rFonts w:ascii="Times New Roman" w:hAnsi="Times New Roman"/>
          <w:sz w:val="24"/>
          <w:szCs w:val="24"/>
        </w:rPr>
        <w:t>prudenciálnym</w:t>
      </w:r>
      <w:proofErr w:type="spellEnd"/>
      <w:r w:rsidRPr="23BE041E">
        <w:rPr>
          <w:rFonts w:ascii="Times New Roman" w:hAnsi="Times New Roman"/>
          <w:sz w:val="24"/>
          <w:szCs w:val="24"/>
        </w:rPr>
        <w:t xml:space="preserve"> orgánom dohľadu a orgánmi dohľadu, ktoré sú súčasťou európskeho systému dohľadu v oblasti AML/CFT, a prispieva k napĺňaniu požiadaviek vyplývajúcich z európskeho právneho rámca dohľadu v oblasti AML/CFT ako aj nového zákona AML, čím posilňuje kvalitu, dôslednosť a zákonnosť povoľovacieho procesu.</w:t>
      </w:r>
    </w:p>
    <w:p w14:paraId="470908C6" w14:textId="556C6792" w:rsidR="6405D0E6" w:rsidRDefault="6405D0E6" w:rsidP="070BDBF9">
      <w:pPr>
        <w:spacing w:after="0"/>
        <w:jc w:val="center"/>
        <w:rPr>
          <w:rFonts w:ascii="Times New Roman" w:hAnsi="Times New Roman"/>
          <w:b/>
          <w:bCs/>
          <w:sz w:val="24"/>
          <w:szCs w:val="24"/>
          <w:u w:val="single"/>
        </w:rPr>
      </w:pPr>
    </w:p>
    <w:p w14:paraId="5D069B6F" w14:textId="50431C47" w:rsidR="23BE041E" w:rsidRDefault="23BE041E" w:rsidP="23BE041E">
      <w:pPr>
        <w:spacing w:after="0"/>
        <w:jc w:val="center"/>
        <w:rPr>
          <w:rFonts w:ascii="Times New Roman" w:hAnsi="Times New Roman"/>
          <w:b/>
          <w:bCs/>
          <w:sz w:val="24"/>
          <w:szCs w:val="24"/>
          <w:u w:val="single"/>
        </w:rPr>
      </w:pPr>
    </w:p>
    <w:p w14:paraId="1F1F1565" w14:textId="1BCDE1B8" w:rsidR="2AC2D44F" w:rsidRDefault="5775A83B" w:rsidP="070BDBF9">
      <w:pPr>
        <w:spacing w:after="0"/>
        <w:jc w:val="center"/>
        <w:rPr>
          <w:rFonts w:ascii="Times New Roman" w:hAnsi="Times New Roman"/>
          <w:b/>
          <w:bCs/>
          <w:sz w:val="24"/>
          <w:szCs w:val="24"/>
        </w:rPr>
      </w:pPr>
      <w:r w:rsidRPr="070BDBF9">
        <w:rPr>
          <w:rFonts w:ascii="Times New Roman" w:hAnsi="Times New Roman"/>
          <w:b/>
          <w:bCs/>
          <w:sz w:val="24"/>
          <w:szCs w:val="24"/>
        </w:rPr>
        <w:t>Čl. XIV</w:t>
      </w:r>
    </w:p>
    <w:p w14:paraId="5D3EB18F" w14:textId="1F7B5B72" w:rsidR="6405D0E6" w:rsidRDefault="6405D0E6" w:rsidP="070BDBF9">
      <w:pPr>
        <w:spacing w:after="0"/>
        <w:jc w:val="center"/>
        <w:rPr>
          <w:rFonts w:ascii="Times New Roman" w:hAnsi="Times New Roman"/>
          <w:b/>
          <w:bCs/>
          <w:sz w:val="24"/>
          <w:szCs w:val="24"/>
          <w:u w:val="single"/>
        </w:rPr>
      </w:pPr>
    </w:p>
    <w:p w14:paraId="75B98EB7" w14:textId="57C3C984" w:rsidR="2AC2D44F" w:rsidRDefault="14D2C3FF" w:rsidP="070BDBF9">
      <w:pPr>
        <w:spacing w:after="0"/>
        <w:jc w:val="center"/>
      </w:pPr>
      <w:r w:rsidRPr="23BE041E">
        <w:rPr>
          <w:rFonts w:ascii="Times New Roman" w:hAnsi="Times New Roman"/>
          <w:b/>
          <w:bCs/>
          <w:sz w:val="24"/>
          <w:szCs w:val="24"/>
        </w:rPr>
        <w:t xml:space="preserve">Zákon č. </w:t>
      </w:r>
      <w:hyperlink r:id="rId12">
        <w:r w:rsidRPr="23BE041E">
          <w:rPr>
            <w:rFonts w:ascii="Times New Roman" w:hAnsi="Times New Roman"/>
            <w:b/>
            <w:bCs/>
            <w:sz w:val="24"/>
            <w:szCs w:val="24"/>
          </w:rPr>
          <w:t>8/2005 Z. z.</w:t>
        </w:r>
      </w:hyperlink>
      <w:r w:rsidRPr="23BE041E">
        <w:rPr>
          <w:rFonts w:ascii="Times New Roman" w:hAnsi="Times New Roman"/>
          <w:b/>
          <w:bCs/>
          <w:sz w:val="24"/>
          <w:szCs w:val="24"/>
        </w:rPr>
        <w:t xml:space="preserve"> o správcoch</w:t>
      </w:r>
    </w:p>
    <w:p w14:paraId="3E87A8E3" w14:textId="3C3793AB" w:rsidR="23BE041E" w:rsidRDefault="23BE041E" w:rsidP="23BE041E">
      <w:pPr>
        <w:spacing w:after="0"/>
        <w:jc w:val="center"/>
        <w:rPr>
          <w:rFonts w:ascii="Times New Roman" w:hAnsi="Times New Roman"/>
          <w:b/>
          <w:bCs/>
          <w:sz w:val="24"/>
          <w:szCs w:val="24"/>
        </w:rPr>
      </w:pPr>
    </w:p>
    <w:p w14:paraId="53952608" w14:textId="5E3947AD" w:rsidR="37407A65" w:rsidRDefault="37407A65" w:rsidP="23BE041E">
      <w:pPr>
        <w:spacing w:after="0"/>
        <w:jc w:val="both"/>
      </w:pPr>
      <w:r w:rsidRPr="23BE041E">
        <w:rPr>
          <w:rFonts w:ascii="Times New Roman" w:hAnsi="Times New Roman"/>
          <w:sz w:val="24"/>
          <w:szCs w:val="24"/>
        </w:rPr>
        <w:t>Navrhovaným ustanovením sa transponuje čl. 56 ods. 2 písm. f) smernice (EÚ) 2024/1640, podľa ktorého musia mať orgány dohľadu právomoc odňať povolenie na vykonávanie činnosti subjektu, nad ktorým vykonávajú dohľad, ak tento subjekt porušuje povinnosti ustanovené v nariadení (EÚ) 2024/1624, má nedostatky vo vnútorných politikách, postupoch a kontrolách, alebo jeho vnútorné politiky, postupy a kontroly nie sú úmerné rizikám ML/TF.</w:t>
      </w:r>
    </w:p>
    <w:p w14:paraId="27DB8289" w14:textId="6E1DE035" w:rsidR="23BE041E" w:rsidRDefault="23BE041E" w:rsidP="23BE041E">
      <w:pPr>
        <w:spacing w:after="0"/>
        <w:jc w:val="both"/>
        <w:rPr>
          <w:rFonts w:ascii="Times New Roman" w:hAnsi="Times New Roman"/>
          <w:sz w:val="24"/>
          <w:szCs w:val="24"/>
        </w:rPr>
      </w:pPr>
    </w:p>
    <w:p w14:paraId="18D92044" w14:textId="53248D25" w:rsidR="37407A65" w:rsidRDefault="37407A65" w:rsidP="23BE041E">
      <w:pPr>
        <w:spacing w:after="0"/>
        <w:jc w:val="both"/>
        <w:rPr>
          <w:rFonts w:ascii="Times New Roman" w:hAnsi="Times New Roman"/>
          <w:sz w:val="24"/>
          <w:szCs w:val="24"/>
        </w:rPr>
      </w:pPr>
      <w:r w:rsidRPr="23BE041E">
        <w:rPr>
          <w:rFonts w:ascii="Times New Roman" w:hAnsi="Times New Roman"/>
          <w:sz w:val="24"/>
          <w:szCs w:val="24"/>
        </w:rPr>
        <w:t>Keďže FSJ nie je vo vzťahu k povinným osobám, nad ktorými vykonáva dohľad v AML/CFT oblasti zároveň orgánom oprávneným rozhodovať o odňatí oprávnenia na vykonávanie ich činnosti, navrhuje sa upraviť osobitný mechanizmus uplatňovania tejto právomoci.</w:t>
      </w:r>
    </w:p>
    <w:p w14:paraId="42221A91" w14:textId="7590131F" w:rsidR="37407A65" w:rsidRDefault="37407A65" w:rsidP="23BE041E">
      <w:pPr>
        <w:spacing w:after="0"/>
        <w:jc w:val="both"/>
      </w:pPr>
      <w:r w:rsidRPr="23BE041E">
        <w:rPr>
          <w:rFonts w:ascii="Times New Roman" w:hAnsi="Times New Roman"/>
          <w:sz w:val="24"/>
          <w:szCs w:val="24"/>
        </w:rPr>
        <w:lastRenderedPageBreak/>
        <w:t>Samotnému rozhodnutiu o odobratí oprávnenia na podnikateľskú alebo inú samostatnú zárobkovú činnosť však bude predchádzať viacero krokov.</w:t>
      </w:r>
    </w:p>
    <w:p w14:paraId="06654FEB" w14:textId="2083FD4B" w:rsidR="37407A65" w:rsidRDefault="37407A65" w:rsidP="23BE041E">
      <w:pPr>
        <w:spacing w:after="0"/>
        <w:jc w:val="both"/>
      </w:pPr>
      <w:r w:rsidRPr="23BE041E">
        <w:rPr>
          <w:rFonts w:ascii="Times New Roman" w:hAnsi="Times New Roman"/>
          <w:sz w:val="24"/>
          <w:szCs w:val="24"/>
        </w:rPr>
        <w:t>Na začiatku musí FSJ v rámci vykonávaného dohľadu zistiť, že povinná osoba neplní alebo porušuje niektorú z povinností upravených v § 54 ods. 1 písm. a) až c). FSJ v rozhodnutí o uložení administratívneho opatrenia určí lehotu na jeho splnenie. V prípade, ak povinná osoba v stanovenej lehote administratívne opatrenie nesplní, FSJ uloží povinnej osobe penále, ktoré môže byť určené na obdobie najviac šesť mesiacov, ktorého cieľom je vynútenie si splnenia administratívneho opatrenia. Ak povinná osoba ani po uplynutí tejto lehoty administratívne opatrenie nesplní, FSJ jej uloží dodatočné penále, taktiež najviac na dobu šesť mesiacov.</w:t>
      </w:r>
    </w:p>
    <w:p w14:paraId="4F13AED8" w14:textId="6AFF7806" w:rsidR="37407A65" w:rsidRDefault="37407A65" w:rsidP="23BE041E">
      <w:pPr>
        <w:spacing w:after="0"/>
        <w:jc w:val="both"/>
      </w:pPr>
      <w:r w:rsidRPr="23BE041E">
        <w:rPr>
          <w:rFonts w:ascii="Times New Roman" w:hAnsi="Times New Roman"/>
          <w:sz w:val="24"/>
          <w:szCs w:val="24"/>
        </w:rPr>
        <w:t>V prípade, ak povinná osoba ani po uplynutí doby, na ktorú jej bolo uložené dodatočné penále, administratívne opatrenie nesplní, FSJ rozhodne o odobratí oprávnenia na podnikateľskú alebo inú samostatnú zárobkovú činnosť.</w:t>
      </w:r>
    </w:p>
    <w:p w14:paraId="782A3B46" w14:textId="56D3EEC8" w:rsidR="37407A65" w:rsidRDefault="37407A65" w:rsidP="23BE041E">
      <w:pPr>
        <w:spacing w:after="0"/>
        <w:jc w:val="both"/>
      </w:pPr>
      <w:r w:rsidRPr="23BE041E">
        <w:rPr>
          <w:rFonts w:ascii="Times New Roman" w:hAnsi="Times New Roman"/>
          <w:sz w:val="24"/>
          <w:szCs w:val="24"/>
        </w:rPr>
        <w:t xml:space="preserve">Právoplatné rozhodnutie o uložení administratívneho opatrenia spočívajúce v odobratí </w:t>
      </w:r>
      <w:r w:rsidR="72168994" w:rsidRPr="23BE041E">
        <w:rPr>
          <w:rFonts w:ascii="Times New Roman" w:hAnsi="Times New Roman"/>
          <w:sz w:val="24"/>
          <w:szCs w:val="24"/>
        </w:rPr>
        <w:t>oprávnenia na podnikateľskú alebo inú samostatnú zárobkovú činnosť</w:t>
      </w:r>
      <w:r w:rsidRPr="23BE041E">
        <w:rPr>
          <w:rFonts w:ascii="Times New Roman" w:hAnsi="Times New Roman"/>
          <w:sz w:val="24"/>
          <w:szCs w:val="24"/>
        </w:rPr>
        <w:t xml:space="preserve">, zašle FSJ do 10 pracovných dní ministerstvu spravodlivosti, ktoré následne </w:t>
      </w:r>
      <w:r w:rsidR="2B7E0971" w:rsidRPr="23BE041E">
        <w:rPr>
          <w:rFonts w:ascii="Times New Roman" w:hAnsi="Times New Roman"/>
          <w:sz w:val="24"/>
          <w:szCs w:val="24"/>
        </w:rPr>
        <w:t xml:space="preserve">správcu vyčiarkne zo zoznamu správcov. </w:t>
      </w:r>
    </w:p>
    <w:p w14:paraId="0D96A450" w14:textId="3156C10B" w:rsidR="6405D0E6" w:rsidRDefault="6405D0E6" w:rsidP="23BE041E">
      <w:pPr>
        <w:spacing w:after="0"/>
        <w:jc w:val="both"/>
        <w:rPr>
          <w:rFonts w:ascii="Times New Roman" w:hAnsi="Times New Roman"/>
          <w:b/>
          <w:bCs/>
          <w:sz w:val="24"/>
          <w:szCs w:val="24"/>
          <w:highlight w:val="yellow"/>
        </w:rPr>
      </w:pPr>
    </w:p>
    <w:p w14:paraId="07E163C4" w14:textId="7CF8EF4A" w:rsidR="6405D0E6" w:rsidRDefault="6405D0E6" w:rsidP="070BDBF9">
      <w:pPr>
        <w:spacing w:after="0"/>
        <w:jc w:val="center"/>
        <w:rPr>
          <w:rFonts w:ascii="Times New Roman" w:hAnsi="Times New Roman"/>
          <w:b/>
          <w:bCs/>
          <w:sz w:val="24"/>
          <w:szCs w:val="24"/>
          <w:highlight w:val="yellow"/>
        </w:rPr>
      </w:pPr>
    </w:p>
    <w:p w14:paraId="24CFD690" w14:textId="58ADF22E" w:rsidR="2AC2D44F" w:rsidRDefault="5775A83B" w:rsidP="070BDBF9">
      <w:pPr>
        <w:spacing w:after="120" w:line="276" w:lineRule="auto"/>
        <w:ind w:left="-11"/>
        <w:jc w:val="center"/>
        <w:rPr>
          <w:rFonts w:ascii="Times New Roman" w:hAnsi="Times New Roman"/>
          <w:b/>
          <w:bCs/>
          <w:sz w:val="24"/>
          <w:szCs w:val="24"/>
        </w:rPr>
      </w:pPr>
      <w:r w:rsidRPr="070BDBF9">
        <w:rPr>
          <w:rFonts w:ascii="Times New Roman" w:hAnsi="Times New Roman"/>
          <w:b/>
          <w:bCs/>
          <w:sz w:val="24"/>
          <w:szCs w:val="24"/>
        </w:rPr>
        <w:t>Čl. XV</w:t>
      </w:r>
    </w:p>
    <w:p w14:paraId="7ED87659" w14:textId="2605E0FA" w:rsidR="2AC2D44F" w:rsidRDefault="5775A83B" w:rsidP="070BDBF9">
      <w:pPr>
        <w:spacing w:after="0"/>
        <w:jc w:val="center"/>
        <w:rPr>
          <w:rFonts w:ascii="Times New Roman" w:hAnsi="Times New Roman"/>
          <w:b/>
          <w:bCs/>
          <w:sz w:val="24"/>
          <w:szCs w:val="24"/>
        </w:rPr>
      </w:pPr>
      <w:r w:rsidRPr="070BDBF9">
        <w:rPr>
          <w:rFonts w:ascii="Times New Roman" w:hAnsi="Times New Roman"/>
          <w:b/>
          <w:bCs/>
          <w:sz w:val="24"/>
          <w:szCs w:val="24"/>
        </w:rPr>
        <w:t>Zákon č. 186/2009 Z. z. o finančnom sprostredkovaní a finančnom poradenstve</w:t>
      </w:r>
    </w:p>
    <w:p w14:paraId="2078C1E2" w14:textId="34A6C69B" w:rsidR="6405D0E6" w:rsidRDefault="6405D0E6" w:rsidP="070BDBF9">
      <w:pPr>
        <w:spacing w:after="0"/>
        <w:jc w:val="center"/>
        <w:rPr>
          <w:rFonts w:ascii="Times New Roman" w:hAnsi="Times New Roman"/>
          <w:b/>
          <w:bCs/>
          <w:sz w:val="24"/>
          <w:szCs w:val="24"/>
          <w:highlight w:val="yellow"/>
        </w:rPr>
      </w:pPr>
    </w:p>
    <w:p w14:paraId="4EF99EFD" w14:textId="0DAFA03F" w:rsidR="73B40473" w:rsidRDefault="73B40473" w:rsidP="070BDBF9">
      <w:pPr>
        <w:spacing w:after="0" w:line="257" w:lineRule="auto"/>
        <w:jc w:val="both"/>
        <w:rPr>
          <w:rFonts w:ascii="Times New Roman" w:hAnsi="Times New Roman"/>
          <w:b/>
          <w:bCs/>
          <w:sz w:val="24"/>
          <w:szCs w:val="24"/>
        </w:rPr>
      </w:pPr>
      <w:r w:rsidRPr="070BDBF9">
        <w:rPr>
          <w:rFonts w:ascii="Times New Roman" w:hAnsi="Times New Roman"/>
          <w:b/>
          <w:bCs/>
          <w:sz w:val="24"/>
          <w:szCs w:val="24"/>
        </w:rPr>
        <w:t>K bodu 1 [poznámky pod čiarou k odkazom 27ac a 27ad]</w:t>
      </w:r>
    </w:p>
    <w:p w14:paraId="27C4A6A3" w14:textId="404BEF3C"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Ide o legislatívno-technickú úpravu poznámok pod čiarou, ktorými sa aktualizuje odkaz na zákon o registri trestov.</w:t>
      </w:r>
    </w:p>
    <w:p w14:paraId="409FD4C3" w14:textId="24CAA672" w:rsidR="73B40473" w:rsidRDefault="73B40473" w:rsidP="070BDBF9">
      <w:pPr>
        <w:spacing w:after="0" w:line="257" w:lineRule="auto"/>
        <w:jc w:val="center"/>
        <w:rPr>
          <w:rFonts w:ascii="Times New Roman" w:hAnsi="Times New Roman"/>
          <w:sz w:val="24"/>
          <w:szCs w:val="24"/>
        </w:rPr>
      </w:pPr>
      <w:r w:rsidRPr="070BDBF9">
        <w:rPr>
          <w:rFonts w:ascii="Times New Roman" w:hAnsi="Times New Roman"/>
          <w:sz w:val="24"/>
          <w:szCs w:val="24"/>
        </w:rPr>
        <w:t xml:space="preserve"> </w:t>
      </w:r>
    </w:p>
    <w:p w14:paraId="373A4060" w14:textId="141A7639" w:rsidR="73B40473" w:rsidRDefault="73B40473" w:rsidP="070BDBF9">
      <w:pPr>
        <w:spacing w:after="0" w:line="257" w:lineRule="auto"/>
        <w:rPr>
          <w:rFonts w:ascii="Times New Roman" w:hAnsi="Times New Roman"/>
          <w:b/>
          <w:bCs/>
          <w:sz w:val="24"/>
          <w:szCs w:val="24"/>
        </w:rPr>
      </w:pPr>
      <w:r w:rsidRPr="070BDBF9">
        <w:rPr>
          <w:rFonts w:ascii="Times New Roman" w:hAnsi="Times New Roman"/>
          <w:b/>
          <w:bCs/>
          <w:sz w:val="24"/>
          <w:szCs w:val="24"/>
        </w:rPr>
        <w:t>K bodu 2 [§ 18a]</w:t>
      </w:r>
    </w:p>
    <w:p w14:paraId="2DBE4610" w14:textId="4563DD70"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Navrhuje sa vložiť nový § 18a, ktorým sa pre samostatného finančného agenta a finančného poradcu žiadajúcich o udelenie povolenia na vykonávanie činnosti v sektore poskytovania úverov, úverov na bývanie a spotrebiteľských úverov ustanovujú osobitné podmienky a osobitný postup pri preukazovaní splnenia týchto podmienok.</w:t>
      </w:r>
    </w:p>
    <w:p w14:paraId="4E214609" w14:textId="0D48020E"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4BDE9EDB" w14:textId="222C1D5A" w:rsidR="73B40473" w:rsidRDefault="2A61FFAA" w:rsidP="070BDBF9">
      <w:pPr>
        <w:spacing w:after="0" w:line="257" w:lineRule="auto"/>
        <w:jc w:val="both"/>
        <w:rPr>
          <w:rFonts w:ascii="Times New Roman" w:hAnsi="Times New Roman"/>
          <w:sz w:val="24"/>
          <w:szCs w:val="24"/>
        </w:rPr>
      </w:pPr>
      <w:r w:rsidRPr="23BE041E">
        <w:rPr>
          <w:rFonts w:ascii="Times New Roman" w:hAnsi="Times New Roman"/>
          <w:sz w:val="24"/>
          <w:szCs w:val="24"/>
        </w:rPr>
        <w:t xml:space="preserve">Navrhovaná úprava nadväzuje na čl. 6 smernice </w:t>
      </w:r>
      <w:r w:rsidR="19E62B38" w:rsidRPr="23BE041E">
        <w:rPr>
          <w:rFonts w:ascii="Times New Roman" w:hAnsi="Times New Roman"/>
          <w:sz w:val="24"/>
          <w:szCs w:val="24"/>
        </w:rPr>
        <w:t xml:space="preserve"> </w:t>
      </w:r>
      <w:r w:rsidRPr="23BE041E">
        <w:rPr>
          <w:rFonts w:ascii="Times New Roman" w:hAnsi="Times New Roman"/>
          <w:sz w:val="24"/>
          <w:szCs w:val="24"/>
        </w:rPr>
        <w:t>(EÚ) 2024/1640, ktorého cieľom je zabezpečiť, aby osoby, ktoré riadia, kontrolujú alebo vlastnia vybrané povinné osoby, ako aj osoby zabezpečujúce plnenie úloh v oblasti ochrany pred legalizáciou a financovaním terorizmu, spĺňali požiadavky bezúhonnosti, dôveryhodnosti a integrity.</w:t>
      </w:r>
    </w:p>
    <w:p w14:paraId="06734DA3" w14:textId="3AD2D05A"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6B57773D" w14:textId="50BDBF9B"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Ustanovuje sa povinnosť žiadateľa preukázať, že štatutárny orgán alebo člen štatutárneho orgánu, konečný užívateľ výhod a osoba zabezpečujúca plnenie úloh pri ochrane pred legalizáciou a financovaním terorizmu spĺňajú podmienku bezúhonnosti podľa osobitného predpisu a súčasne nie sú spriaznenými osobami osoby, ktorá bola právoplatne odsúdená za trestný čin legalizácie výnosu z trestnej činnosti, za súvisiaci trestný čin alebo za trestný čin financovania terorizmu.</w:t>
      </w:r>
    </w:p>
    <w:p w14:paraId="2CB1048C" w14:textId="5D57E2B8"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4638FD5D" w14:textId="01304D13"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Pojem spriaznená osoba sa v navrhovanej úprave používa ako vnútroštátne normatívne vyjadrenie požiadavky čl. 6 smernice (EÚ) 2024/1640 zabrániť pôsobeniu osôb, ktoré sú vo vzťahu k osobám právoplatne odsúdeným za relevantné trestné činy v takom postavení, že by </w:t>
      </w:r>
      <w:r w:rsidRPr="070BDBF9">
        <w:rPr>
          <w:rFonts w:ascii="Times New Roman" w:hAnsi="Times New Roman"/>
          <w:sz w:val="24"/>
          <w:szCs w:val="24"/>
        </w:rPr>
        <w:lastRenderedPageBreak/>
        <w:t>mohli obchádzať účel preverovania. Cieľom tejto požiadavky je zabrániť tomu, aby sa osoba nespĺňajúca požiadavky bezúhonnosti a integrity mohla nepriamo podieľať na riadení, kontrole alebo vlastníckom vplyve v povinnej osobe prostredníctvom osoby, ktorá s ňou má relevantnú osobnú, majetkovú alebo inú väzbu.</w:t>
      </w:r>
    </w:p>
    <w:p w14:paraId="6CB995C9" w14:textId="1A2A06C9"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13EA7E7D" w14:textId="53454B83"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Ustanovuje sa rozsah údajov, ktoré je žiadateľ povinný uviesť v žiadosti o udelenie povolenia, ak ide o sektor poskytovania úverov, úverov na bývanie a spotrebiteľských úverov. Ide najmä o údaje týkajúce sa osoby zabezpečujúcej plnenie úloh pri ochrane pred legalizáciou a financovaním terorizmu a konečného užívateľa výhod, ktoré sú potrebné na preverenie splnenia podmienky bezúhonnosti. Súčasne sa upravuje postup Národnej banky Slovenska pri zasielaní týchto údajov Generálnej prokuratúre Slovenskej republiky na účely vyžiadania výpisu z registra trestov. Ak je osobou zabezpečujúcou plnenie úloh pri ochrane pred legalizáciou a financovaním terorizmu alebo konečným užívateľom výhod cudzinec, žiadateľ predkladá doklad o bezúhonnosti vydaný príslušným orgánom cudzieho štátu spolu s úradne osvedčeným prekladom do slovenského jazyka. Zároveň sa ustanovuje povinnosť predložiť čestné vyhlásenie dotknutých osôb o tom, že nie sú spriaznenými osobami osoby právoplatne odsúdenej za trestný čin legalizácie výnosu z trestnej činnosti, za súvisiaci trestný čin alebo za trestný čin financovania terorizmu.</w:t>
      </w:r>
    </w:p>
    <w:p w14:paraId="6A85FEE1" w14:textId="1923D828"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672E64C6" w14:textId="44C719DC"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Upravuje sa osobitná oznamovacia povinnosť samostatného finančného agenta a finančného poradcu, ktorým už bolo udelené povolenie na vykonávanie činnosti v sektore poskytovania úverov, úverov na bývanie a spotrebiteľských úverov. Táto povinnosť sa vzťahuje na zmenu štatutárneho orgánu alebo jeho člena a na zmenu osoby zabezpečujúcej plnenie úloh pri ochrane pred legalizáciou a financovaním terorizmu. Zároveň sa vzťahuje na nadobudnutie alebo zvýšenie kvalifikovanej účasti na samostatnom finančnom agentovi alebo finančnom poradcovi, ak ide o právnickú osobu v ustanovenej právnej forme.</w:t>
      </w:r>
    </w:p>
    <w:p w14:paraId="0FF05578" w14:textId="2B37A67F"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44C85289" w14:textId="39EF1DEA"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Súčasne sa ustanovuje povinnosť predložiť doklady preukazujúce splnenie podmienok podľa odseku 1 vo vzťahu k osobám, ktorých sa oznámená skutočnosť týka. Cieľom je zabezpečiť, aby Národná banka Slovenska mala pri zmenách v riadiacej, vlastníckej alebo kontrolnej štruktúre dotknutého subjektu k dispozícii podklady potrebné na posúdenie splnenia požiadaviek bezúhonnosti, dôveryhodnosti a integrity podľa § 18a ods. 1.</w:t>
      </w:r>
    </w:p>
    <w:p w14:paraId="3DAA7CAE" w14:textId="025F8677"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58293445" w14:textId="72026C5B"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Zároveň sa upravuje postup Národnej banky Slovenska pri zápise osoby zabezpečujúcej plnenie úloh pri ochrane pred legalizáciou a financovaním terorizmu do registra. Ak táto osoba oznámená podľa odseku 5 písm. a) spĺňa podmienky podľa odseku 1, Národná banka Slovenska ju zapíše do registra v ustanovenej lehote. Navrhovaná úprava tým odlišuje oznamovaciu a dokladovú povinnosť podľa odseku 5 od samotného zápisu osoby zabezpečujúcej plnenie úloh pri ochrane pred legalizáciou a financovaním terorizmu do registra.</w:t>
      </w:r>
    </w:p>
    <w:p w14:paraId="3EAD7FAA" w14:textId="7BCD47FF"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2C445284" w14:textId="4650E624"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Ustanovuje sa postup Národnej banky Slovenska pri preverovaní splnenia podmienky bezúhonnosti a dôveryhodnosti štatutárneho orgánu alebo jeho člena, osoby zabezpečujúcej plnenie úloh pri ochrane pred legalizáciou a financovaním terorizmu a konečného užívateľa výhod. Národná banka Slovenska je na tento účel oprávnená požiadať Generálnu prokuratúru Slovenskej republiky o vydanie výpisu z registra trestov a preveriť dotknutú osobu v príslušnej centrálnej databáze v oblasti ochrany pred legalizáciou a financovaním terorizmu.</w:t>
      </w:r>
    </w:p>
    <w:p w14:paraId="45552DE5" w14:textId="6C77566D"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1E7F6780" w14:textId="2D29D847"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lastRenderedPageBreak/>
        <w:t>Navrhovaná úprava sleduje posilnenie transparentnosti vlastníckych, riadiacich a kontrolných vzťahov u samostatných finančných agentov a finančných poradcov pôsobiacich v sektore poskytovania úverov, úverov na bývanie a spotrebiteľských úverov. Zároveň vytvára predpoklady na účinnejší výkon dohľadu Národnej banky Slovenska v oblasti ochrany pred legalizáciou príjmov z trestnej činnosti a financovaním terorizmu a zabezpečuje zosúladenie sektorovej právnej úpravy s požiadavkami nového európskeho AML/CFT rámca.</w:t>
      </w:r>
    </w:p>
    <w:p w14:paraId="17ABFE59" w14:textId="30C5E257" w:rsidR="73B40473" w:rsidRDefault="73B40473" w:rsidP="070BDBF9">
      <w:pPr>
        <w:spacing w:after="0" w:line="257" w:lineRule="auto"/>
        <w:ind w:left="284"/>
        <w:jc w:val="both"/>
        <w:rPr>
          <w:rFonts w:ascii="Times New Roman" w:hAnsi="Times New Roman"/>
          <w:b/>
          <w:bCs/>
          <w:sz w:val="24"/>
          <w:szCs w:val="24"/>
        </w:rPr>
      </w:pPr>
      <w:r w:rsidRPr="070BDBF9">
        <w:rPr>
          <w:rFonts w:ascii="Times New Roman" w:hAnsi="Times New Roman"/>
          <w:b/>
          <w:bCs/>
          <w:sz w:val="24"/>
          <w:szCs w:val="24"/>
        </w:rPr>
        <w:t xml:space="preserve"> </w:t>
      </w:r>
    </w:p>
    <w:p w14:paraId="366D7935" w14:textId="7918564C" w:rsidR="73B40473" w:rsidRDefault="73B40473" w:rsidP="070BDBF9">
      <w:pPr>
        <w:spacing w:after="0" w:line="257" w:lineRule="auto"/>
        <w:rPr>
          <w:rFonts w:ascii="Times New Roman" w:hAnsi="Times New Roman"/>
          <w:b/>
          <w:bCs/>
          <w:sz w:val="24"/>
          <w:szCs w:val="24"/>
        </w:rPr>
      </w:pPr>
      <w:r w:rsidRPr="070BDBF9">
        <w:rPr>
          <w:rFonts w:ascii="Times New Roman" w:hAnsi="Times New Roman"/>
          <w:b/>
          <w:bCs/>
          <w:sz w:val="24"/>
          <w:szCs w:val="24"/>
        </w:rPr>
        <w:t>K bodu 3 [§ 24 ods.1 písm. c)]</w:t>
      </w:r>
    </w:p>
    <w:p w14:paraId="50B4C265" w14:textId="40C01364" w:rsidR="73B40473" w:rsidRDefault="2A61FFAA" w:rsidP="070BDBF9">
      <w:pPr>
        <w:spacing w:after="0" w:line="257" w:lineRule="auto"/>
        <w:jc w:val="both"/>
        <w:rPr>
          <w:rFonts w:ascii="Times New Roman" w:hAnsi="Times New Roman"/>
          <w:sz w:val="24"/>
          <w:szCs w:val="24"/>
        </w:rPr>
      </w:pPr>
      <w:r w:rsidRPr="23BE041E">
        <w:rPr>
          <w:rFonts w:ascii="Times New Roman" w:hAnsi="Times New Roman"/>
          <w:sz w:val="24"/>
          <w:szCs w:val="24"/>
        </w:rPr>
        <w:t>Navrhuje sa vypustiť § 24 ods. 1 písm. c). Uvedené ustanovenie sa stáva nadbytočným vzhľadom na navrhovaný § 24 ods. 3, ktorý obsahuje odkaz na nový európsky AML/CFT rámec, najmä na nariadenie (EÚ) 2024/1624 a smernicu (EÚ) 2024/1640</w:t>
      </w:r>
      <w:r w:rsidR="1817E7AF" w:rsidRPr="23BE041E">
        <w:rPr>
          <w:rFonts w:ascii="Times New Roman" w:hAnsi="Times New Roman"/>
          <w:sz w:val="24"/>
          <w:szCs w:val="24"/>
        </w:rPr>
        <w:t>.</w:t>
      </w:r>
    </w:p>
    <w:p w14:paraId="2A1F686C" w14:textId="7FB70C8E"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76891D49" w14:textId="684D5592" w:rsidR="73B40473" w:rsidRDefault="73B40473" w:rsidP="070BDBF9">
      <w:pPr>
        <w:spacing w:after="0" w:line="257" w:lineRule="auto"/>
        <w:rPr>
          <w:rFonts w:ascii="Times New Roman" w:hAnsi="Times New Roman"/>
          <w:b/>
          <w:bCs/>
          <w:sz w:val="24"/>
          <w:szCs w:val="24"/>
        </w:rPr>
      </w:pPr>
      <w:r w:rsidRPr="070BDBF9">
        <w:rPr>
          <w:rFonts w:ascii="Times New Roman" w:hAnsi="Times New Roman"/>
          <w:b/>
          <w:bCs/>
          <w:sz w:val="24"/>
          <w:szCs w:val="24"/>
        </w:rPr>
        <w:t>K bodu 4 [§ 24 ods. 3]</w:t>
      </w:r>
    </w:p>
    <w:p w14:paraId="27282211" w14:textId="46E5DE3C" w:rsidR="73B40473" w:rsidRDefault="2A61FFAA" w:rsidP="070BDBF9">
      <w:pPr>
        <w:spacing w:after="0" w:line="257" w:lineRule="auto"/>
        <w:jc w:val="both"/>
        <w:rPr>
          <w:rFonts w:ascii="Times New Roman" w:hAnsi="Times New Roman"/>
          <w:sz w:val="24"/>
          <w:szCs w:val="24"/>
        </w:rPr>
      </w:pPr>
      <w:r w:rsidRPr="23BE041E">
        <w:rPr>
          <w:rFonts w:ascii="Times New Roman" w:hAnsi="Times New Roman"/>
          <w:sz w:val="24"/>
          <w:szCs w:val="24"/>
        </w:rPr>
        <w:t>Navrhuje sa doplniť ustanovenie, ktorým sa výslovne ustanovuje povinnosť finančného agenta a finančného poradcu, ktorý je povinnou osobou podľa osobitného predpisu, plniť pri vykonávaní činností podľa tohto zákona povinnosti podľa osobitných predpisov v oblasti ochrany pred legalizáciou príjmov z trestnej činnosti a financovaním terorizmu. Navrhovaná úprava nadväzuje na nový európsky AML/CFT rámec, najmä na smernicu (EÚ) 2024/1640</w:t>
      </w:r>
      <w:r w:rsidR="351CB09F" w:rsidRPr="23BE041E">
        <w:rPr>
          <w:rFonts w:ascii="Times New Roman" w:hAnsi="Times New Roman"/>
          <w:sz w:val="24"/>
          <w:szCs w:val="24"/>
        </w:rPr>
        <w:t>.</w:t>
      </w:r>
    </w:p>
    <w:p w14:paraId="2CC8917B" w14:textId="6276A365"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6C5B93E5" w14:textId="06F79AB0"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Cieľom navrhovaného ustanovenia je výslovne vyjadriť väzbu medzi sektorovou právnou úpravou finančného sprostredkovania a finančného poradenstva a osobitnou právnou úpravou v oblasti ochrany pred legalizáciou príjmov z trestnej činnosti a financovaním terorizmu. Navrhovaná úprava zároveň zabezpečuje, aby bolo zo zákona zrejmé, že povinnosť plniť AML/CFT povinnosti sa vzťahuje len na tie subjekty, ktoré majú postavenie povinnej osoby podľa osobitného predpisu.</w:t>
      </w:r>
    </w:p>
    <w:p w14:paraId="396739E7" w14:textId="36AA8A1E"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741669BA" w14:textId="76DF1398"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Navrhované doplnenie prispieva k jednoznačnosti právnej úpravy, odstraňuje výkladové pochybnosti o rozsahu povinností finančného agenta a finančného poradcu a vytvára predpoklady na dôslednejšie uplatňovanie požiadaviek v oblasti ochrany pred legalizáciou príjmov z trestnej činnosti a financovaním terorizmu pri výkone činností podľa tohto zákona.</w:t>
      </w:r>
    </w:p>
    <w:p w14:paraId="4C25E377" w14:textId="04CCFB9D"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 </w:t>
      </w:r>
    </w:p>
    <w:p w14:paraId="05EBB7FF" w14:textId="6705D949" w:rsidR="73B40473" w:rsidRDefault="73B40473" w:rsidP="070BDBF9">
      <w:pPr>
        <w:spacing w:after="0" w:line="257" w:lineRule="auto"/>
        <w:jc w:val="both"/>
        <w:rPr>
          <w:rFonts w:ascii="Times New Roman" w:hAnsi="Times New Roman"/>
          <w:b/>
          <w:bCs/>
          <w:sz w:val="24"/>
          <w:szCs w:val="24"/>
        </w:rPr>
      </w:pPr>
      <w:r w:rsidRPr="070BDBF9">
        <w:rPr>
          <w:rFonts w:ascii="Times New Roman" w:hAnsi="Times New Roman"/>
          <w:b/>
          <w:bCs/>
          <w:sz w:val="24"/>
          <w:szCs w:val="24"/>
        </w:rPr>
        <w:t>K bodu 5 [poznámka pod čiarou k odkazu 31]</w:t>
      </w:r>
    </w:p>
    <w:p w14:paraId="1D322C10" w14:textId="4F352909" w:rsidR="73B40473" w:rsidRDefault="2A61FFAA" w:rsidP="070BDBF9">
      <w:pPr>
        <w:spacing w:after="0" w:line="257" w:lineRule="auto"/>
        <w:jc w:val="both"/>
        <w:rPr>
          <w:rFonts w:ascii="Times New Roman" w:hAnsi="Times New Roman"/>
          <w:sz w:val="24"/>
          <w:szCs w:val="24"/>
        </w:rPr>
      </w:pPr>
      <w:r w:rsidRPr="23BE041E">
        <w:rPr>
          <w:rFonts w:ascii="Times New Roman" w:hAnsi="Times New Roman"/>
          <w:sz w:val="24"/>
          <w:szCs w:val="24"/>
        </w:rPr>
        <w:t>Ide o legislatívno-technickú úpravu poznámky pod čiarou, ktorou sa aktualizuje odkaz na nariadenie (EÚ) 2024/1624</w:t>
      </w:r>
      <w:r w:rsidR="0622FB08" w:rsidRPr="23BE041E">
        <w:rPr>
          <w:rFonts w:ascii="Times New Roman" w:hAnsi="Times New Roman"/>
          <w:sz w:val="24"/>
          <w:szCs w:val="24"/>
        </w:rPr>
        <w:t>.</w:t>
      </w:r>
    </w:p>
    <w:p w14:paraId="3BDBB8A6" w14:textId="7922D374"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 </w:t>
      </w:r>
    </w:p>
    <w:p w14:paraId="54EEABDA" w14:textId="2A59D2CA" w:rsidR="73B40473" w:rsidRDefault="73B40473" w:rsidP="070BDBF9">
      <w:pPr>
        <w:spacing w:after="0" w:line="257" w:lineRule="auto"/>
        <w:jc w:val="both"/>
        <w:rPr>
          <w:rFonts w:ascii="Times New Roman" w:hAnsi="Times New Roman"/>
          <w:b/>
          <w:bCs/>
          <w:sz w:val="24"/>
          <w:szCs w:val="24"/>
        </w:rPr>
      </w:pPr>
      <w:r w:rsidRPr="070BDBF9">
        <w:rPr>
          <w:rFonts w:ascii="Times New Roman" w:hAnsi="Times New Roman"/>
          <w:b/>
          <w:bCs/>
          <w:sz w:val="24"/>
          <w:szCs w:val="24"/>
        </w:rPr>
        <w:t>K bodu 6 [poznámka pod čiarou k odkazu 35]</w:t>
      </w:r>
    </w:p>
    <w:p w14:paraId="5DB53AD4" w14:textId="7E08B815"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Ide o legislatívno-technickú úpravu poznámky pod čiarou, ktorou sa aktualizuje odkaz na zákon o ochrane pred legalizáciou výnosov z trestnej činnosti, súvisiacimi predikatívnymi trestnými činmi a financovaním terorizmu a o zmene a doplnení niektorých zákonov.</w:t>
      </w:r>
    </w:p>
    <w:p w14:paraId="68BF8350" w14:textId="24023F11"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 </w:t>
      </w:r>
    </w:p>
    <w:p w14:paraId="4A2660D7" w14:textId="3ABA2140" w:rsidR="73B40473" w:rsidRDefault="73B40473" w:rsidP="070BDBF9">
      <w:pPr>
        <w:spacing w:after="0" w:line="257" w:lineRule="auto"/>
        <w:rPr>
          <w:rFonts w:ascii="Times New Roman" w:hAnsi="Times New Roman"/>
          <w:b/>
          <w:bCs/>
          <w:sz w:val="24"/>
          <w:szCs w:val="24"/>
        </w:rPr>
      </w:pPr>
      <w:r w:rsidRPr="070BDBF9">
        <w:rPr>
          <w:rFonts w:ascii="Times New Roman" w:hAnsi="Times New Roman"/>
          <w:b/>
          <w:bCs/>
          <w:sz w:val="24"/>
          <w:szCs w:val="24"/>
        </w:rPr>
        <w:t>K bodu 7 [§ 38 ods. 4]</w:t>
      </w:r>
    </w:p>
    <w:p w14:paraId="41918FCA" w14:textId="1690A5E1"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Navrhuje sa doplniť nový § 38 ods. 4, ktorým sa výslovne ustanovuje </w:t>
      </w:r>
      <w:proofErr w:type="spellStart"/>
      <w:r w:rsidRPr="070BDBF9">
        <w:rPr>
          <w:rFonts w:ascii="Times New Roman" w:hAnsi="Times New Roman"/>
          <w:sz w:val="24"/>
          <w:szCs w:val="24"/>
        </w:rPr>
        <w:t>dohľadová</w:t>
      </w:r>
      <w:proofErr w:type="spellEnd"/>
      <w:r w:rsidRPr="070BDBF9">
        <w:rPr>
          <w:rFonts w:ascii="Times New Roman" w:hAnsi="Times New Roman"/>
          <w:sz w:val="24"/>
          <w:szCs w:val="24"/>
        </w:rPr>
        <w:t xml:space="preserve"> pôsobnosť Národnej banky Slovenska vo vzťahu k plneniu podmienok podľa § 18a.</w:t>
      </w:r>
    </w:p>
    <w:p w14:paraId="06F9959A" w14:textId="3070A3EF"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 </w:t>
      </w:r>
    </w:p>
    <w:p w14:paraId="427C191F" w14:textId="0B064802"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Navrhovaná úprava nadväzuje na vloženie nového § 18a, ktorým sa pre samostatného finančného agenta a finančného poradcu v sektore poskytovania úverov, úverov na bývanie a spotrebiteľských úverov ustanovujú osobitné podmienky týkajúce sa štatutárneho orgánu alebo </w:t>
      </w:r>
      <w:r w:rsidRPr="070BDBF9">
        <w:rPr>
          <w:rFonts w:ascii="Times New Roman" w:hAnsi="Times New Roman"/>
          <w:sz w:val="24"/>
          <w:szCs w:val="24"/>
        </w:rPr>
        <w:lastRenderedPageBreak/>
        <w:t>jeho členov, konečného užívateľa výhod a osoby zabezpečujúcej plnenie úloh pri ochrane pred legalizáciou a financovaním terorizmu.</w:t>
      </w:r>
    </w:p>
    <w:p w14:paraId="5C2A47A7" w14:textId="7845C520"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0A598B89" w14:textId="6E1535D7"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Cieľom navrhovaného ustanovenia je výslovne upraviť, že Národná banka Slovenska vykonáva dohľad nad plnením týchto podmienok v závislosti od miery rizika legalizácie a financovania terorizmu u dotknutého finančného agenta alebo finančného poradcu. Ustanovenie tým premieta do sektorovej právnej úpravy rizikovo orientovaný prístup k výkonu dohľadu v oblasti ochrany pred legalizáciou príjmov z trestnej činnosti a financovaním terorizmu.</w:t>
      </w:r>
    </w:p>
    <w:p w14:paraId="7014307C" w14:textId="7D3C9479"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7619BF1C" w14:textId="1253A77E"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Národná banka Slovenska overí plnenie oznamovacej povinnosti podľa § 18a ods. 4 predovšetkým v prípadoch, ak existuje dôvodné podozrenie alebo zvýšené riziko, že dochádza, došlo alebo môže dôjsť k legalizácii alebo financovaniu terorizmu. Tým sa vytvára právny základ na cielený a primeraný výkon dohľadu v situáciách, v ktorých môžu mať zmeny v riadiacej, kontrolnej alebo vlastníckej štruktúre dotknutého subjektu význam z hľadiska rizika legalizácie alebo financovania terorizmu.</w:t>
      </w:r>
    </w:p>
    <w:p w14:paraId="4000BA2D" w14:textId="35341C8B"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0330FA14" w14:textId="26C807F4"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 xml:space="preserve">Posilnení sa týmto dohľad Národnej banky Slovenska nad plnením osobitných podmienok podľa § 18a a zabezpečí sa, aby </w:t>
      </w:r>
      <w:proofErr w:type="spellStart"/>
      <w:r w:rsidRPr="070BDBF9">
        <w:rPr>
          <w:rFonts w:ascii="Times New Roman" w:hAnsi="Times New Roman"/>
          <w:sz w:val="24"/>
          <w:szCs w:val="24"/>
        </w:rPr>
        <w:t>dohľadové</w:t>
      </w:r>
      <w:proofErr w:type="spellEnd"/>
      <w:r w:rsidRPr="070BDBF9">
        <w:rPr>
          <w:rFonts w:ascii="Times New Roman" w:hAnsi="Times New Roman"/>
          <w:sz w:val="24"/>
          <w:szCs w:val="24"/>
        </w:rPr>
        <w:t xml:space="preserve"> postupy boli primerane zamerané na prípady so zvýšeným rizikom alebo dôvodným podozrením z legalizácie alebo financovania terorizmu.</w:t>
      </w:r>
    </w:p>
    <w:p w14:paraId="54A26E59" w14:textId="34DEC41C" w:rsidR="73B40473" w:rsidRDefault="73B40473" w:rsidP="070BDBF9">
      <w:pPr>
        <w:spacing w:after="0" w:line="257" w:lineRule="auto"/>
        <w:ind w:left="284"/>
        <w:jc w:val="center"/>
        <w:rPr>
          <w:rFonts w:ascii="Times New Roman" w:hAnsi="Times New Roman"/>
          <w:b/>
          <w:bCs/>
          <w:sz w:val="24"/>
          <w:szCs w:val="24"/>
        </w:rPr>
      </w:pPr>
      <w:r w:rsidRPr="070BDBF9">
        <w:rPr>
          <w:rFonts w:ascii="Times New Roman" w:hAnsi="Times New Roman"/>
          <w:b/>
          <w:bCs/>
          <w:sz w:val="24"/>
          <w:szCs w:val="24"/>
        </w:rPr>
        <w:t xml:space="preserve"> </w:t>
      </w:r>
    </w:p>
    <w:p w14:paraId="0A3819B7" w14:textId="49F5736D" w:rsidR="73B40473" w:rsidRDefault="73B40473" w:rsidP="070BDBF9">
      <w:pPr>
        <w:spacing w:after="0" w:line="257" w:lineRule="auto"/>
        <w:rPr>
          <w:rFonts w:ascii="Times New Roman" w:hAnsi="Times New Roman"/>
          <w:b/>
          <w:bCs/>
          <w:sz w:val="24"/>
          <w:szCs w:val="24"/>
        </w:rPr>
      </w:pPr>
      <w:r w:rsidRPr="070BDBF9">
        <w:rPr>
          <w:rFonts w:ascii="Times New Roman" w:hAnsi="Times New Roman"/>
          <w:b/>
          <w:bCs/>
          <w:sz w:val="24"/>
          <w:szCs w:val="24"/>
        </w:rPr>
        <w:t>K bodu 8 [§ 39 ods. 16]</w:t>
      </w:r>
    </w:p>
    <w:p w14:paraId="330B2400" w14:textId="16A40D61"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Navrhuje sa doplniť nový § 39 ods. 16, ktorým sa výslovne ustanovujú opatrenia, ktoré môže Národná banka Slovenska uložiť samostatnému finančnému agentovi alebo finančnému poradcovi v prípade, ak nie je dodržaná podmienka podľa § 18a ods. 1 u štatutárneho orgánu alebo jeho člena, osoby zabezpečujúcej plnenie úloh pri ochrane pred legalizáciou a financovaním terorizmu alebo konečného užívateľa výhod.</w:t>
      </w:r>
    </w:p>
    <w:p w14:paraId="597C44FD" w14:textId="1B336BD4"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1DF653B5" w14:textId="08DE34F5"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Navrhovaná úprava nadväzuje na zavedenie osobitných podmienok podľa § 18a a jej cieľom je vytvoriť výslovný právny základ na prijatie nápravných opatrení v prípadoch, ak dotknuté osoby nespĺňajú zákonom ustanovené predpoklady. Navrhuje sa preto ustanoviť oprávnenie Národnej banky Slovenska uložiť povinnosť odvolať štatutárny orgán alebo jeho člena alebo osobu zabezpečujúcu plnenie úloh pri ochrane pred legalizáciou a financovaním terorizmu, ako aj povinnosť odstrániť nedostatok týkajúci sa konečného užívateľa výhod v povinnej osobe.</w:t>
      </w:r>
    </w:p>
    <w:p w14:paraId="2779C778" w14:textId="32D9F3D4"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3E0BC2D0" w14:textId="55C09074"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Vo vzťahu ku konečnému užívateľovi výhod sa navrhovaným opatrením nesleduje formálna výmena osoby vykonávajúcej funkciu, keďže konečný užívateľ výhod nie je funkciou ani orgánom povinnej osoby, ale vyjadruje skutočné vlastnícke alebo kontrolné postavenie určitej fyzickej osoby. Účelom opatrenia je preto zabezpečiť, aby povinná osoba odstránila nedostatok vo svojej vlastníckej alebo kontrolnej štruktúre tak, aby konečný užívateľ výhod spĺňal podmienky podľa § 18a ods. 1.</w:t>
      </w:r>
    </w:p>
    <w:p w14:paraId="14AFDB75" w14:textId="5AD7382C"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55BD04B1" w14:textId="3254E5C8"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Navrhovaná úprava sleduje zabezpečenie účinného vynútenia podmienok ustanovených v § 18a a zároveň vytvára predpoklady na efektívny výkon dohľadu v oblasti ochrany pred legalizáciou príjmov z trestnej činnosti a financovaním terorizmu. Úprava zodpovedá cieľu čl. 6 smernice (EÚ) 2024/1640, ktorým je zabezpečiť, aby osoby podieľajúce sa na riadení, kontrole a vlastníckej štruktúre dotknutých subjektov spĺňali požiadavky bezúhonnosti, dôveryhodnosti a integrity.</w:t>
      </w:r>
    </w:p>
    <w:p w14:paraId="12BBBA9A" w14:textId="0DFA5E39" w:rsidR="73B40473" w:rsidRDefault="73B40473" w:rsidP="070BDBF9">
      <w:pPr>
        <w:spacing w:after="0" w:line="257" w:lineRule="auto"/>
        <w:ind w:left="284"/>
        <w:jc w:val="center"/>
        <w:rPr>
          <w:rFonts w:ascii="Times New Roman" w:hAnsi="Times New Roman"/>
          <w:sz w:val="24"/>
          <w:szCs w:val="24"/>
        </w:rPr>
      </w:pPr>
      <w:r w:rsidRPr="070BDBF9">
        <w:rPr>
          <w:rFonts w:ascii="Times New Roman" w:hAnsi="Times New Roman"/>
          <w:sz w:val="24"/>
          <w:szCs w:val="24"/>
        </w:rPr>
        <w:lastRenderedPageBreak/>
        <w:t xml:space="preserve"> </w:t>
      </w:r>
    </w:p>
    <w:p w14:paraId="646B8B50" w14:textId="41A5768E" w:rsidR="73B40473" w:rsidRDefault="73B40473" w:rsidP="070BDBF9">
      <w:pPr>
        <w:spacing w:after="0" w:line="257" w:lineRule="auto"/>
        <w:rPr>
          <w:rFonts w:ascii="Times New Roman" w:hAnsi="Times New Roman"/>
          <w:b/>
          <w:bCs/>
          <w:sz w:val="24"/>
          <w:szCs w:val="24"/>
        </w:rPr>
      </w:pPr>
      <w:r w:rsidRPr="070BDBF9">
        <w:rPr>
          <w:rFonts w:ascii="Times New Roman" w:hAnsi="Times New Roman"/>
          <w:b/>
          <w:bCs/>
          <w:sz w:val="24"/>
          <w:szCs w:val="24"/>
        </w:rPr>
        <w:t xml:space="preserve">K bodu 9 [§ 42e] </w:t>
      </w:r>
    </w:p>
    <w:p w14:paraId="38A9D60E" w14:textId="31519A2D"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Navrhuje sa doplniť prechodné ustanovenie, ktorým sa samostatnému finančnému agentovi a finančnému poradcovi, ktorý má ku dňu nadobudnutia účinnosti zákona udelené povolenie na vykonávanie činnosti v sektore poskytovania úverov, úverov na bývanie a spotrebiteľských úverov, ukladá povinnosť v určenej lehote zahrnúť do svojej organizačnej štruktúry osobu zabezpečujúcu plnenie úloh pri ochrane pred legalizáciou a financovaním terorizmu a zároveň predložiť doklady preukazujúce splnenie podmienok podľa § 18a ods. 1.</w:t>
      </w:r>
    </w:p>
    <w:p w14:paraId="5B526BED" w14:textId="70B81D62"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209A748F" w14:textId="1523B98C"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Cieľom navrhovanej úpravy je zabezpečiť, aby sa nové požiadavky ustanovené zákonom nevzťahovali len na osoby žiadajúce o udelenie povolenia po nadobudnutí jeho účinnosti, ale aby sa v primeranej lehote uplatnili aj na subjekty, ktorým už bolo povolenie na vykonávanie činnosti v dotknutom sektore udelené.</w:t>
      </w:r>
    </w:p>
    <w:p w14:paraId="72817EAD" w14:textId="48F1D179" w:rsidR="73B40473" w:rsidRDefault="73B40473" w:rsidP="070BDBF9">
      <w:pPr>
        <w:spacing w:after="0" w:line="257"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75C265D0" w14:textId="60138EC6" w:rsidR="73B40473" w:rsidRDefault="73B40473" w:rsidP="070BDBF9">
      <w:pPr>
        <w:spacing w:after="0" w:line="257" w:lineRule="auto"/>
        <w:jc w:val="both"/>
        <w:rPr>
          <w:rFonts w:ascii="Times New Roman" w:hAnsi="Times New Roman"/>
          <w:sz w:val="24"/>
          <w:szCs w:val="24"/>
        </w:rPr>
      </w:pPr>
      <w:r w:rsidRPr="070BDBF9">
        <w:rPr>
          <w:rFonts w:ascii="Times New Roman" w:hAnsi="Times New Roman"/>
          <w:sz w:val="24"/>
          <w:szCs w:val="24"/>
        </w:rPr>
        <w:t>Navrhované prechodné ustanovenie sleduje zabezpečenie plynulého prechodu na nový právny režim a vytvára predpoklady na jednotné uplatňovanie požiadaviek v oblasti ochrany pred legalizáciou príjmov z trestnej činnosti a financovaním terorizmu aj vo vzťahu k existujúcim dohliadaným subjektom. Súčasne sa tým vytvára právny základ na to, aby Národná banka Slovenska mohla po uplynutí ustanovenej lehoty posudzovať splnenie týchto povinností aj u subjektov, ktorým bolo povolenie udelené pred nadobudnutím účinnosti navrhovanej úpravy.</w:t>
      </w:r>
    </w:p>
    <w:p w14:paraId="5F81A112" w14:textId="2F15A75D" w:rsidR="6405D0E6" w:rsidRDefault="6405D0E6" w:rsidP="070BDBF9">
      <w:pPr>
        <w:spacing w:after="0"/>
        <w:jc w:val="center"/>
        <w:rPr>
          <w:rFonts w:ascii="Times New Roman" w:hAnsi="Times New Roman"/>
          <w:b/>
          <w:bCs/>
          <w:sz w:val="24"/>
          <w:szCs w:val="24"/>
          <w:highlight w:val="yellow"/>
        </w:rPr>
      </w:pPr>
    </w:p>
    <w:p w14:paraId="142265D7" w14:textId="166DF53D" w:rsidR="6405D0E6" w:rsidRDefault="6405D0E6" w:rsidP="070BDBF9">
      <w:pPr>
        <w:spacing w:after="0"/>
        <w:jc w:val="center"/>
        <w:rPr>
          <w:rFonts w:ascii="Times New Roman" w:hAnsi="Times New Roman"/>
          <w:b/>
          <w:bCs/>
          <w:sz w:val="24"/>
          <w:szCs w:val="24"/>
          <w:highlight w:val="yellow"/>
        </w:rPr>
      </w:pPr>
    </w:p>
    <w:p w14:paraId="3208AE08" w14:textId="3494F36C" w:rsidR="33DE7DE7" w:rsidRDefault="6EDC3DE9" w:rsidP="070BDBF9">
      <w:pPr>
        <w:tabs>
          <w:tab w:val="left" w:pos="3871"/>
        </w:tabs>
        <w:spacing w:after="200" w:line="276" w:lineRule="auto"/>
        <w:jc w:val="center"/>
        <w:rPr>
          <w:rFonts w:ascii="Times New Roman" w:hAnsi="Times New Roman"/>
          <w:b/>
          <w:bCs/>
          <w:sz w:val="24"/>
          <w:szCs w:val="24"/>
        </w:rPr>
      </w:pPr>
      <w:r w:rsidRPr="070BDBF9">
        <w:rPr>
          <w:rFonts w:ascii="Times New Roman" w:hAnsi="Times New Roman"/>
          <w:b/>
          <w:bCs/>
          <w:sz w:val="24"/>
          <w:szCs w:val="24"/>
        </w:rPr>
        <w:t>Čl. XVI</w:t>
      </w:r>
    </w:p>
    <w:p w14:paraId="5AD45578" w14:textId="1E66B29B" w:rsidR="33DE7DE7" w:rsidRDefault="6EDC3DE9" w:rsidP="070BDBF9">
      <w:pPr>
        <w:spacing w:after="0"/>
        <w:jc w:val="center"/>
        <w:rPr>
          <w:rFonts w:ascii="Times New Roman" w:hAnsi="Times New Roman"/>
          <w:b/>
          <w:bCs/>
          <w:sz w:val="24"/>
          <w:szCs w:val="24"/>
        </w:rPr>
      </w:pPr>
      <w:r w:rsidRPr="070BDBF9">
        <w:rPr>
          <w:rFonts w:ascii="Times New Roman" w:hAnsi="Times New Roman"/>
          <w:b/>
          <w:bCs/>
          <w:sz w:val="24"/>
          <w:szCs w:val="24"/>
        </w:rPr>
        <w:t>Zákon č. 492/2009 Z. z. o platobných službách</w:t>
      </w:r>
    </w:p>
    <w:p w14:paraId="7FE3D0B7" w14:textId="7EC88281" w:rsidR="6405D0E6" w:rsidRDefault="6405D0E6" w:rsidP="070BDBF9">
      <w:pPr>
        <w:spacing w:after="0"/>
        <w:jc w:val="center"/>
        <w:rPr>
          <w:rFonts w:ascii="Times New Roman" w:hAnsi="Times New Roman"/>
          <w:b/>
          <w:bCs/>
          <w:sz w:val="24"/>
          <w:szCs w:val="24"/>
          <w:highlight w:val="yellow"/>
        </w:rPr>
      </w:pPr>
    </w:p>
    <w:p w14:paraId="32CB5FD2" w14:textId="1D40C831"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K bodu 1</w:t>
      </w:r>
      <w:r w:rsidR="009C54C0">
        <w:rPr>
          <w:rFonts w:ascii="Times New Roman" w:hAnsi="Times New Roman"/>
          <w:b/>
          <w:bCs/>
          <w:sz w:val="24"/>
          <w:szCs w:val="24"/>
        </w:rPr>
        <w:t xml:space="preserve"> až 4, 8</w:t>
      </w:r>
      <w:r w:rsidRPr="070BDBF9">
        <w:rPr>
          <w:rFonts w:ascii="Times New Roman" w:hAnsi="Times New Roman"/>
          <w:b/>
          <w:bCs/>
          <w:sz w:val="24"/>
          <w:szCs w:val="24"/>
        </w:rPr>
        <w:t xml:space="preserve"> (Poznámk</w:t>
      </w:r>
      <w:r w:rsidR="009C54C0">
        <w:rPr>
          <w:rFonts w:ascii="Times New Roman" w:hAnsi="Times New Roman"/>
          <w:b/>
          <w:bCs/>
          <w:sz w:val="24"/>
          <w:szCs w:val="24"/>
        </w:rPr>
        <w:t>y</w:t>
      </w:r>
      <w:r w:rsidRPr="070BDBF9">
        <w:rPr>
          <w:rFonts w:ascii="Times New Roman" w:hAnsi="Times New Roman"/>
          <w:b/>
          <w:bCs/>
          <w:sz w:val="24"/>
          <w:szCs w:val="24"/>
        </w:rPr>
        <w:t xml:space="preserve"> pod čiarou k</w:t>
      </w:r>
      <w:r w:rsidR="009C54C0">
        <w:rPr>
          <w:rFonts w:ascii="Times New Roman" w:hAnsi="Times New Roman"/>
          <w:b/>
          <w:bCs/>
          <w:sz w:val="24"/>
          <w:szCs w:val="24"/>
        </w:rPr>
        <w:t> </w:t>
      </w:r>
      <w:r w:rsidRPr="070BDBF9">
        <w:rPr>
          <w:rFonts w:ascii="Times New Roman" w:hAnsi="Times New Roman"/>
          <w:b/>
          <w:bCs/>
          <w:sz w:val="24"/>
          <w:szCs w:val="24"/>
        </w:rPr>
        <w:t>odkaz</w:t>
      </w:r>
      <w:r w:rsidR="009C54C0">
        <w:rPr>
          <w:rFonts w:ascii="Times New Roman" w:hAnsi="Times New Roman"/>
          <w:b/>
          <w:bCs/>
          <w:sz w:val="24"/>
          <w:szCs w:val="24"/>
        </w:rPr>
        <w:t>om 17, 20, 55, 26a, 28a,</w:t>
      </w:r>
      <w:r w:rsidRPr="070BDBF9">
        <w:rPr>
          <w:rFonts w:ascii="Times New Roman" w:hAnsi="Times New Roman"/>
          <w:b/>
          <w:bCs/>
          <w:sz w:val="24"/>
          <w:szCs w:val="24"/>
        </w:rPr>
        <w:t xml:space="preserve"> 39</w:t>
      </w:r>
      <w:r w:rsidR="009C54C0">
        <w:rPr>
          <w:rFonts w:ascii="Times New Roman" w:hAnsi="Times New Roman"/>
          <w:b/>
          <w:bCs/>
          <w:sz w:val="24"/>
          <w:szCs w:val="24"/>
        </w:rPr>
        <w:t>, 58e a 68a</w:t>
      </w:r>
      <w:r w:rsidRPr="070BDBF9">
        <w:rPr>
          <w:rFonts w:ascii="Times New Roman" w:hAnsi="Times New Roman"/>
          <w:b/>
          <w:bCs/>
          <w:sz w:val="24"/>
          <w:szCs w:val="24"/>
        </w:rPr>
        <w:t xml:space="preserve">) </w:t>
      </w:r>
    </w:p>
    <w:p w14:paraId="61F9ECD7" w14:textId="325D37D6" w:rsidR="33DE7DE7" w:rsidRDefault="6EDC3DE9" w:rsidP="070BDBF9">
      <w:pPr>
        <w:spacing w:after="0"/>
        <w:jc w:val="both"/>
        <w:rPr>
          <w:rFonts w:ascii="Times New Roman" w:hAnsi="Times New Roman"/>
          <w:sz w:val="24"/>
          <w:szCs w:val="24"/>
        </w:rPr>
      </w:pPr>
      <w:r w:rsidRPr="070BDBF9">
        <w:rPr>
          <w:rFonts w:ascii="Times New Roman" w:hAnsi="Times New Roman"/>
          <w:sz w:val="24"/>
          <w:szCs w:val="24"/>
        </w:rPr>
        <w:t xml:space="preserve">Legislatívno-technická úprava súvisiaca s prijatím právnych predpisov v oblasti AML, a to nového AML zákona a nariadenia (EÚ) č. 2024/1624. </w:t>
      </w:r>
    </w:p>
    <w:p w14:paraId="67534588" w14:textId="3623F808"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 </w:t>
      </w:r>
    </w:p>
    <w:p w14:paraId="672643C9" w14:textId="72800EAE"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 K bodu </w:t>
      </w:r>
      <w:r w:rsidR="009C54C0">
        <w:rPr>
          <w:rFonts w:ascii="Times New Roman" w:hAnsi="Times New Roman"/>
          <w:b/>
          <w:bCs/>
          <w:sz w:val="24"/>
          <w:szCs w:val="24"/>
        </w:rPr>
        <w:t>5</w:t>
      </w:r>
      <w:r w:rsidRPr="070BDBF9">
        <w:rPr>
          <w:rFonts w:ascii="Times New Roman" w:hAnsi="Times New Roman"/>
          <w:b/>
          <w:bCs/>
          <w:sz w:val="24"/>
          <w:szCs w:val="24"/>
        </w:rPr>
        <w:t xml:space="preserve"> (§ 65 ods. 6) </w:t>
      </w:r>
    </w:p>
    <w:p w14:paraId="53379F38" w14:textId="345DD47D" w:rsidR="33DE7DE7" w:rsidRDefault="2F37D0A1" w:rsidP="070BDBF9">
      <w:pPr>
        <w:spacing w:after="0" w:line="276" w:lineRule="auto"/>
        <w:jc w:val="both"/>
        <w:rPr>
          <w:rFonts w:ascii="Times New Roman" w:hAnsi="Times New Roman"/>
          <w:sz w:val="24"/>
          <w:szCs w:val="24"/>
        </w:rPr>
      </w:pPr>
      <w:r w:rsidRPr="23BE041E">
        <w:rPr>
          <w:rFonts w:ascii="Times New Roman" w:hAnsi="Times New Roman"/>
          <w:sz w:val="24"/>
          <w:szCs w:val="24"/>
        </w:rPr>
        <w:t>Navrhovanou úpravou sa zo znenia § 65 ods. 6 vypúšťa ustanovenie, podľa ktorého sa agent platobných služieb považuje za povinnú osobu podľa osobitného predpisu, ktorým je zákon č. 297/2008 Z. z. o ochrane pred legalizáciou príjmov z trestnej činnosti a o ochrane pred financovaním terorizmu. Dôvodom tejto zmeny je potreba zosúladenia vnútroštátnej právnej úpravy s nariadením (EÚ) 2024/1624</w:t>
      </w:r>
      <w:r w:rsidR="0DF273C8" w:rsidRPr="23BE041E">
        <w:rPr>
          <w:rFonts w:ascii="Times New Roman" w:hAnsi="Times New Roman"/>
          <w:sz w:val="24"/>
          <w:szCs w:val="24"/>
        </w:rPr>
        <w:t>.</w:t>
      </w:r>
      <w:r w:rsidRPr="23BE041E">
        <w:rPr>
          <w:rFonts w:ascii="Times New Roman" w:hAnsi="Times New Roman"/>
          <w:sz w:val="24"/>
          <w:szCs w:val="24"/>
        </w:rPr>
        <w:t xml:space="preserve"> Uvedené nariadenie vymedzuje okruh povinných osôb na účely AML a agentov platobných služieb medzi povinné osoby nezaraďuje. V nadväznosti na priamu aplikovateľnosť nariadenia EÚ je preto potrebné odstrániť vnútroštátne ustanovenie, ktoré by bolo s európskou úpravou v rozpore. Zároveň sa týmto výslovne nemení rozsah povinností v oblasti AML, ktoré sa v praxi týkajú činnosti agentov platobných služieb. Aj po vypustení predmetného ustanovenia bude za plnenie povinností podľa AML legislatívy zodpovedná platobná inštitúcia, v mene ktorej agent platobných služieb koná. Agent platobných služieb je totiž súčasťou organizačnej štruktúry platobnej inštitúcie a vykonáva činnosti v jej mene a na jej zodpovednosť. Navrhovaná úprava preto predstavuje čisto harmonizačný zásah, ktorý zabezpečuje súlad vnútroštátnej právnej úpravy s právom Európskej únie, bez toho, aby </w:t>
      </w:r>
      <w:r w:rsidRPr="23BE041E">
        <w:rPr>
          <w:rFonts w:ascii="Times New Roman" w:hAnsi="Times New Roman"/>
          <w:sz w:val="24"/>
          <w:szCs w:val="24"/>
        </w:rPr>
        <w:lastRenderedPageBreak/>
        <w:t>dochádzalo k oslabeniu mechanizmov predchádzania legalizácii príjmov z trestnej činnosti alebo financovani</w:t>
      </w:r>
      <w:r w:rsidR="41782164" w:rsidRPr="23BE041E">
        <w:rPr>
          <w:rFonts w:ascii="Times New Roman" w:hAnsi="Times New Roman"/>
          <w:sz w:val="24"/>
          <w:szCs w:val="24"/>
        </w:rPr>
        <w:t>u</w:t>
      </w:r>
      <w:r w:rsidRPr="23BE041E">
        <w:rPr>
          <w:rFonts w:ascii="Times New Roman" w:hAnsi="Times New Roman"/>
          <w:sz w:val="24"/>
          <w:szCs w:val="24"/>
        </w:rPr>
        <w:t xml:space="preserve"> terorizmu.</w:t>
      </w:r>
    </w:p>
    <w:p w14:paraId="23EA0FE6" w14:textId="7855AF3B"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 xml:space="preserve"> </w:t>
      </w:r>
    </w:p>
    <w:p w14:paraId="62683941" w14:textId="27C81BD8"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K bodu </w:t>
      </w:r>
      <w:r w:rsidR="009C54C0">
        <w:rPr>
          <w:rFonts w:ascii="Times New Roman" w:hAnsi="Times New Roman"/>
          <w:b/>
          <w:bCs/>
          <w:sz w:val="24"/>
          <w:szCs w:val="24"/>
        </w:rPr>
        <w:t>6</w:t>
      </w:r>
      <w:r w:rsidRPr="070BDBF9">
        <w:rPr>
          <w:rFonts w:ascii="Times New Roman" w:hAnsi="Times New Roman"/>
          <w:b/>
          <w:bCs/>
          <w:sz w:val="24"/>
          <w:szCs w:val="24"/>
        </w:rPr>
        <w:t xml:space="preserve"> ( § 78 ods. 1)</w:t>
      </w:r>
    </w:p>
    <w:p w14:paraId="1851E18E" w14:textId="4FF8B667"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 xml:space="preserve">Navrhovaná úprava § 78 ods. 1 spresňuje rozsah dohľadu Národnej banky Slovenska nad pobočkou zahraničnej platobnej inštitúcie, a to najmä v oblastiach, v ktorých jej </w:t>
      </w:r>
      <w:proofErr w:type="spellStart"/>
      <w:r w:rsidRPr="070BDBF9">
        <w:rPr>
          <w:rFonts w:ascii="Times New Roman" w:hAnsi="Times New Roman"/>
          <w:sz w:val="24"/>
          <w:szCs w:val="24"/>
        </w:rPr>
        <w:t>dohľadová</w:t>
      </w:r>
      <w:proofErr w:type="spellEnd"/>
      <w:r w:rsidRPr="070BDBF9">
        <w:rPr>
          <w:rFonts w:ascii="Times New Roman" w:hAnsi="Times New Roman"/>
          <w:sz w:val="24"/>
          <w:szCs w:val="24"/>
        </w:rPr>
        <w:t xml:space="preserve"> právomoc vyplýva z osobitných právnych predpisov a tohto zákona. Cieľom je odstrániť interpretačné nejasnosti a jednoznačne vymedziť, že pobočka zahraničnej platobnej inštitúcie podlieha dohľadu Národnej banky Slovenska v oblasti ochrany pred legalizáciou príjmov z trestnej činnosti a financovaním terorizmu a pri úzko vymedzených oblastiach poskytovania platobných služieb, ktoré sú zverené národnému orgánu dohľadu (napr. § 79 ods. 5 posledná veta, 11 a 12  zákona č. 492/2009 Z. z. v spojení s predpismi v oblasti ochrany pred legalizáciou príjmov z trestnej činnosti). Navrhovaná úprava preto predstavuje technické a harmonizačné spresnenie, ktoré zabezpečuje jednoznačnú aplikáciu právnych predpisov pri cezhraničnom poskytovaní platobných služieb.</w:t>
      </w:r>
    </w:p>
    <w:p w14:paraId="236D4759" w14:textId="68F9ACBC"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 xml:space="preserve"> </w:t>
      </w:r>
    </w:p>
    <w:p w14:paraId="32A959AC" w14:textId="49F70081"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K bodu </w:t>
      </w:r>
      <w:r w:rsidR="009C54C0">
        <w:rPr>
          <w:rFonts w:ascii="Times New Roman" w:hAnsi="Times New Roman"/>
          <w:b/>
          <w:bCs/>
          <w:sz w:val="24"/>
          <w:szCs w:val="24"/>
        </w:rPr>
        <w:t>7</w:t>
      </w:r>
      <w:r w:rsidRPr="070BDBF9">
        <w:rPr>
          <w:rFonts w:ascii="Times New Roman" w:hAnsi="Times New Roman"/>
          <w:b/>
          <w:bCs/>
          <w:sz w:val="24"/>
          <w:szCs w:val="24"/>
        </w:rPr>
        <w:t xml:space="preserve"> (§ 79 ods. 11 tretia veta)</w:t>
      </w:r>
    </w:p>
    <w:p w14:paraId="1E33FA05" w14:textId="6EEA6A45"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Uvedenou úpravou sa dôsledne transponuje článok 30 odsek 4 Smernice Európskeho parlamentu a Rady (EÚ) 2015/2366 z 25. novembra 2015 o platobných službách na vnútornom trhu, ktorou sa menia smernice 2002/65/ES, 2009/110/ES a 2013/36/EÚ a nariadenie (EÚ) č. 1093/2010 a ktorou sa zrušuje smernica 2007/64/ES, aby bolo zrejmé, že NBS má informovať v prvom rade vopred, ak to nie je možné, tak bezodkladne.</w:t>
      </w:r>
    </w:p>
    <w:p w14:paraId="04FFB2FD" w14:textId="5D3AD207"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 </w:t>
      </w:r>
    </w:p>
    <w:p w14:paraId="4D709265" w14:textId="41C869B9"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K bodu </w:t>
      </w:r>
      <w:r w:rsidR="00165C55">
        <w:rPr>
          <w:rFonts w:ascii="Times New Roman" w:hAnsi="Times New Roman"/>
          <w:b/>
          <w:bCs/>
          <w:sz w:val="24"/>
          <w:szCs w:val="24"/>
        </w:rPr>
        <w:t>9</w:t>
      </w:r>
      <w:r w:rsidRPr="070BDBF9">
        <w:rPr>
          <w:rFonts w:ascii="Times New Roman" w:hAnsi="Times New Roman"/>
          <w:b/>
          <w:bCs/>
          <w:sz w:val="24"/>
          <w:szCs w:val="24"/>
        </w:rPr>
        <w:t xml:space="preserve"> (§ 79 ods. 17 až 19)</w:t>
      </w:r>
    </w:p>
    <w:p w14:paraId="5E872DAF" w14:textId="10B0035E"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 xml:space="preserve">Ustanoveniami ods. 17 a 18 sa vymedzuje rozsah ukladania sankcií, ktoré je Národná banka Slovenska oprávnená uložiť pobočke zahraničnej platobnej inštitúcie, ak Národná banka Slovenska zistí, že táto pobočka porušuje ustanovenia v oblasti ochrany pred legalizáciou príjmov z trestnej činnosti a financovaním terorizmu, pričom sa pri ukladaní týchto sankcií postupuje podľa § 78 odsekov 5 až 8 primerane. Ustanovenie § 79 ods. 19 vymedzuje rozsah preventívnych opatrení, ktoré je Národná banka Slovenska, po splnení postupov podľa § 79 ods. 10 a 11, oprávnená prijať voči pobočke zahraničnej platobnej inštitúcie v prípade porušenia ustanovení druhej časti zákona okrem ustanovení § 44a až § 44f, šiestej a siedmej časti zákona, pri ktorom dochádza k závažnému ohrozeniu kolektívnych záujmov používateľov platobných služieb na území Slovenskej republiky. </w:t>
      </w:r>
    </w:p>
    <w:p w14:paraId="165CCBDB" w14:textId="24C105F3" w:rsidR="33DE7DE7" w:rsidRDefault="33DE7DE7" w:rsidP="070BDBF9">
      <w:pPr>
        <w:spacing w:after="0" w:line="276" w:lineRule="auto"/>
        <w:jc w:val="both"/>
        <w:rPr>
          <w:rFonts w:ascii="Times New Roman" w:hAnsi="Times New Roman"/>
          <w:sz w:val="24"/>
          <w:szCs w:val="24"/>
          <w:highlight w:val="yellow"/>
        </w:rPr>
      </w:pPr>
    </w:p>
    <w:p w14:paraId="345216C1" w14:textId="320D59FD"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K bodu </w:t>
      </w:r>
      <w:r w:rsidR="00165C55">
        <w:rPr>
          <w:rFonts w:ascii="Times New Roman" w:hAnsi="Times New Roman"/>
          <w:b/>
          <w:bCs/>
          <w:sz w:val="24"/>
          <w:szCs w:val="24"/>
        </w:rPr>
        <w:t>10</w:t>
      </w:r>
      <w:r w:rsidRPr="070BDBF9">
        <w:rPr>
          <w:rFonts w:ascii="Times New Roman" w:hAnsi="Times New Roman"/>
          <w:b/>
          <w:bCs/>
          <w:sz w:val="24"/>
          <w:szCs w:val="24"/>
        </w:rPr>
        <w:t xml:space="preserve"> (§ 79a ods. 15 a § 83 ods. 8)</w:t>
      </w:r>
    </w:p>
    <w:p w14:paraId="15DFB2DB" w14:textId="5B7F4BB8"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Predmetná úprava predstavuje legislatívno</w:t>
      </w:r>
      <w:r w:rsidR="33DE7DE7">
        <w:noBreakHyphen/>
      </w:r>
      <w:r w:rsidRPr="070BDBF9">
        <w:rPr>
          <w:rFonts w:ascii="Times New Roman" w:hAnsi="Times New Roman"/>
          <w:sz w:val="24"/>
          <w:szCs w:val="24"/>
        </w:rPr>
        <w:t xml:space="preserve">technické zosúladenie terminológie používanej v § 65 ods. 6 so systematikou novej právnej úpravy v oblasti predchádzania legalizácii príjmov z trestnej činnosti a financovania terorizmu. Pôvodný pojem </w:t>
      </w:r>
      <w:r w:rsidRPr="070BDBF9">
        <w:rPr>
          <w:rFonts w:ascii="Times New Roman" w:hAnsi="Times New Roman"/>
          <w:i/>
          <w:iCs/>
          <w:sz w:val="24"/>
          <w:szCs w:val="24"/>
        </w:rPr>
        <w:t>„osobitný zákon“</w:t>
      </w:r>
      <w:r w:rsidRPr="070BDBF9">
        <w:rPr>
          <w:rFonts w:ascii="Times New Roman" w:hAnsi="Times New Roman"/>
          <w:sz w:val="24"/>
          <w:szCs w:val="24"/>
        </w:rPr>
        <w:t xml:space="preserve"> sa nahrádza pojmom </w:t>
      </w:r>
      <w:r w:rsidRPr="070BDBF9">
        <w:rPr>
          <w:rFonts w:ascii="Times New Roman" w:hAnsi="Times New Roman"/>
          <w:i/>
          <w:iCs/>
          <w:sz w:val="24"/>
          <w:szCs w:val="24"/>
        </w:rPr>
        <w:t>„osobitný predpis“</w:t>
      </w:r>
      <w:r w:rsidRPr="070BDBF9">
        <w:rPr>
          <w:rFonts w:ascii="Times New Roman" w:hAnsi="Times New Roman"/>
          <w:sz w:val="24"/>
          <w:szCs w:val="24"/>
        </w:rPr>
        <w:t xml:space="preserve">, keďže právny rámec AML už nie je tvorený primárne jediným zákonom, ale súborom viacerých právnych aktov Európskej únie, ktoré spoločne tvoria tzv. „AML balík“. Účelom navrhovanej zmeny je zabezpečiť, aby zákon č. 492/2009 Z. z. terminologicky korešpondoval s aktuálnym európskym a vnútroštátnym právnym rámcom, ktorý už nepracuje s jedným osobitným zákonom, ale s viacerými právnymi predpismi </w:t>
      </w:r>
      <w:r w:rsidRPr="070BDBF9">
        <w:rPr>
          <w:rFonts w:ascii="Times New Roman" w:hAnsi="Times New Roman"/>
          <w:sz w:val="24"/>
          <w:szCs w:val="24"/>
        </w:rPr>
        <w:lastRenderedPageBreak/>
        <w:t>upravujúcimi oblasť AML. Ide o technickú úpravu, ktorá  zabezpečuje presnosť a jednoznačnosť právnej úpravy.</w:t>
      </w:r>
    </w:p>
    <w:p w14:paraId="38D4516C" w14:textId="5ADA12BD"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 xml:space="preserve"> </w:t>
      </w:r>
    </w:p>
    <w:p w14:paraId="5DFCA913" w14:textId="07956EE6"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K bodu </w:t>
      </w:r>
      <w:r w:rsidR="00165C55">
        <w:rPr>
          <w:rFonts w:ascii="Times New Roman" w:hAnsi="Times New Roman"/>
          <w:b/>
          <w:bCs/>
          <w:sz w:val="24"/>
          <w:szCs w:val="24"/>
        </w:rPr>
        <w:t>11</w:t>
      </w:r>
      <w:r w:rsidRPr="070BDBF9">
        <w:rPr>
          <w:rFonts w:ascii="Times New Roman" w:hAnsi="Times New Roman"/>
          <w:b/>
          <w:bCs/>
          <w:sz w:val="24"/>
          <w:szCs w:val="24"/>
        </w:rPr>
        <w:t xml:space="preserve"> (§ 79b ods. 2)</w:t>
      </w:r>
    </w:p>
    <w:p w14:paraId="7C6B3ED8" w14:textId="7C7852C3" w:rsidR="33DE7DE7" w:rsidRDefault="2F37D0A1" w:rsidP="070BDBF9">
      <w:pPr>
        <w:spacing w:after="0" w:line="276" w:lineRule="auto"/>
        <w:jc w:val="both"/>
        <w:rPr>
          <w:rFonts w:ascii="Times New Roman" w:hAnsi="Times New Roman"/>
          <w:sz w:val="24"/>
          <w:szCs w:val="24"/>
        </w:rPr>
      </w:pPr>
      <w:r w:rsidRPr="23BE041E">
        <w:rPr>
          <w:rFonts w:ascii="Times New Roman" w:hAnsi="Times New Roman"/>
          <w:sz w:val="24"/>
          <w:szCs w:val="24"/>
        </w:rPr>
        <w:t>Úpravou § 79b ods. 2 sa spresňuje rozsah dokumentácie, ktorú je žiadateľ povinný predložiť pri podaní žiadosti o vydanie rozhodnutia o registrácii poskytovateľa služieb informovania o platobnom účte. Cieľom úpravy je jednoznačne ustanoviť, že žiadateľ nie je povinný predkladať návrh vnútorných predpisov zameraných na ochranu pred legalizáciou príjmov z trestnej činnosti a pred financovaním terorizmu. Toto spresnenie vyplýva z aktuálneho európskeho právneho rámca. Podľa čl. 2 ods. 6 písm. a) nariadenia (EÚ) 2024/1624</w:t>
      </w:r>
      <w:r w:rsidR="3820AED7" w:rsidRPr="23BE041E">
        <w:rPr>
          <w:rFonts w:ascii="Times New Roman" w:hAnsi="Times New Roman"/>
          <w:sz w:val="24"/>
          <w:szCs w:val="24"/>
        </w:rPr>
        <w:t>,</w:t>
      </w:r>
      <w:r w:rsidRPr="23BE041E">
        <w:rPr>
          <w:rFonts w:ascii="Times New Roman" w:hAnsi="Times New Roman"/>
          <w:sz w:val="24"/>
          <w:szCs w:val="24"/>
        </w:rPr>
        <w:t xml:space="preserve"> sa poskytovateľ služieb informovania o platobnom účte výslovne vylučuje z okruhu povinných osôb. Dôvodom je, že ide o činnosť podľa bodu 8 prílohy I k smernici (EÚ) 2015/2366 (smernice PSD2), ktorá sama osebe nepredstavuje rizikovú činnosť z pohľadu AML. Z uvedeného dôvodu poskytovateľ služieb informovania o platobnom účte nepodlieha povinnostiam povinnej osoby podľa nových AML predpisov, a preto nie je dôvod, aby v rámci registračného konania predkladal vnútorné AML predpisy. Navrhovaná úprava tak zabezpečuje súlad vnútroštátnej právnej úpravy s priamo uplatniteľným nariadením EÚ a zároveň odstraňuje prípadné interpretačné nejasnosti pri posudzovaní rozsahu dokumentácie predkladanej žiadateľom. Úprava má legislatívno</w:t>
      </w:r>
      <w:r w:rsidR="33DE7DE7">
        <w:noBreakHyphen/>
      </w:r>
      <w:r w:rsidRPr="23BE041E">
        <w:rPr>
          <w:rFonts w:ascii="Times New Roman" w:hAnsi="Times New Roman"/>
          <w:sz w:val="24"/>
          <w:szCs w:val="24"/>
        </w:rPr>
        <w:t>technický a harmonizačný charakter.</w:t>
      </w:r>
    </w:p>
    <w:p w14:paraId="6FC4C8C8" w14:textId="1FCBF005"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 xml:space="preserve"> </w:t>
      </w:r>
    </w:p>
    <w:p w14:paraId="011B6D02" w14:textId="35FB1F83"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K bodu </w:t>
      </w:r>
      <w:r w:rsidR="00165C55">
        <w:rPr>
          <w:rFonts w:ascii="Times New Roman" w:hAnsi="Times New Roman"/>
          <w:b/>
          <w:bCs/>
          <w:sz w:val="24"/>
          <w:szCs w:val="24"/>
        </w:rPr>
        <w:t>12</w:t>
      </w:r>
      <w:r w:rsidRPr="070BDBF9">
        <w:rPr>
          <w:rFonts w:ascii="Times New Roman" w:hAnsi="Times New Roman"/>
          <w:b/>
          <w:bCs/>
          <w:sz w:val="24"/>
          <w:szCs w:val="24"/>
        </w:rPr>
        <w:t xml:space="preserve"> (§ 86 ods. 1) </w:t>
      </w:r>
    </w:p>
    <w:p w14:paraId="2FEDAF50" w14:textId="18CEF467"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Ustanovením § 86 ods. 1 sa precizuje, že Národná banka Slovenska vykonáva dohľad aj nad pobočkou zahraničnej inštitúcie elektronických peňazí v oblasti ochrany pred legalizáciou príjmov z trestnej činnosti a financovaním terorizmu a pri úzko vymedzených oblastiach poskytovania platobných služieb, ktoré sú zverené národnému orgánu dohľadu (napr. § 83 ods. 8 a § 86 ods. 22 posledná veta zákona č. 492/2009 Z. z.). Cieľom úpravy je zabezpečiť systematickú konzistentnosť právnej úpravy a odstrániť interpretačné nejasnosti tým, že sa explicitne stanoví, že rozsah dohľadu Národnej banky Slovenska nad pobočkou zahraničnej inštitúcie elektronických peňazí je analogický rozsahu dohľadu nad pobočkou zahraničnej platobnej inštitúcie podľa § 78 ods. 1, avšak len v medziach, ktoré vyplývajú z osobitných predpisov Európskej únie a vnútroštátnej legislatívy.</w:t>
      </w:r>
    </w:p>
    <w:p w14:paraId="6080D78C" w14:textId="2CBECC13"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 xml:space="preserve"> </w:t>
      </w:r>
    </w:p>
    <w:p w14:paraId="594A277B" w14:textId="64759B25"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K bodu </w:t>
      </w:r>
      <w:r w:rsidR="00165C55">
        <w:rPr>
          <w:rFonts w:ascii="Times New Roman" w:hAnsi="Times New Roman"/>
          <w:b/>
          <w:bCs/>
          <w:sz w:val="24"/>
          <w:szCs w:val="24"/>
        </w:rPr>
        <w:t>13</w:t>
      </w:r>
      <w:r w:rsidRPr="070BDBF9">
        <w:rPr>
          <w:rFonts w:ascii="Times New Roman" w:hAnsi="Times New Roman"/>
          <w:b/>
          <w:bCs/>
          <w:sz w:val="24"/>
          <w:szCs w:val="24"/>
        </w:rPr>
        <w:t xml:space="preserve"> (§ 86 ods. 25)</w:t>
      </w:r>
    </w:p>
    <w:p w14:paraId="65E620BC" w14:textId="5A2E41CC"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Uvedenou úpravou sa dôsledne transponuje článok 30 odsek 4 Smernice Európskeho parlamentu a Rady (EÚ) 2015/2366 z 25. novembra 2015 o platobných službách na vnútornom trhu, ktorou sa menia smernice 2002/65/ES, 2009/110/ES a 2013/36/EÚ a nariadenie (EÚ) č. 1093/2010 a ktorou sa zrušuje smernica 2007/64/ES, aby bolo zrejmé, že NBS má informovať v prvom rade vopred, ak to nie je možné, tak bezodkladne.</w:t>
      </w:r>
    </w:p>
    <w:p w14:paraId="36219B63" w14:textId="1498B2B3"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 xml:space="preserve"> </w:t>
      </w:r>
    </w:p>
    <w:p w14:paraId="2ADF22D2" w14:textId="056D159E"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K bodu 1</w:t>
      </w:r>
      <w:r w:rsidR="00165C55">
        <w:rPr>
          <w:rFonts w:ascii="Times New Roman" w:hAnsi="Times New Roman"/>
          <w:b/>
          <w:bCs/>
          <w:sz w:val="24"/>
          <w:szCs w:val="24"/>
        </w:rPr>
        <w:t>4</w:t>
      </w:r>
      <w:r w:rsidRPr="070BDBF9">
        <w:rPr>
          <w:rFonts w:ascii="Times New Roman" w:hAnsi="Times New Roman"/>
          <w:b/>
          <w:bCs/>
          <w:sz w:val="24"/>
          <w:szCs w:val="24"/>
        </w:rPr>
        <w:t xml:space="preserve"> (§ 86 ods. 32 až 34)</w:t>
      </w:r>
    </w:p>
    <w:p w14:paraId="6DEF8764" w14:textId="49B26586" w:rsidR="33DE7DE7" w:rsidRDefault="6EDC3DE9" w:rsidP="070BDBF9">
      <w:pPr>
        <w:spacing w:after="0" w:line="276" w:lineRule="auto"/>
        <w:jc w:val="both"/>
        <w:rPr>
          <w:rFonts w:ascii="Times New Roman" w:hAnsi="Times New Roman"/>
          <w:sz w:val="24"/>
          <w:szCs w:val="24"/>
        </w:rPr>
      </w:pPr>
      <w:r w:rsidRPr="070BDBF9">
        <w:rPr>
          <w:rFonts w:ascii="Times New Roman" w:hAnsi="Times New Roman"/>
          <w:sz w:val="24"/>
          <w:szCs w:val="24"/>
        </w:rPr>
        <w:t xml:space="preserve">Ustanoveniami ods. 32 a 33 sa vymedzuje rozsah ukladania sankcií, ktoré je Národná banka Slovenska oprávnená uložiť pobočke zahraničnej inštitúcie elektronických peňazí, ak Národná banka Slovenska zistí, že táto pobočka porušuje ustanovenia v oblasti ochrany pred legalizáciou príjmov z trestnej činnosti a financovaním terorizmu, pričom sa pri ukladaní týchto sankcií </w:t>
      </w:r>
      <w:r w:rsidRPr="070BDBF9">
        <w:rPr>
          <w:rFonts w:ascii="Times New Roman" w:hAnsi="Times New Roman"/>
          <w:sz w:val="24"/>
          <w:szCs w:val="24"/>
        </w:rPr>
        <w:lastRenderedPageBreak/>
        <w:t xml:space="preserve">postupuje podľa odsekov 5 až 7 a 9 primerane. Ustanovenie § 86 ods. 34 vymedzuje rozsah preventívnych opatrení, ktoré je Národná banka Slovenska, po splnení postupov podľa § 86 ods. 24 a 25, oprávnená prijať voči pobočke zahraničnej inštitúcie elektronických peňazí v prípade porušenia ustanovení piatej až siedmej časti zákona, pri ktorom dochádza k závažnému ohrozeniu kolektívnych záujmov používateľov platobných služieb na území Slovenskej republiky. </w:t>
      </w:r>
    </w:p>
    <w:p w14:paraId="731D796E" w14:textId="6E258BB8" w:rsidR="33DE7DE7" w:rsidRDefault="6EDC3DE9" w:rsidP="070BDBF9">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 </w:t>
      </w:r>
    </w:p>
    <w:p w14:paraId="7BD82EAB" w14:textId="6A323450" w:rsidR="6405D0E6" w:rsidRDefault="6405D0E6" w:rsidP="070BDBF9">
      <w:pPr>
        <w:spacing w:after="0"/>
        <w:jc w:val="center"/>
        <w:rPr>
          <w:rFonts w:ascii="Times New Roman" w:hAnsi="Times New Roman"/>
          <w:b/>
          <w:bCs/>
          <w:sz w:val="24"/>
          <w:szCs w:val="24"/>
          <w:highlight w:val="yellow"/>
        </w:rPr>
      </w:pPr>
    </w:p>
    <w:p w14:paraId="53BAA957" w14:textId="1630CAA1" w:rsidR="5F00CFD6" w:rsidRDefault="22095916" w:rsidP="070BDBF9">
      <w:pPr>
        <w:spacing w:after="120" w:line="276" w:lineRule="auto"/>
        <w:jc w:val="center"/>
        <w:rPr>
          <w:rFonts w:ascii="Times New Roman" w:hAnsi="Times New Roman"/>
          <w:b/>
          <w:bCs/>
          <w:sz w:val="24"/>
          <w:szCs w:val="24"/>
        </w:rPr>
      </w:pPr>
      <w:r w:rsidRPr="070BDBF9">
        <w:rPr>
          <w:rFonts w:ascii="Times New Roman" w:hAnsi="Times New Roman"/>
          <w:b/>
          <w:bCs/>
          <w:sz w:val="24"/>
          <w:szCs w:val="24"/>
        </w:rPr>
        <w:t>Čl. XVII</w:t>
      </w:r>
    </w:p>
    <w:p w14:paraId="72581B91" w14:textId="6922A2F6" w:rsidR="5F00CFD6" w:rsidRDefault="22095916" w:rsidP="070BDBF9">
      <w:pPr>
        <w:spacing w:after="0"/>
        <w:jc w:val="center"/>
        <w:rPr>
          <w:rFonts w:ascii="Times New Roman" w:hAnsi="Times New Roman"/>
          <w:b/>
          <w:bCs/>
          <w:sz w:val="24"/>
          <w:szCs w:val="24"/>
        </w:rPr>
      </w:pPr>
      <w:r w:rsidRPr="070BDBF9">
        <w:rPr>
          <w:rFonts w:ascii="Times New Roman" w:hAnsi="Times New Roman"/>
          <w:b/>
          <w:bCs/>
          <w:sz w:val="24"/>
          <w:szCs w:val="24"/>
        </w:rPr>
        <w:t>Zákon č. 203/2011 Z. z. o kolektívnom investovaní</w:t>
      </w:r>
    </w:p>
    <w:p w14:paraId="6AC4ADDD" w14:textId="2E404465" w:rsidR="6405D0E6" w:rsidRDefault="6405D0E6" w:rsidP="070BDBF9">
      <w:pPr>
        <w:spacing w:after="0"/>
        <w:jc w:val="center"/>
        <w:rPr>
          <w:rFonts w:ascii="Times New Roman" w:hAnsi="Times New Roman"/>
          <w:b/>
          <w:bCs/>
          <w:sz w:val="24"/>
          <w:szCs w:val="24"/>
          <w:highlight w:val="yellow"/>
        </w:rPr>
      </w:pPr>
    </w:p>
    <w:p w14:paraId="07E4FAD4" w14:textId="2337A6D8" w:rsidR="5F00CFD6" w:rsidRDefault="22095916"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bodom 1, 2, 4 až 6</w:t>
      </w:r>
    </w:p>
    <w:p w14:paraId="74FC1E1B" w14:textId="3FD26C4C" w:rsidR="5F00CFD6" w:rsidRDefault="22095916" w:rsidP="6405D0E6">
      <w:pPr>
        <w:spacing w:after="0" w:line="276" w:lineRule="auto"/>
        <w:jc w:val="both"/>
        <w:rPr>
          <w:rFonts w:ascii="Times New Roman" w:hAnsi="Times New Roman"/>
          <w:color w:val="000000" w:themeColor="text1"/>
          <w:sz w:val="24"/>
          <w:szCs w:val="24"/>
        </w:rPr>
      </w:pPr>
      <w:r w:rsidRPr="070BDBF9">
        <w:rPr>
          <w:rFonts w:ascii="Times New Roman" w:hAnsi="Times New Roman"/>
          <w:color w:val="000000" w:themeColor="text1"/>
          <w:sz w:val="24"/>
          <w:szCs w:val="24"/>
        </w:rPr>
        <w:t>Ide o úpravu vnútorných odkazov v nadväznosti na zmenu vykonanú v bode 3.</w:t>
      </w:r>
    </w:p>
    <w:p w14:paraId="67FFFA86" w14:textId="241BF61F" w:rsidR="5F00CFD6" w:rsidRDefault="22095916" w:rsidP="6405D0E6">
      <w:pPr>
        <w:spacing w:after="0" w:line="276" w:lineRule="auto"/>
        <w:ind w:left="284"/>
        <w:jc w:val="both"/>
        <w:rPr>
          <w:rFonts w:ascii="Times New Roman" w:hAnsi="Times New Roman"/>
          <w:color w:val="000000" w:themeColor="text1"/>
          <w:sz w:val="24"/>
          <w:szCs w:val="24"/>
        </w:rPr>
      </w:pPr>
      <w:r w:rsidRPr="070BDBF9">
        <w:rPr>
          <w:rFonts w:ascii="Times New Roman" w:hAnsi="Times New Roman"/>
          <w:color w:val="000000" w:themeColor="text1"/>
          <w:sz w:val="24"/>
          <w:szCs w:val="24"/>
        </w:rPr>
        <w:t xml:space="preserve"> </w:t>
      </w:r>
    </w:p>
    <w:p w14:paraId="167FBFAE" w14:textId="253E8AD5" w:rsidR="5F00CFD6" w:rsidRDefault="22095916" w:rsidP="6405D0E6">
      <w:pPr>
        <w:spacing w:after="0" w:line="276" w:lineRule="auto"/>
        <w:jc w:val="both"/>
        <w:rPr>
          <w:rFonts w:ascii="Times New Roman" w:hAnsi="Times New Roman"/>
          <w:b/>
          <w:bCs/>
          <w:color w:val="000000" w:themeColor="text1"/>
          <w:sz w:val="24"/>
          <w:szCs w:val="24"/>
        </w:rPr>
      </w:pPr>
      <w:r w:rsidRPr="070BDBF9">
        <w:rPr>
          <w:rFonts w:ascii="Times New Roman" w:hAnsi="Times New Roman"/>
          <w:b/>
          <w:bCs/>
          <w:color w:val="000000" w:themeColor="text1"/>
          <w:sz w:val="24"/>
          <w:szCs w:val="24"/>
        </w:rPr>
        <w:t>K bodu 3 [§ 13 ods. 9]</w:t>
      </w:r>
    </w:p>
    <w:p w14:paraId="33F815B8" w14:textId="3B9AA92E" w:rsidR="5F00CFD6" w:rsidRDefault="47EE0DF0" w:rsidP="6405D0E6">
      <w:pPr>
        <w:spacing w:after="0" w:line="276" w:lineRule="auto"/>
        <w:jc w:val="both"/>
        <w:rPr>
          <w:rFonts w:ascii="Times New Roman" w:hAnsi="Times New Roman"/>
          <w:color w:val="000000" w:themeColor="text1"/>
          <w:sz w:val="24"/>
          <w:szCs w:val="24"/>
        </w:rPr>
      </w:pPr>
      <w:r w:rsidRPr="23BE041E">
        <w:rPr>
          <w:rFonts w:ascii="Times New Roman" w:hAnsi="Times New Roman"/>
          <w:color w:val="000000" w:themeColor="text1"/>
          <w:sz w:val="24"/>
          <w:szCs w:val="24"/>
        </w:rPr>
        <w:t xml:space="preserve">Navrhuje sa vypustiť § 13 ods. 9. Uvedená povinnosť je upravená v nariadení (EÚ) 2024/1624, kde článok 20 upravuje opatrenia náležitej starostlivosti vo vzťahu ku klientovi a v článku 21 ustanovuje, že ak povinný subjekt nie je schopný splniť požiadavku uplatniť tieto opatrenia, zdrží sa vykonania transakcie alebo nevstúpi do obchodného vzťahu. Ide o zosúladenie vnútroštátnej právnej úpravy s priamo uplatniteľným právom Európskej únie a o odstránenie aplikačnej neistoty. Vnútroštátna úprava sa stala obsolentnou. </w:t>
      </w:r>
    </w:p>
    <w:p w14:paraId="4F3BEA36" w14:textId="01554A80" w:rsidR="5F00CFD6" w:rsidRDefault="22095916" w:rsidP="6405D0E6">
      <w:pPr>
        <w:spacing w:after="0" w:line="276" w:lineRule="auto"/>
        <w:ind w:left="284"/>
        <w:jc w:val="both"/>
        <w:rPr>
          <w:rFonts w:ascii="Times New Roman" w:hAnsi="Times New Roman"/>
          <w:b/>
          <w:bCs/>
          <w:color w:val="000000" w:themeColor="text1"/>
          <w:sz w:val="24"/>
          <w:szCs w:val="24"/>
        </w:rPr>
      </w:pPr>
      <w:r w:rsidRPr="070BDBF9">
        <w:rPr>
          <w:rFonts w:ascii="Times New Roman" w:hAnsi="Times New Roman"/>
          <w:b/>
          <w:bCs/>
          <w:color w:val="000000" w:themeColor="text1"/>
          <w:sz w:val="24"/>
          <w:szCs w:val="24"/>
        </w:rPr>
        <w:t xml:space="preserve"> </w:t>
      </w:r>
    </w:p>
    <w:p w14:paraId="13D7394E" w14:textId="429618C2" w:rsidR="5F00CFD6" w:rsidRDefault="22095916" w:rsidP="6405D0E6">
      <w:pPr>
        <w:spacing w:after="0" w:line="276" w:lineRule="auto"/>
        <w:jc w:val="both"/>
        <w:rPr>
          <w:rFonts w:ascii="Times New Roman" w:hAnsi="Times New Roman"/>
          <w:b/>
          <w:bCs/>
          <w:color w:val="000000" w:themeColor="text1"/>
          <w:sz w:val="24"/>
          <w:szCs w:val="24"/>
        </w:rPr>
      </w:pPr>
      <w:r w:rsidRPr="070BDBF9">
        <w:rPr>
          <w:rFonts w:ascii="Times New Roman" w:hAnsi="Times New Roman"/>
          <w:b/>
          <w:bCs/>
          <w:color w:val="000000" w:themeColor="text1"/>
          <w:sz w:val="24"/>
          <w:szCs w:val="24"/>
        </w:rPr>
        <w:t>K bodom 7 a 8 [§ 31b ods. 11 písm. c) a e)]</w:t>
      </w:r>
    </w:p>
    <w:p w14:paraId="4C37A087" w14:textId="66AA6AE2" w:rsidR="5F00CFD6" w:rsidRDefault="22095916" w:rsidP="6405D0E6">
      <w:pPr>
        <w:spacing w:after="0" w:line="276" w:lineRule="auto"/>
        <w:jc w:val="both"/>
        <w:rPr>
          <w:rFonts w:ascii="Times New Roman" w:hAnsi="Times New Roman"/>
          <w:color w:val="000000" w:themeColor="text1"/>
          <w:sz w:val="24"/>
          <w:szCs w:val="24"/>
        </w:rPr>
      </w:pPr>
      <w:r w:rsidRPr="070BDBF9">
        <w:rPr>
          <w:rFonts w:ascii="Times New Roman" w:hAnsi="Times New Roman"/>
          <w:color w:val="000000" w:themeColor="text1"/>
          <w:sz w:val="24"/>
          <w:szCs w:val="24"/>
        </w:rPr>
        <w:t>Navrhuje sa doplniť dôvod, pre ktorý môže Národná banka Slovenska rozhodnutím zrušiť zápis v registri správcov aj bez návrhu na zrušenie zápisu, a to v prípade, ak správca závažne alebo opakovane porušil povinnosti podľa osobitných predpisov v oblasti ochrany pred legalizáciou príjmov z trestnej činnosti a financovaním terorizmu.</w:t>
      </w:r>
    </w:p>
    <w:p w14:paraId="2D06A691" w14:textId="5DD86823"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0EC65DB7" w14:textId="275D8A58" w:rsidR="5F00CFD6" w:rsidRDefault="47EE0DF0" w:rsidP="6405D0E6">
      <w:pPr>
        <w:spacing w:after="0" w:line="276" w:lineRule="auto"/>
        <w:jc w:val="both"/>
        <w:rPr>
          <w:rFonts w:ascii="Times New Roman" w:hAnsi="Times New Roman"/>
          <w:sz w:val="24"/>
          <w:szCs w:val="24"/>
        </w:rPr>
      </w:pPr>
      <w:r w:rsidRPr="23BE041E">
        <w:rPr>
          <w:rFonts w:ascii="Times New Roman" w:hAnsi="Times New Roman"/>
          <w:sz w:val="24"/>
          <w:szCs w:val="24"/>
        </w:rPr>
        <w:t xml:space="preserve">Navrhovaná úprava nadväzuje na skutočnosť, že alternatívne investičné fondy a ich správcovia patria podľa nariadenia (EÚ) 2024/1624 medzi povinné subjekty v rozsahu pôsobnosti smernice 2011/61/EÚ. </w:t>
      </w:r>
    </w:p>
    <w:p w14:paraId="1168218E" w14:textId="10D0B809"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19607599" w14:textId="652E462B" w:rsidR="5F00CFD6" w:rsidRDefault="22095916" w:rsidP="6405D0E6">
      <w:pPr>
        <w:spacing w:after="0" w:line="276" w:lineRule="auto"/>
        <w:jc w:val="both"/>
        <w:rPr>
          <w:rFonts w:ascii="Times New Roman" w:hAnsi="Times New Roman"/>
          <w:sz w:val="24"/>
          <w:szCs w:val="24"/>
        </w:rPr>
      </w:pPr>
      <w:r w:rsidRPr="070BDBF9">
        <w:rPr>
          <w:rFonts w:ascii="Times New Roman" w:hAnsi="Times New Roman"/>
          <w:sz w:val="24"/>
          <w:szCs w:val="24"/>
        </w:rPr>
        <w:t xml:space="preserve">Cieľom je umožniť Národnej banke Slovenska primerane reagovať na závažné alebo opakované porušovanie AML/CFT povinností zo strany registrovaných správcov a zabezpečiť, aby v registri správcov nezostávali zapísané subjekty, ktoré dlhodobo alebo závažným spôsobom nerešpektujú základné pravidlá ochrany pred legalizáciou príjmov z trestnej činnosti a financovaním terorizmu. Navrhovaná úprava sleduje posilnenie integrity trhu kolektívneho investovania a ochrany investorov. </w:t>
      </w:r>
    </w:p>
    <w:p w14:paraId="37A4EDBA" w14:textId="7A92BD8E"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45143561" w14:textId="5127D7B9" w:rsidR="5F00CFD6" w:rsidRDefault="22095916"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bodu 9 [§ 31d ods. 4]</w:t>
      </w:r>
    </w:p>
    <w:p w14:paraId="20907388" w14:textId="1639D795" w:rsidR="5F00CFD6" w:rsidRDefault="47EE0DF0" w:rsidP="6405D0E6">
      <w:pPr>
        <w:spacing w:after="0" w:line="276" w:lineRule="auto"/>
        <w:jc w:val="both"/>
        <w:rPr>
          <w:rFonts w:ascii="Times New Roman" w:hAnsi="Times New Roman"/>
          <w:sz w:val="24"/>
          <w:szCs w:val="24"/>
        </w:rPr>
      </w:pPr>
      <w:r w:rsidRPr="23BE041E">
        <w:rPr>
          <w:rFonts w:ascii="Times New Roman" w:hAnsi="Times New Roman"/>
          <w:sz w:val="24"/>
          <w:szCs w:val="24"/>
        </w:rPr>
        <w:t xml:space="preserve">Navrhuje sa doplniť nový § 31d ods. 4, ktorým sa výslovne ustanoví právnickej osoby vykonávajúcej správu alternatívnych investičných fondov, na ktorú sa vzťahuje výnimka podľa § 31a ods. 1, plniť povinnosti v zmysle osobitných predpisy v oblasti AML/CFT. Navrhovaná úprava reaguje na nariadenie (EÚ) 2024/1624, podľa ktorého medzi povinné subjekty patria aj </w:t>
      </w:r>
      <w:r w:rsidRPr="23BE041E">
        <w:rPr>
          <w:rFonts w:ascii="Times New Roman" w:hAnsi="Times New Roman"/>
          <w:sz w:val="24"/>
          <w:szCs w:val="24"/>
        </w:rPr>
        <w:lastRenderedPageBreak/>
        <w:t>alternatívny investičný fond a jeho správca alternatívnych investičných fondov v rozsahu pôsobnosti smernice 2011/61/EÚ.  Cieľom je zosúladiť vnútroštátnu právnu úpravu s priamo uplatniteľným právom Európskej únie a odstrániť aplikačnú neistotu.</w:t>
      </w:r>
    </w:p>
    <w:p w14:paraId="3F620A70" w14:textId="7B772461" w:rsidR="5F00CFD6" w:rsidRDefault="22095916" w:rsidP="6405D0E6">
      <w:pPr>
        <w:spacing w:after="0" w:line="276" w:lineRule="auto"/>
        <w:ind w:left="284"/>
        <w:jc w:val="both"/>
        <w:rPr>
          <w:rFonts w:ascii="Times New Roman" w:hAnsi="Times New Roman"/>
          <w:b/>
          <w:bCs/>
          <w:sz w:val="24"/>
          <w:szCs w:val="24"/>
        </w:rPr>
      </w:pPr>
      <w:r w:rsidRPr="070BDBF9">
        <w:rPr>
          <w:rFonts w:ascii="Times New Roman" w:hAnsi="Times New Roman"/>
          <w:b/>
          <w:bCs/>
          <w:sz w:val="24"/>
          <w:szCs w:val="24"/>
        </w:rPr>
        <w:t xml:space="preserve"> </w:t>
      </w:r>
    </w:p>
    <w:p w14:paraId="60341A9A" w14:textId="33981757" w:rsidR="5F00CFD6" w:rsidRDefault="22095916"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bodu 10 [§ 31e]</w:t>
      </w:r>
    </w:p>
    <w:p w14:paraId="15BC6901" w14:textId="3309474D" w:rsidR="5F00CFD6" w:rsidRDefault="22095916" w:rsidP="6405D0E6">
      <w:pPr>
        <w:spacing w:after="0" w:line="276" w:lineRule="auto"/>
        <w:ind w:left="284"/>
        <w:jc w:val="both"/>
        <w:rPr>
          <w:rFonts w:ascii="Times New Roman" w:hAnsi="Times New Roman"/>
          <w:b/>
          <w:bCs/>
          <w:sz w:val="24"/>
          <w:szCs w:val="24"/>
        </w:rPr>
      </w:pPr>
      <w:r w:rsidRPr="070BDBF9">
        <w:rPr>
          <w:rFonts w:ascii="Times New Roman" w:hAnsi="Times New Roman"/>
          <w:b/>
          <w:bCs/>
          <w:sz w:val="24"/>
          <w:szCs w:val="24"/>
        </w:rPr>
        <w:t xml:space="preserve"> </w:t>
      </w:r>
    </w:p>
    <w:p w14:paraId="61B6711E" w14:textId="4640B723" w:rsidR="5F00CFD6" w:rsidRDefault="22095916" w:rsidP="6405D0E6">
      <w:pPr>
        <w:spacing w:after="0" w:line="276" w:lineRule="auto"/>
        <w:jc w:val="both"/>
        <w:rPr>
          <w:rFonts w:ascii="Times New Roman" w:hAnsi="Times New Roman"/>
          <w:sz w:val="24"/>
          <w:szCs w:val="24"/>
        </w:rPr>
      </w:pPr>
      <w:r w:rsidRPr="070BDBF9">
        <w:rPr>
          <w:rFonts w:ascii="Times New Roman" w:hAnsi="Times New Roman"/>
          <w:sz w:val="24"/>
          <w:szCs w:val="24"/>
        </w:rPr>
        <w:t>Navrhuje sa doplniť nový §31e, ktorým sa právnickým osobám spravujúcim alternatívne investičné fondy podľa § 4 ods. 2 písm. b), ktoré spĺňajú podmienky podľa § 31a ods. 1, a samosprávnym alternatívnym investičným fondom podľa § 4 ods. 2 písm. b), ktoré spĺňajú podmienky podľa § 31a ods. 1, ukladá povinnosť oznámiť Národnej banke Slovenska identifikačné a kontaktné údaje člena riadiaceho orgánu zodpovedného za vykonávanie interných politík, postupov a kontrol v oblasti ochrany pred legalizáciou príjmov z trestnej činnosti a financovaním terorizmu, ako aj identifikačné a kontaktné údaje pracovníka pre dodržiavanie súladu zodpovedného za každodenné plnenie týchto požiadaviek.</w:t>
      </w:r>
    </w:p>
    <w:p w14:paraId="0CCE9BB7" w14:textId="0DB12D42"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0DF3BFDE" w14:textId="3CCCEF91" w:rsidR="5F00CFD6" w:rsidRDefault="47EE0DF0" w:rsidP="6405D0E6">
      <w:pPr>
        <w:spacing w:after="0" w:line="276" w:lineRule="auto"/>
        <w:jc w:val="both"/>
        <w:rPr>
          <w:rFonts w:ascii="Times New Roman" w:hAnsi="Times New Roman"/>
          <w:sz w:val="24"/>
          <w:szCs w:val="24"/>
        </w:rPr>
      </w:pPr>
      <w:r w:rsidRPr="23BE041E">
        <w:rPr>
          <w:rFonts w:ascii="Times New Roman" w:hAnsi="Times New Roman"/>
          <w:sz w:val="24"/>
          <w:szCs w:val="24"/>
        </w:rPr>
        <w:t>Navrhovaná úprava nadväzuje na čl. 11 nariadenia (EÚ) 2024/1624, podľa ktorého má byť identifikovaný člen riadiaceho orgánu zodpovedný za vykonávanie interných AML/CFT politík, postupov a kontrol a súčasne má byť určený pracovník pre dodržiavanie súladu, ktorý zabezpečuje každodenné plnenie týchto požiadaviek a pravidelne podáva správy riadiacemu orgánu.</w:t>
      </w:r>
    </w:p>
    <w:p w14:paraId="1B7D6E7F" w14:textId="536D0049"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73D93F4B" w14:textId="1322C4EE" w:rsidR="5F00CFD6" w:rsidRDefault="22095916" w:rsidP="6405D0E6">
      <w:pPr>
        <w:spacing w:after="0" w:line="276" w:lineRule="auto"/>
        <w:jc w:val="both"/>
        <w:rPr>
          <w:rFonts w:ascii="Times New Roman" w:hAnsi="Times New Roman"/>
          <w:sz w:val="24"/>
          <w:szCs w:val="24"/>
        </w:rPr>
      </w:pPr>
      <w:r w:rsidRPr="070BDBF9">
        <w:rPr>
          <w:rFonts w:ascii="Times New Roman" w:hAnsi="Times New Roman"/>
          <w:sz w:val="24"/>
          <w:szCs w:val="24"/>
        </w:rPr>
        <w:t xml:space="preserve">Ide o doplnenie, ktorého cieľom je zabezpečiť, aby Národná banka Slovenska mala pri registrovaných správcoch a samosprávnych alternatívnych investičných fondoch k dispozícii základné informácie o osobách zodpovedných za plnenie AML/CFT požiadaviek. </w:t>
      </w:r>
    </w:p>
    <w:p w14:paraId="43C99841" w14:textId="3AAC42C7"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110FE2E8" w14:textId="51CECE35" w:rsidR="5F00CFD6" w:rsidRDefault="22095916" w:rsidP="6405D0E6">
      <w:pPr>
        <w:spacing w:after="0" w:line="276" w:lineRule="auto"/>
        <w:jc w:val="both"/>
        <w:rPr>
          <w:rFonts w:ascii="Times New Roman" w:hAnsi="Times New Roman"/>
          <w:sz w:val="24"/>
          <w:szCs w:val="24"/>
        </w:rPr>
      </w:pPr>
      <w:r w:rsidRPr="070BDBF9">
        <w:rPr>
          <w:rFonts w:ascii="Times New Roman" w:hAnsi="Times New Roman"/>
          <w:sz w:val="24"/>
          <w:szCs w:val="24"/>
        </w:rPr>
        <w:t xml:space="preserve">Navrhovaná úprava sleduje posilnenie </w:t>
      </w:r>
      <w:proofErr w:type="spellStart"/>
      <w:r w:rsidRPr="070BDBF9">
        <w:rPr>
          <w:rFonts w:ascii="Times New Roman" w:hAnsi="Times New Roman"/>
          <w:sz w:val="24"/>
          <w:szCs w:val="24"/>
        </w:rPr>
        <w:t>dohľadovej</w:t>
      </w:r>
      <w:proofErr w:type="spellEnd"/>
      <w:r w:rsidRPr="070BDBF9">
        <w:rPr>
          <w:rFonts w:ascii="Times New Roman" w:hAnsi="Times New Roman"/>
          <w:sz w:val="24"/>
          <w:szCs w:val="24"/>
        </w:rPr>
        <w:t xml:space="preserve"> komunikácie, zvýšenie transparentnosti vnútorného riadenia týchto subjektov a zefektívnenie výkonu dohľadu v oblasti ochrany pred legalizáciou príjmov z trestnej činnosti a financovaním terorizmu.</w:t>
      </w:r>
    </w:p>
    <w:p w14:paraId="1A1766A1" w14:textId="136B273D" w:rsidR="5F00CFD6" w:rsidRDefault="22095916" w:rsidP="6405D0E6">
      <w:pPr>
        <w:spacing w:after="0" w:line="276" w:lineRule="auto"/>
        <w:ind w:left="284"/>
        <w:jc w:val="both"/>
        <w:rPr>
          <w:rFonts w:ascii="Times New Roman" w:hAnsi="Times New Roman"/>
          <w:b/>
          <w:bCs/>
          <w:sz w:val="24"/>
          <w:szCs w:val="24"/>
        </w:rPr>
      </w:pPr>
      <w:r w:rsidRPr="070BDBF9">
        <w:rPr>
          <w:rFonts w:ascii="Times New Roman" w:hAnsi="Times New Roman"/>
          <w:b/>
          <w:bCs/>
          <w:sz w:val="24"/>
          <w:szCs w:val="24"/>
        </w:rPr>
        <w:t xml:space="preserve"> </w:t>
      </w:r>
    </w:p>
    <w:p w14:paraId="0A8E9EE6" w14:textId="2DB95C00" w:rsidR="5F00CFD6" w:rsidRDefault="22095916"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bodu 11 [§ 55 ods. 3]</w:t>
      </w:r>
    </w:p>
    <w:p w14:paraId="08DE707B" w14:textId="24D14E3A" w:rsidR="5F00CFD6" w:rsidRDefault="47EE0DF0" w:rsidP="6405D0E6">
      <w:pPr>
        <w:spacing w:after="0" w:line="276" w:lineRule="auto"/>
        <w:jc w:val="both"/>
        <w:rPr>
          <w:rFonts w:ascii="Times New Roman" w:hAnsi="Times New Roman"/>
          <w:sz w:val="24"/>
          <w:szCs w:val="24"/>
        </w:rPr>
      </w:pPr>
      <w:r w:rsidRPr="23BE041E">
        <w:rPr>
          <w:rFonts w:ascii="Times New Roman" w:hAnsi="Times New Roman"/>
          <w:sz w:val="24"/>
          <w:szCs w:val="24"/>
        </w:rPr>
        <w:t>Navrhuje sa nové znenie § 55 ods. 3. Navrhovanou úpravou sa vypúšťa doterajšia osobitná vnútroštátna úprava AML/CFT povinnosti viazanej na zisťovanie vlastníctva prostriedkov použitých klientom na vykonanie obchodu a nahrádza sa všeobecným odkazom na osobitné predpisy v oblasti AML/CFT. Nové znenie § 55 ods. 3.  ukladá povinnosti v zmysle osobitných predpisy v oblasti AML/CFT. Navrhovaná úprava reaguje na nariadenie (EÚ) 2024/1624.  Cieľom je zosúladiť vnútroštátnu právnu úpravu s priamo uplatniteľným právom Európskej únie a odstrániť aplikačnú neistotu.</w:t>
      </w:r>
    </w:p>
    <w:p w14:paraId="09937D6D" w14:textId="75C446E3" w:rsidR="5F00CFD6" w:rsidRDefault="22095916" w:rsidP="6405D0E6">
      <w:pPr>
        <w:spacing w:after="0" w:line="276" w:lineRule="auto"/>
        <w:jc w:val="both"/>
        <w:rPr>
          <w:rFonts w:ascii="Times New Roman" w:hAnsi="Times New Roman"/>
          <w:sz w:val="24"/>
          <w:szCs w:val="24"/>
        </w:rPr>
      </w:pPr>
      <w:r w:rsidRPr="070BDBF9">
        <w:rPr>
          <w:rFonts w:ascii="Times New Roman" w:hAnsi="Times New Roman"/>
          <w:sz w:val="24"/>
          <w:szCs w:val="24"/>
        </w:rPr>
        <w:t>Cieľom je odstrániť duplicitu a predísť vecnému nesúladu medzi sektorovým zákonom a novým európskym AML/CFT rámcom.</w:t>
      </w:r>
    </w:p>
    <w:p w14:paraId="0C6162F2" w14:textId="70078BFB"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7C9279BB" w14:textId="353D18CD" w:rsidR="5F00CFD6" w:rsidRDefault="47EE0DF0" w:rsidP="6405D0E6">
      <w:pPr>
        <w:spacing w:after="0" w:line="276" w:lineRule="auto"/>
        <w:jc w:val="both"/>
        <w:rPr>
          <w:rFonts w:ascii="Times New Roman" w:hAnsi="Times New Roman"/>
          <w:sz w:val="24"/>
          <w:szCs w:val="24"/>
        </w:rPr>
      </w:pPr>
      <w:r w:rsidRPr="23BE041E">
        <w:rPr>
          <w:rFonts w:ascii="Times New Roman" w:hAnsi="Times New Roman"/>
          <w:sz w:val="24"/>
          <w:szCs w:val="24"/>
        </w:rPr>
        <w:t xml:space="preserve">Navrhovaná úprava reaguje na nariadenie (EÚ) 2024/1624, podľa ktorého sa opatrenia náležitej starostlivosti vo vzťahu ku klientovi uplatňujú aj pri vykonávaní príležitostnej transakcie v hodnote aspoň 10 000 eur alebo prostredníctvom prepojených transakcií. Obsah týchto opatrení je zároveň upravený priamo uplatniteľným právom Európskej </w:t>
      </w:r>
      <w:proofErr w:type="spellStart"/>
      <w:r w:rsidRPr="23BE041E">
        <w:rPr>
          <w:rFonts w:ascii="Times New Roman" w:hAnsi="Times New Roman"/>
          <w:sz w:val="24"/>
          <w:szCs w:val="24"/>
        </w:rPr>
        <w:t>úni</w:t>
      </w:r>
      <w:proofErr w:type="spellEnd"/>
      <w:r w:rsidRPr="23BE041E">
        <w:rPr>
          <w:rFonts w:ascii="Times New Roman" w:hAnsi="Times New Roman"/>
          <w:sz w:val="24"/>
          <w:szCs w:val="24"/>
        </w:rPr>
        <w:t>.</w:t>
      </w:r>
    </w:p>
    <w:p w14:paraId="132CE0FE" w14:textId="3CB23C5D"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lastRenderedPageBreak/>
        <w:t xml:space="preserve"> </w:t>
      </w:r>
    </w:p>
    <w:p w14:paraId="1A2F8326" w14:textId="2BA08FFD" w:rsidR="5F00CFD6" w:rsidRDefault="22095916"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bodu 12 [§ 55 ods. 4]</w:t>
      </w:r>
    </w:p>
    <w:p w14:paraId="2DF3DCB4" w14:textId="4E5F397A" w:rsidR="5F00CFD6" w:rsidRDefault="47EE0DF0" w:rsidP="6405D0E6">
      <w:pPr>
        <w:spacing w:after="200" w:line="276" w:lineRule="auto"/>
        <w:jc w:val="both"/>
        <w:rPr>
          <w:rFonts w:ascii="Times New Roman" w:hAnsi="Times New Roman"/>
          <w:sz w:val="24"/>
          <w:szCs w:val="24"/>
        </w:rPr>
      </w:pPr>
      <w:r w:rsidRPr="23BE041E">
        <w:rPr>
          <w:rFonts w:ascii="Times New Roman" w:hAnsi="Times New Roman"/>
          <w:sz w:val="24"/>
          <w:szCs w:val="24"/>
        </w:rPr>
        <w:t xml:space="preserve">Navrhuje sa vypustiť znenie § 55 ods. 4. </w:t>
      </w:r>
      <w:proofErr w:type="spellStart"/>
      <w:r w:rsidRPr="23BE041E">
        <w:rPr>
          <w:rFonts w:ascii="Times New Roman" w:hAnsi="Times New Roman"/>
          <w:sz w:val="24"/>
          <w:szCs w:val="24"/>
        </w:rPr>
        <w:t>Odtraňuje</w:t>
      </w:r>
      <w:proofErr w:type="spellEnd"/>
      <w:r w:rsidRPr="23BE041E">
        <w:rPr>
          <w:rFonts w:ascii="Times New Roman" w:hAnsi="Times New Roman"/>
          <w:sz w:val="24"/>
          <w:szCs w:val="24"/>
        </w:rPr>
        <w:t xml:space="preserve"> sa osobitná vnútroštátna úprava. Navrhovaná úprava reaguje na čl. 48 až 50 nariadenia (EÚ) 2024/1624. Z uvedeného dôvodu sa navrhuje vypustiť detailnú vnútroštátnu úpravu a nahradiť ju všeobecným odkazom na osobitné predpisy v § 55 </w:t>
      </w:r>
      <w:proofErr w:type="spellStart"/>
      <w:r w:rsidRPr="23BE041E">
        <w:rPr>
          <w:rFonts w:ascii="Times New Roman" w:hAnsi="Times New Roman"/>
          <w:sz w:val="24"/>
          <w:szCs w:val="24"/>
        </w:rPr>
        <w:t>ods</w:t>
      </w:r>
      <w:proofErr w:type="spellEnd"/>
      <w:r w:rsidRPr="23BE041E">
        <w:rPr>
          <w:rFonts w:ascii="Times New Roman" w:hAnsi="Times New Roman"/>
          <w:sz w:val="24"/>
          <w:szCs w:val="24"/>
        </w:rPr>
        <w:t xml:space="preserve"> 3. Cieľom je zosúladiť vnútroštátnu právnu úpravu s priamo uplatniteľným právom Európskej únie, predísť duplicite právnej úpravy a odstrániť riziko nesúladu medzi vnútroštátnym ustanovením a nariadením 2024/1624. Táto otázka je totiž na úrovni nariadenia 2024/1624 upravená osobitne v ustanoveniach o spoliehaní sa na náležitú starostlivosť vykonanú inými povinnými subjektmi.</w:t>
      </w:r>
    </w:p>
    <w:p w14:paraId="7A9C1961" w14:textId="2029EBCB" w:rsidR="5F00CFD6" w:rsidRDefault="22095916"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bodom 13, 14, 16 a 17</w:t>
      </w:r>
    </w:p>
    <w:p w14:paraId="0507D8F9" w14:textId="419C14EE" w:rsidR="5F00CFD6" w:rsidRDefault="22095916" w:rsidP="6405D0E6">
      <w:pPr>
        <w:spacing w:after="0" w:line="276" w:lineRule="auto"/>
        <w:jc w:val="both"/>
        <w:rPr>
          <w:rFonts w:ascii="Times New Roman" w:hAnsi="Times New Roman"/>
          <w:sz w:val="24"/>
          <w:szCs w:val="24"/>
        </w:rPr>
      </w:pPr>
      <w:r w:rsidRPr="070BDBF9">
        <w:rPr>
          <w:rFonts w:ascii="Times New Roman" w:hAnsi="Times New Roman"/>
          <w:sz w:val="24"/>
          <w:szCs w:val="24"/>
        </w:rPr>
        <w:t>Ide o úpravu vnútorných odkazov v nadväznosti na zmenu vykonanú v bode 12.</w:t>
      </w:r>
    </w:p>
    <w:p w14:paraId="08706D46" w14:textId="63BAD299"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7423E5AD" w14:textId="15B20369" w:rsidR="5F00CFD6" w:rsidRDefault="22095916"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K bodom 15, 18, 19 a 20 [poznámky pod čiarou]</w:t>
      </w:r>
    </w:p>
    <w:p w14:paraId="41C02236" w14:textId="13E7668A" w:rsidR="5F00CFD6" w:rsidRDefault="22095916" w:rsidP="6405D0E6">
      <w:pPr>
        <w:spacing w:after="0" w:line="276" w:lineRule="auto"/>
        <w:jc w:val="both"/>
        <w:rPr>
          <w:rFonts w:ascii="Times New Roman" w:hAnsi="Times New Roman"/>
          <w:sz w:val="24"/>
          <w:szCs w:val="24"/>
        </w:rPr>
      </w:pPr>
      <w:r w:rsidRPr="070BDBF9">
        <w:rPr>
          <w:rFonts w:ascii="Times New Roman" w:hAnsi="Times New Roman"/>
          <w:sz w:val="24"/>
          <w:szCs w:val="24"/>
        </w:rPr>
        <w:t>Navrhuje sa upraviť príslušné poznámky pod čiarou tak, aby zodpovedali aktuálnej právnej úprave v oblasti ochrany pred legalizáciou príjmov z trestnej činnosti a financovaním terorizmu.</w:t>
      </w:r>
    </w:p>
    <w:p w14:paraId="34CBCB2D" w14:textId="1ADBED7E"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0F74D621" w14:textId="6949695E" w:rsidR="5F00CFD6" w:rsidRDefault="22095916" w:rsidP="6405D0E6">
      <w:pPr>
        <w:spacing w:after="0" w:line="276" w:lineRule="auto"/>
        <w:jc w:val="both"/>
        <w:rPr>
          <w:rFonts w:ascii="Times New Roman" w:hAnsi="Times New Roman"/>
          <w:sz w:val="24"/>
          <w:szCs w:val="24"/>
        </w:rPr>
      </w:pPr>
      <w:r w:rsidRPr="070BDBF9">
        <w:rPr>
          <w:rFonts w:ascii="Times New Roman" w:hAnsi="Times New Roman"/>
          <w:sz w:val="24"/>
          <w:szCs w:val="24"/>
        </w:rPr>
        <w:t>Ide o legislatívno-technickú úpravu vyvolanú prijatím novej právnej úpravy, ktorou sa nahrádza doterajší zákon č. 297/2008 Z. z.</w:t>
      </w:r>
    </w:p>
    <w:p w14:paraId="0F7CB7B6" w14:textId="5D8A4D73" w:rsidR="5F00CFD6" w:rsidRDefault="22095916" w:rsidP="6405D0E6">
      <w:pPr>
        <w:spacing w:after="0" w:line="276" w:lineRule="auto"/>
        <w:ind w:left="284"/>
        <w:jc w:val="both"/>
        <w:rPr>
          <w:rFonts w:ascii="Times New Roman" w:hAnsi="Times New Roman"/>
          <w:b/>
          <w:bCs/>
          <w:sz w:val="24"/>
          <w:szCs w:val="24"/>
        </w:rPr>
      </w:pPr>
      <w:r w:rsidRPr="070BDBF9">
        <w:rPr>
          <w:rFonts w:ascii="Times New Roman" w:hAnsi="Times New Roman"/>
          <w:b/>
          <w:bCs/>
          <w:sz w:val="24"/>
          <w:szCs w:val="24"/>
        </w:rPr>
        <w:t xml:space="preserve"> </w:t>
      </w:r>
    </w:p>
    <w:p w14:paraId="63E61E6E" w14:textId="1C42F0FD" w:rsidR="5F00CFD6" w:rsidRDefault="22095916" w:rsidP="6405D0E6">
      <w:pPr>
        <w:spacing w:after="0" w:line="276" w:lineRule="auto"/>
        <w:jc w:val="both"/>
        <w:rPr>
          <w:rFonts w:ascii="Times New Roman" w:hAnsi="Times New Roman"/>
          <w:b/>
          <w:bCs/>
          <w:sz w:val="24"/>
          <w:szCs w:val="24"/>
        </w:rPr>
      </w:pPr>
      <w:r w:rsidRPr="070BDBF9">
        <w:rPr>
          <w:rFonts w:ascii="Times New Roman" w:hAnsi="Times New Roman"/>
          <w:b/>
          <w:bCs/>
          <w:sz w:val="24"/>
          <w:szCs w:val="24"/>
        </w:rPr>
        <w:t xml:space="preserve">K bodu 21 [220l] </w:t>
      </w:r>
    </w:p>
    <w:p w14:paraId="0D620D1D" w14:textId="605550DA" w:rsidR="5F00CFD6" w:rsidRDefault="22095916" w:rsidP="6405D0E6">
      <w:pPr>
        <w:spacing w:after="0" w:line="276" w:lineRule="auto"/>
        <w:jc w:val="both"/>
        <w:rPr>
          <w:rFonts w:ascii="Times New Roman" w:hAnsi="Times New Roman"/>
          <w:sz w:val="24"/>
          <w:szCs w:val="24"/>
        </w:rPr>
      </w:pPr>
      <w:r w:rsidRPr="070BDBF9">
        <w:rPr>
          <w:rFonts w:ascii="Times New Roman" w:hAnsi="Times New Roman"/>
          <w:sz w:val="24"/>
          <w:szCs w:val="24"/>
        </w:rPr>
        <w:t>Navrhuje sa doplniť prechodné ustanovenie, ktorým sa právnickým osobám spravujúcim alternatívne investičné fondy podľa § 4 ods. 2 písm. b), ktoré spĺňajú podmienky podľa § 31a ods. 1, a samosprávnym alternatívnym investičným fondom podľa § 4 ods. 2 písm. b), ktoré spĺňajú podmienky podľa § 31a ods. 1, ukladá povinnosť oznámiť Národnej banke Slovenska identifikačné a kontaktné údaje člena riadiaceho orgánu zodpovedného za vykonávanie interných politík, postupov a kontrol v oblasti ochrany pred legalizáciou príjmov z trestnej činnosti a financovaním terorizmu, ako aj identifikačné a kontaktné údaje pracovníka pre dodržiavanie súladu zodpovedného za každodenné plnenie týchto požiadaviek.</w:t>
      </w:r>
    </w:p>
    <w:p w14:paraId="2947AC8A" w14:textId="647F0782"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2D4CBCF9" w14:textId="340B7DF1" w:rsidR="5F00CFD6" w:rsidRDefault="47EE0DF0" w:rsidP="6405D0E6">
      <w:pPr>
        <w:spacing w:after="0" w:line="276" w:lineRule="auto"/>
        <w:jc w:val="both"/>
        <w:rPr>
          <w:rFonts w:ascii="Times New Roman" w:hAnsi="Times New Roman"/>
          <w:sz w:val="24"/>
          <w:szCs w:val="24"/>
        </w:rPr>
      </w:pPr>
      <w:r w:rsidRPr="23BE041E">
        <w:rPr>
          <w:rFonts w:ascii="Times New Roman" w:hAnsi="Times New Roman"/>
          <w:sz w:val="24"/>
          <w:szCs w:val="24"/>
        </w:rPr>
        <w:t>Navrhovaná úprava nadväzuje na čl. 11 nariadenia (EÚ) 2024/1624, podľa ktorého má byť identifikovaný člen riadiaceho orgánu zodpovedný za vykonávanie interných AML/CFT politík, postupov a kontrol a súčasne má byť určený pracovník pre dodržiavanie súladu, ktorý zabezpečuje každodenné plnenie týchto požiadaviek a pravidelne podáva správy riadiacemu orgánu.</w:t>
      </w:r>
    </w:p>
    <w:p w14:paraId="2518C88D" w14:textId="131CAD62"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4F118D10" w14:textId="36EB9A8D" w:rsidR="5F00CFD6" w:rsidRDefault="22095916" w:rsidP="6405D0E6">
      <w:pPr>
        <w:spacing w:after="0" w:line="276" w:lineRule="auto"/>
        <w:jc w:val="both"/>
        <w:rPr>
          <w:rFonts w:ascii="Times New Roman" w:hAnsi="Times New Roman"/>
          <w:sz w:val="24"/>
          <w:szCs w:val="24"/>
        </w:rPr>
      </w:pPr>
      <w:r w:rsidRPr="070BDBF9">
        <w:rPr>
          <w:rFonts w:ascii="Times New Roman" w:hAnsi="Times New Roman"/>
          <w:sz w:val="24"/>
          <w:szCs w:val="24"/>
        </w:rPr>
        <w:t xml:space="preserve">Ide o doplnenie, ktorého cieľom je zabezpečiť, aby Národná banka Slovenska mala pri registrovaných správcoch a samosprávnych alternatívnych investičných fondoch k dispozícii základné informácie o osobách zodpovedných za plnenie AML/CFT požiadaviek. </w:t>
      </w:r>
    </w:p>
    <w:p w14:paraId="3C5FB0BB" w14:textId="2F0F8E03" w:rsidR="5F00CFD6" w:rsidRDefault="22095916" w:rsidP="6405D0E6">
      <w:pPr>
        <w:spacing w:after="0" w:line="276" w:lineRule="auto"/>
        <w:ind w:left="284"/>
        <w:jc w:val="both"/>
        <w:rPr>
          <w:rFonts w:ascii="Times New Roman" w:hAnsi="Times New Roman"/>
          <w:sz w:val="24"/>
          <w:szCs w:val="24"/>
        </w:rPr>
      </w:pPr>
      <w:r w:rsidRPr="070BDBF9">
        <w:rPr>
          <w:rFonts w:ascii="Times New Roman" w:hAnsi="Times New Roman"/>
          <w:sz w:val="24"/>
          <w:szCs w:val="24"/>
        </w:rPr>
        <w:t xml:space="preserve"> </w:t>
      </w:r>
    </w:p>
    <w:p w14:paraId="682EDD47" w14:textId="0D96C80F" w:rsidR="5F00CFD6" w:rsidRDefault="22095916" w:rsidP="6405D0E6">
      <w:pPr>
        <w:spacing w:after="0" w:line="276" w:lineRule="auto"/>
        <w:jc w:val="both"/>
        <w:rPr>
          <w:rFonts w:ascii="Times New Roman" w:hAnsi="Times New Roman"/>
          <w:sz w:val="24"/>
          <w:szCs w:val="24"/>
        </w:rPr>
      </w:pPr>
      <w:r w:rsidRPr="070BDBF9">
        <w:rPr>
          <w:rFonts w:ascii="Times New Roman" w:hAnsi="Times New Roman"/>
          <w:sz w:val="24"/>
          <w:szCs w:val="24"/>
        </w:rPr>
        <w:t xml:space="preserve">Navrhovaná úprava sleduje posilnenie </w:t>
      </w:r>
      <w:proofErr w:type="spellStart"/>
      <w:r w:rsidRPr="070BDBF9">
        <w:rPr>
          <w:rFonts w:ascii="Times New Roman" w:hAnsi="Times New Roman"/>
          <w:sz w:val="24"/>
          <w:szCs w:val="24"/>
        </w:rPr>
        <w:t>dohľadovej</w:t>
      </w:r>
      <w:proofErr w:type="spellEnd"/>
      <w:r w:rsidRPr="070BDBF9">
        <w:rPr>
          <w:rFonts w:ascii="Times New Roman" w:hAnsi="Times New Roman"/>
          <w:sz w:val="24"/>
          <w:szCs w:val="24"/>
        </w:rPr>
        <w:t xml:space="preserve"> komunikácie, zvýšenie transparentnosti vnútorného riadenia týchto subjektov a zefektívnenie výkonu dohľadu v oblasti ochrany pred legalizáciou príjmov z trestnej činnosti a financovaním terorizmu.</w:t>
      </w:r>
    </w:p>
    <w:p w14:paraId="7CD083EE" w14:textId="37868F5C" w:rsidR="6405D0E6" w:rsidRDefault="6405D0E6" w:rsidP="070BDBF9">
      <w:pPr>
        <w:spacing w:after="0"/>
        <w:jc w:val="center"/>
        <w:rPr>
          <w:rFonts w:ascii="Times New Roman" w:hAnsi="Times New Roman"/>
          <w:b/>
          <w:bCs/>
          <w:sz w:val="24"/>
          <w:szCs w:val="24"/>
          <w:highlight w:val="yellow"/>
        </w:rPr>
      </w:pPr>
    </w:p>
    <w:p w14:paraId="457153E4" w14:textId="55B86708" w:rsidR="6405D0E6" w:rsidRDefault="6405D0E6" w:rsidP="6405D0E6">
      <w:pPr>
        <w:tabs>
          <w:tab w:val="left" w:pos="3871"/>
        </w:tabs>
        <w:spacing w:after="200" w:line="276" w:lineRule="auto"/>
        <w:jc w:val="center"/>
        <w:rPr>
          <w:rFonts w:ascii="Times New Roman" w:hAnsi="Times New Roman"/>
          <w:b/>
          <w:bCs/>
          <w:sz w:val="24"/>
          <w:szCs w:val="24"/>
        </w:rPr>
      </w:pPr>
    </w:p>
    <w:p w14:paraId="2319AE0A" w14:textId="0F7C62F3" w:rsidR="5F00CFD6" w:rsidRDefault="22095916" w:rsidP="070BDBF9">
      <w:pPr>
        <w:tabs>
          <w:tab w:val="left" w:pos="3871"/>
        </w:tabs>
        <w:spacing w:after="200" w:line="276" w:lineRule="auto"/>
        <w:jc w:val="center"/>
        <w:rPr>
          <w:rFonts w:ascii="Times New Roman" w:hAnsi="Times New Roman"/>
          <w:b/>
          <w:bCs/>
          <w:sz w:val="24"/>
          <w:szCs w:val="24"/>
        </w:rPr>
      </w:pPr>
      <w:r w:rsidRPr="070BDBF9">
        <w:rPr>
          <w:rFonts w:ascii="Times New Roman" w:hAnsi="Times New Roman"/>
          <w:b/>
          <w:bCs/>
          <w:sz w:val="24"/>
          <w:szCs w:val="24"/>
        </w:rPr>
        <w:t>Čl. XVIII</w:t>
      </w:r>
    </w:p>
    <w:p w14:paraId="05AAAA17" w14:textId="14AF69E5" w:rsidR="5F00CFD6" w:rsidRDefault="109348EC" w:rsidP="070BDBF9">
      <w:pPr>
        <w:tabs>
          <w:tab w:val="left" w:pos="3871"/>
        </w:tabs>
        <w:spacing w:after="200" w:line="276" w:lineRule="auto"/>
        <w:jc w:val="center"/>
        <w:rPr>
          <w:rFonts w:ascii="Times New Roman" w:hAnsi="Times New Roman"/>
          <w:b/>
          <w:bCs/>
          <w:sz w:val="24"/>
          <w:szCs w:val="24"/>
        </w:rPr>
      </w:pPr>
      <w:r w:rsidRPr="004E4256">
        <w:rPr>
          <w:rFonts w:ascii="Times New Roman" w:hAnsi="Times New Roman"/>
          <w:b/>
          <w:bCs/>
          <w:sz w:val="24"/>
          <w:szCs w:val="24"/>
        </w:rPr>
        <w:t>Zákon č. 394/2012 Z. z. o obmedzení platieb v hotovosti</w:t>
      </w:r>
    </w:p>
    <w:p w14:paraId="36DADFEC" w14:textId="38A3DF98" w:rsidR="004E4256" w:rsidRDefault="004E4256" w:rsidP="004E4256">
      <w:pPr>
        <w:spacing w:after="120"/>
        <w:jc w:val="both"/>
        <w:rPr>
          <w:rFonts w:ascii="Times New Roman" w:hAnsi="Times New Roman"/>
          <w:b/>
          <w:bCs/>
          <w:color w:val="000000" w:themeColor="text1"/>
          <w:sz w:val="24"/>
          <w:szCs w:val="24"/>
        </w:rPr>
      </w:pPr>
    </w:p>
    <w:p w14:paraId="3F2B3651" w14:textId="338EFE78" w:rsidR="0BE33B84" w:rsidRDefault="0BE33B84" w:rsidP="004E4256">
      <w:pPr>
        <w:spacing w:after="120"/>
        <w:jc w:val="both"/>
      </w:pPr>
      <w:r w:rsidRPr="004E4256">
        <w:rPr>
          <w:rFonts w:ascii="Times New Roman" w:hAnsi="Times New Roman"/>
          <w:b/>
          <w:bCs/>
          <w:color w:val="000000" w:themeColor="text1"/>
          <w:sz w:val="24"/>
          <w:szCs w:val="24"/>
        </w:rPr>
        <w:t xml:space="preserve">K bodom 1, 4, </w:t>
      </w:r>
      <w:r w:rsidR="00AE31E0">
        <w:rPr>
          <w:rFonts w:ascii="Times New Roman" w:hAnsi="Times New Roman"/>
          <w:b/>
          <w:bCs/>
          <w:color w:val="000000" w:themeColor="text1"/>
          <w:sz w:val="24"/>
          <w:szCs w:val="24"/>
        </w:rPr>
        <w:t>6</w:t>
      </w:r>
      <w:r w:rsidRPr="004E4256">
        <w:rPr>
          <w:rFonts w:ascii="Times New Roman" w:hAnsi="Times New Roman"/>
          <w:b/>
          <w:bCs/>
          <w:color w:val="000000" w:themeColor="text1"/>
          <w:sz w:val="24"/>
          <w:szCs w:val="24"/>
        </w:rPr>
        <w:t xml:space="preserve">, </w:t>
      </w:r>
      <w:r w:rsidR="00AE31E0">
        <w:rPr>
          <w:rFonts w:ascii="Times New Roman" w:hAnsi="Times New Roman"/>
          <w:b/>
          <w:bCs/>
          <w:color w:val="000000" w:themeColor="text1"/>
          <w:sz w:val="24"/>
          <w:szCs w:val="24"/>
        </w:rPr>
        <w:t>8</w:t>
      </w:r>
      <w:r w:rsidRPr="004E4256">
        <w:rPr>
          <w:rFonts w:ascii="Times New Roman" w:hAnsi="Times New Roman"/>
          <w:b/>
          <w:bCs/>
          <w:color w:val="000000" w:themeColor="text1"/>
          <w:sz w:val="24"/>
          <w:szCs w:val="24"/>
        </w:rPr>
        <w:t>, 1</w:t>
      </w:r>
      <w:r w:rsidR="00AE31E0">
        <w:rPr>
          <w:rFonts w:ascii="Times New Roman" w:hAnsi="Times New Roman"/>
          <w:b/>
          <w:bCs/>
          <w:color w:val="000000" w:themeColor="text1"/>
          <w:sz w:val="24"/>
          <w:szCs w:val="24"/>
        </w:rPr>
        <w:t>1</w:t>
      </w:r>
      <w:r w:rsidRPr="004E4256">
        <w:rPr>
          <w:rFonts w:ascii="Times New Roman" w:hAnsi="Times New Roman"/>
          <w:b/>
          <w:bCs/>
          <w:color w:val="000000" w:themeColor="text1"/>
          <w:sz w:val="24"/>
          <w:szCs w:val="24"/>
        </w:rPr>
        <w:t xml:space="preserve"> [§ 1, § 6 ods. 2, § 8]</w:t>
      </w:r>
    </w:p>
    <w:p w14:paraId="7C24C970" w14:textId="028ECB6C" w:rsidR="0BE33B84" w:rsidRDefault="33468B7A" w:rsidP="004E4256">
      <w:pPr>
        <w:spacing w:after="120"/>
        <w:jc w:val="both"/>
      </w:pPr>
      <w:r w:rsidRPr="23BE041E">
        <w:rPr>
          <w:rFonts w:ascii="Times New Roman" w:hAnsi="Times New Roman"/>
          <w:color w:val="000000" w:themeColor="text1"/>
          <w:sz w:val="24"/>
          <w:szCs w:val="24"/>
        </w:rPr>
        <w:t xml:space="preserve">Vzhľadom na prijatie nariadenia </w:t>
      </w:r>
      <w:r w:rsidRPr="23BE041E">
        <w:rPr>
          <w:rFonts w:ascii="Times New Roman" w:hAnsi="Times New Roman"/>
          <w:sz w:val="24"/>
          <w:szCs w:val="24"/>
        </w:rPr>
        <w:t>(EÚ) 2024/1624</w:t>
      </w:r>
      <w:r w:rsidRPr="23BE041E">
        <w:rPr>
          <w:rFonts w:ascii="Times New Roman" w:hAnsi="Times New Roman"/>
          <w:color w:val="252525"/>
          <w:sz w:val="24"/>
          <w:szCs w:val="24"/>
        </w:rPr>
        <w:t xml:space="preserve">, ktoré je priamo účinné v celej Európskej únii a ktoré v čl. 80 ustanovuje obmedzenie veľkých hotovostných platieb, je nutné zákon č. 394/2012 Z. z. </w:t>
      </w:r>
      <w:r w:rsidRPr="23BE041E">
        <w:rPr>
          <w:rFonts w:ascii="Times New Roman" w:hAnsi="Times New Roman"/>
          <w:sz w:val="24"/>
          <w:szCs w:val="24"/>
        </w:rPr>
        <w:t>o obmedzení platieb v hotovosti v znení neskorších predpisov (ďalej len „zákon“)</w:t>
      </w:r>
      <w:r w:rsidRPr="23BE041E">
        <w:rPr>
          <w:rFonts w:ascii="Times New Roman" w:hAnsi="Times New Roman"/>
          <w:color w:val="252525"/>
          <w:sz w:val="24"/>
          <w:szCs w:val="24"/>
        </w:rPr>
        <w:t xml:space="preserve"> upraviť tak, aby bol v súlade s týmto nariadením. </w:t>
      </w:r>
    </w:p>
    <w:p w14:paraId="4E41459F" w14:textId="27DB5490" w:rsidR="0BE33B84" w:rsidRDefault="0BE33B84" w:rsidP="004E4256">
      <w:pPr>
        <w:spacing w:after="120"/>
        <w:jc w:val="both"/>
      </w:pPr>
      <w:r w:rsidRPr="004E4256">
        <w:rPr>
          <w:rFonts w:ascii="Times New Roman" w:hAnsi="Times New Roman"/>
          <w:color w:val="252525"/>
          <w:sz w:val="24"/>
          <w:szCs w:val="24"/>
        </w:rPr>
        <w:t>Z tohto dôvodu sa zo zákona vypúšťajú všetky ustanovenia, ktoré upravuje nariadenie, a ponechané sú len ustanovenia, ktoré sú nevyhnutné na dôslednú implementáciu čl. 80 nariadenia.</w:t>
      </w:r>
    </w:p>
    <w:p w14:paraId="1FAF102D" w14:textId="65E49952" w:rsidR="0BE33B84" w:rsidRDefault="0BE33B84" w:rsidP="004E4256">
      <w:pPr>
        <w:spacing w:after="120"/>
        <w:jc w:val="both"/>
      </w:pPr>
      <w:r w:rsidRPr="004E4256">
        <w:rPr>
          <w:rFonts w:ascii="Times New Roman" w:hAnsi="Times New Roman"/>
          <w:color w:val="000000" w:themeColor="text1"/>
          <w:sz w:val="24"/>
          <w:szCs w:val="24"/>
        </w:rPr>
        <w:t>Upravuje sa § 1 tak, že sa dopĺňa odkaz na nariadenie. Ustanovenia § 2, 3, 5 a 7 sú dôležité pre správnu vykonateľnosť zákona, preto sa ponechávajú v platnom znení. Čl. 80 ods. 1 nariadenia upravuje aj transakcie rozdelené do niekoľkých operácií, ktoré sú zjavne prepojené, z tohto dôvodu je potrebné vypustiť § 6 ods. 2 zákona.</w:t>
      </w:r>
    </w:p>
    <w:p w14:paraId="33A6D45F" w14:textId="3CF91C46" w:rsidR="0BE33B84" w:rsidRDefault="0BE33B84" w:rsidP="004E4256">
      <w:pPr>
        <w:spacing w:after="120"/>
        <w:jc w:val="both"/>
      </w:pPr>
      <w:r w:rsidRPr="004E4256">
        <w:rPr>
          <w:rFonts w:ascii="Times New Roman" w:hAnsi="Times New Roman"/>
          <w:color w:val="000000" w:themeColor="text1"/>
          <w:sz w:val="24"/>
          <w:szCs w:val="24"/>
        </w:rPr>
        <w:t xml:space="preserve">Vzhľadom na to, že čl. 80 nariadenia sa vzťahuje len na </w:t>
      </w:r>
      <w:r w:rsidRPr="004E4256">
        <w:rPr>
          <w:rFonts w:ascii="Times New Roman" w:hAnsi="Times New Roman"/>
          <w:sz w:val="24"/>
          <w:szCs w:val="24"/>
        </w:rPr>
        <w:t>prijímanie platieb alebo odovzdávanie platieb osobami pri obchodovaní s tovarom alebo pri poskytovaní služieb a zákon sa vzťahuje na všetky platby, je potrebné uvedené zohľadniť a upraviť výnimky v § 8</w:t>
      </w:r>
      <w:r w:rsidRPr="004E4256">
        <w:rPr>
          <w:rFonts w:ascii="Times New Roman" w:hAnsi="Times New Roman"/>
          <w:color w:val="000000" w:themeColor="text1"/>
          <w:sz w:val="24"/>
          <w:szCs w:val="24"/>
        </w:rPr>
        <w:t>.</w:t>
      </w:r>
    </w:p>
    <w:p w14:paraId="3621EDBA" w14:textId="05B04A3A" w:rsidR="0BE33B84" w:rsidRDefault="0BE33B84" w:rsidP="004E4256">
      <w:pPr>
        <w:spacing w:after="120"/>
        <w:jc w:val="both"/>
      </w:pPr>
      <w:r w:rsidRPr="004E4256">
        <w:rPr>
          <w:rFonts w:ascii="Times New Roman" w:hAnsi="Times New Roman"/>
          <w:color w:val="000000" w:themeColor="text1"/>
          <w:sz w:val="24"/>
          <w:szCs w:val="24"/>
        </w:rPr>
        <w:t xml:space="preserve">Keďže nariadenie je priamo účinné, je taktiež nutné vypustiť zo zákona výnimky, ktoré sú upravené v nariadení. Napríklad výnimka podľa § 8 písm. a) zákona sa vypúšťa, pretože danú situáciu rieši čl. 80 ods. 4 písm. b) nariadenia. Takisto je nutné vypustiť aj výnimku podľa § 8 písm. h) zákona, ktorá je upravená v čl. 80 ods. 7 nariadenia. </w:t>
      </w:r>
    </w:p>
    <w:p w14:paraId="0CB3D661" w14:textId="778CBBC6" w:rsidR="0BE33B84" w:rsidRDefault="0BE33B84" w:rsidP="004E4256">
      <w:pPr>
        <w:spacing w:after="120"/>
        <w:jc w:val="both"/>
      </w:pPr>
      <w:r w:rsidRPr="004E4256">
        <w:rPr>
          <w:rFonts w:ascii="Times New Roman" w:hAnsi="Times New Roman"/>
          <w:color w:val="000000" w:themeColor="text1"/>
          <w:sz w:val="24"/>
          <w:szCs w:val="24"/>
        </w:rPr>
        <w:t xml:space="preserve">V § 8 zákona sa ponechávajú výnimky pre vymedzené platby, </w:t>
      </w:r>
    </w:p>
    <w:p w14:paraId="0D8D819D" w14:textId="3B6938FB" w:rsidR="0BE33B84" w:rsidRDefault="0BE33B84" w:rsidP="004E4256">
      <w:pPr>
        <w:pStyle w:val="Odsekzoznamu"/>
        <w:numPr>
          <w:ilvl w:val="0"/>
          <w:numId w:val="1"/>
        </w:numPr>
        <w:spacing w:after="0"/>
        <w:jc w:val="both"/>
        <w:rPr>
          <w:rFonts w:ascii="Times New Roman" w:eastAsia="Times New Roman" w:hAnsi="Times New Roman" w:cs="Times New Roman"/>
          <w:color w:val="000000" w:themeColor="text1"/>
          <w:sz w:val="24"/>
          <w:szCs w:val="24"/>
        </w:rPr>
      </w:pPr>
      <w:r w:rsidRPr="004E4256">
        <w:rPr>
          <w:rFonts w:ascii="Times New Roman" w:eastAsia="Times New Roman" w:hAnsi="Times New Roman" w:cs="Times New Roman"/>
          <w:color w:val="000000" w:themeColor="text1"/>
          <w:sz w:val="24"/>
          <w:szCs w:val="24"/>
        </w:rPr>
        <w:t xml:space="preserve">keď je stranou platby štát alebo iný verejný orgán, t. j. dane, clá, a iné platby podľa daňového poriadku a colného zákona, </w:t>
      </w:r>
    </w:p>
    <w:p w14:paraId="05B42FC2" w14:textId="53033E18" w:rsidR="0BE33B84" w:rsidRDefault="0BE33B84" w:rsidP="004E4256">
      <w:pPr>
        <w:pStyle w:val="Odsekzoznamu"/>
        <w:numPr>
          <w:ilvl w:val="0"/>
          <w:numId w:val="1"/>
        </w:numPr>
        <w:spacing w:after="0"/>
        <w:jc w:val="both"/>
        <w:rPr>
          <w:rFonts w:ascii="Times New Roman" w:eastAsia="Times New Roman" w:hAnsi="Times New Roman" w:cs="Times New Roman"/>
          <w:color w:val="000000" w:themeColor="text1"/>
          <w:sz w:val="24"/>
          <w:szCs w:val="24"/>
        </w:rPr>
      </w:pPr>
      <w:r w:rsidRPr="004E4256">
        <w:rPr>
          <w:rFonts w:ascii="Times New Roman" w:eastAsia="Times New Roman" w:hAnsi="Times New Roman" w:cs="Times New Roman"/>
          <w:color w:val="000000" w:themeColor="text1"/>
          <w:sz w:val="24"/>
          <w:szCs w:val="24"/>
        </w:rPr>
        <w:t>keď je pre výnimku dôvod, napríklad spracovanie alebo preprava hotovosti, predaj alebo výmena bankoviek alebo mincí v hotovosti Národnou bankou Slovenska, plnenie úloh podľa osobitných predpisov a pod. a nie je v rozpore s cieľom nariadenia.</w:t>
      </w:r>
    </w:p>
    <w:p w14:paraId="088532A0" w14:textId="181EAE9D" w:rsidR="0BE33B84" w:rsidRDefault="0BE33B84" w:rsidP="004E4256">
      <w:pPr>
        <w:spacing w:after="120"/>
        <w:jc w:val="both"/>
      </w:pPr>
      <w:r w:rsidRPr="004E4256">
        <w:rPr>
          <w:rFonts w:ascii="Times New Roman" w:hAnsi="Times New Roman"/>
          <w:color w:val="000000" w:themeColor="text1"/>
          <w:sz w:val="24"/>
          <w:szCs w:val="24"/>
        </w:rPr>
        <w:t>Ustanovenia § 9 až 12 predstavujú implementáciu čl. 80 ods. 5 a 6 nariadenia, a preto zostávajú bez vecných zmien a zaktualizujú sa len príslušné poznámky pod čiarou.</w:t>
      </w:r>
    </w:p>
    <w:p w14:paraId="0F221103" w14:textId="3D85CD87" w:rsidR="0BE33B84" w:rsidRDefault="0BE33B84" w:rsidP="004E4256">
      <w:pPr>
        <w:spacing w:after="120"/>
        <w:jc w:val="both"/>
      </w:pPr>
      <w:r w:rsidRPr="004E4256">
        <w:rPr>
          <w:rFonts w:ascii="Times New Roman" w:hAnsi="Times New Roman"/>
          <w:color w:val="000000" w:themeColor="text1"/>
          <w:sz w:val="24"/>
          <w:szCs w:val="24"/>
        </w:rPr>
        <w:t xml:space="preserve"> </w:t>
      </w:r>
    </w:p>
    <w:p w14:paraId="3CD50147" w14:textId="021FA547" w:rsidR="0BE33B84" w:rsidRDefault="0BE33B84" w:rsidP="004E4256">
      <w:pPr>
        <w:spacing w:after="120"/>
        <w:jc w:val="both"/>
      </w:pPr>
      <w:r w:rsidRPr="004E4256">
        <w:rPr>
          <w:rFonts w:ascii="Times New Roman" w:hAnsi="Times New Roman"/>
          <w:b/>
          <w:bCs/>
          <w:color w:val="000000" w:themeColor="text1"/>
          <w:sz w:val="24"/>
          <w:szCs w:val="24"/>
        </w:rPr>
        <w:t>K bodom 2 a 3 [§ 4 ods. 1 a 3]</w:t>
      </w:r>
    </w:p>
    <w:p w14:paraId="0F0C8F47" w14:textId="2A08A40D" w:rsidR="0BE33B84" w:rsidRDefault="33468B7A" w:rsidP="23BE041E">
      <w:pPr>
        <w:spacing w:after="120"/>
        <w:jc w:val="both"/>
        <w:rPr>
          <w:rFonts w:ascii="Times New Roman" w:hAnsi="Times New Roman"/>
          <w:b/>
          <w:bCs/>
          <w:color w:val="000000" w:themeColor="text1"/>
          <w:sz w:val="24"/>
          <w:szCs w:val="24"/>
        </w:rPr>
      </w:pPr>
      <w:r w:rsidRPr="23BE041E">
        <w:rPr>
          <w:rFonts w:ascii="Times New Roman" w:hAnsi="Times New Roman"/>
          <w:sz w:val="24"/>
          <w:szCs w:val="24"/>
        </w:rPr>
        <w:t xml:space="preserve">Navrhuje sa pri vykonávaní zmenárenskej činnosti uplatňovať limit platieb v hotovosti do výšky 10 000 eur ustanovený v čl. 80 ods. 1 nariadenia. Dôvodom tejto úpravy je skutočnosť, že uplatnením nižšieho limitu, ako je stanovený v čl. 80 ods. 1 nariadenia, by sa spôsobilo výrazné obmedzenie záujmu vykonávať zmenárenskú činnosť. Zmenárenská činnosť je devízovými miestami vykonávaná prirodzene za účelom dosahovania zisku, pričom obrat je ovplyvnený aj limitom sumy, ktorú je možné zmeniť. V súčasnosti je bankami vykonávaná </w:t>
      </w:r>
      <w:r w:rsidRPr="23BE041E">
        <w:rPr>
          <w:rFonts w:ascii="Times New Roman" w:hAnsi="Times New Roman"/>
          <w:sz w:val="24"/>
          <w:szCs w:val="24"/>
        </w:rPr>
        <w:lastRenderedPageBreak/>
        <w:t xml:space="preserve">zmenárenská činnosť v značne užšom rozsahu než tomu bolo v minulosti (niektoré pobočky nevykonávajú zmenárenskú činnosť vôbec, niektoré pobočky vykonávajú zmenárenskú činnosť len pre svojich klientov, prípadne je potrebná objednávka konkrétnej sumy a meny vopred), pričom sa obmedzujú len na najviac obchodované meny (USD), resp. meny susedných štátov (CZK, HUF, PLN). Zmenárne majú v ponuke aj iné meny (menej frekventované), a preto sú „atraktívnejšie“ pre záujemcov. </w:t>
      </w:r>
    </w:p>
    <w:p w14:paraId="747A5318" w14:textId="24574098" w:rsidR="0BE33B84" w:rsidRDefault="0BE33B84" w:rsidP="004E4256">
      <w:pPr>
        <w:spacing w:after="0"/>
        <w:jc w:val="both"/>
      </w:pPr>
      <w:r w:rsidRPr="004E4256">
        <w:rPr>
          <w:rFonts w:ascii="Times New Roman" w:hAnsi="Times New Roman"/>
          <w:sz w:val="24"/>
          <w:szCs w:val="24"/>
        </w:rPr>
        <w:t>V súvislosti s doplnením nového odseku 3 do § 4 bolo potrebné vykonať aj legislatívno-technické úpravy v § 4 ods. 1.</w:t>
      </w:r>
    </w:p>
    <w:p w14:paraId="22EC9062" w14:textId="47F54BAD" w:rsidR="0BE33B84" w:rsidRDefault="0BE33B84" w:rsidP="004E4256">
      <w:pPr>
        <w:spacing w:after="120"/>
        <w:jc w:val="both"/>
        <w:rPr>
          <w:rFonts w:ascii="Times New Roman" w:hAnsi="Times New Roman"/>
          <w:sz w:val="24"/>
          <w:szCs w:val="24"/>
        </w:rPr>
      </w:pPr>
      <w:r w:rsidRPr="004E4256">
        <w:rPr>
          <w:rFonts w:ascii="Times New Roman" w:hAnsi="Times New Roman"/>
          <w:sz w:val="24"/>
          <w:szCs w:val="24"/>
        </w:rPr>
        <w:t xml:space="preserve"> </w:t>
      </w:r>
    </w:p>
    <w:p w14:paraId="286512A7" w14:textId="06F6BE4F" w:rsidR="00AE31E0" w:rsidRDefault="00AE31E0" w:rsidP="004E4256">
      <w:pPr>
        <w:spacing w:after="120"/>
        <w:jc w:val="both"/>
        <w:rPr>
          <w:rFonts w:ascii="Times New Roman" w:hAnsi="Times New Roman"/>
          <w:b/>
          <w:bCs/>
          <w:color w:val="000000" w:themeColor="text1"/>
          <w:sz w:val="24"/>
          <w:szCs w:val="24"/>
        </w:rPr>
      </w:pPr>
      <w:r w:rsidRPr="004E4256">
        <w:rPr>
          <w:rFonts w:ascii="Times New Roman" w:hAnsi="Times New Roman"/>
          <w:b/>
          <w:bCs/>
          <w:color w:val="000000" w:themeColor="text1"/>
          <w:sz w:val="24"/>
          <w:szCs w:val="24"/>
        </w:rPr>
        <w:t>K bod</w:t>
      </w:r>
      <w:r>
        <w:rPr>
          <w:rFonts w:ascii="Times New Roman" w:hAnsi="Times New Roman"/>
          <w:b/>
          <w:bCs/>
          <w:color w:val="000000" w:themeColor="text1"/>
          <w:sz w:val="24"/>
          <w:szCs w:val="24"/>
        </w:rPr>
        <w:t>u</w:t>
      </w:r>
      <w:r w:rsidRPr="004E4256">
        <w:rPr>
          <w:rFonts w:ascii="Times New Roman" w:hAnsi="Times New Roman"/>
          <w:b/>
          <w:bCs/>
          <w:color w:val="000000" w:themeColor="text1"/>
          <w:sz w:val="24"/>
          <w:szCs w:val="24"/>
        </w:rPr>
        <w:t xml:space="preserve"> </w:t>
      </w:r>
      <w:r>
        <w:rPr>
          <w:rFonts w:ascii="Times New Roman" w:hAnsi="Times New Roman"/>
          <w:b/>
          <w:bCs/>
          <w:color w:val="000000" w:themeColor="text1"/>
          <w:sz w:val="24"/>
          <w:szCs w:val="24"/>
        </w:rPr>
        <w:t>5 [§ 7</w:t>
      </w:r>
      <w:r w:rsidRPr="004E4256">
        <w:rPr>
          <w:rFonts w:ascii="Times New Roman" w:hAnsi="Times New Roman"/>
          <w:b/>
          <w:bCs/>
          <w:color w:val="000000" w:themeColor="text1"/>
          <w:sz w:val="24"/>
          <w:szCs w:val="24"/>
        </w:rPr>
        <w:t xml:space="preserve"> ods. 3]</w:t>
      </w:r>
    </w:p>
    <w:p w14:paraId="373A0B1E" w14:textId="41B01D63" w:rsidR="00AE31E0" w:rsidRDefault="00AE31E0" w:rsidP="004E4256">
      <w:pPr>
        <w:spacing w:after="120"/>
        <w:jc w:val="both"/>
        <w:rPr>
          <w:rFonts w:ascii="Times New Roman" w:hAnsi="Times New Roman"/>
          <w:sz w:val="24"/>
          <w:szCs w:val="24"/>
        </w:rPr>
      </w:pPr>
      <w:r w:rsidRPr="00AE31E0">
        <w:rPr>
          <w:rFonts w:ascii="Times New Roman" w:hAnsi="Times New Roman"/>
          <w:sz w:val="24"/>
          <w:szCs w:val="24"/>
        </w:rPr>
        <w:t>Aktualizuje sa vnútorný odkaz v nadväznosti na vyp</w:t>
      </w:r>
      <w:r>
        <w:rPr>
          <w:rFonts w:ascii="Times New Roman" w:hAnsi="Times New Roman"/>
          <w:sz w:val="24"/>
          <w:szCs w:val="24"/>
        </w:rPr>
        <w:t>ustenie niektorých písmen v § 8.</w:t>
      </w:r>
    </w:p>
    <w:p w14:paraId="1C64477E" w14:textId="77777777" w:rsidR="00AE31E0" w:rsidRPr="00AE31E0" w:rsidRDefault="00AE31E0" w:rsidP="004E4256">
      <w:pPr>
        <w:spacing w:after="120"/>
        <w:jc w:val="both"/>
        <w:rPr>
          <w:rFonts w:ascii="Times New Roman" w:hAnsi="Times New Roman"/>
          <w:sz w:val="24"/>
          <w:szCs w:val="24"/>
        </w:rPr>
      </w:pPr>
    </w:p>
    <w:p w14:paraId="0A4C9018" w14:textId="2EBF3D03" w:rsidR="0BE33B84" w:rsidRDefault="0BE33B84" w:rsidP="004E4256">
      <w:pPr>
        <w:spacing w:after="120"/>
        <w:jc w:val="both"/>
      </w:pPr>
      <w:r w:rsidRPr="004E4256">
        <w:rPr>
          <w:rFonts w:ascii="Times New Roman" w:hAnsi="Times New Roman"/>
          <w:b/>
          <w:bCs/>
          <w:color w:val="000000" w:themeColor="text1"/>
          <w:sz w:val="24"/>
          <w:szCs w:val="24"/>
        </w:rPr>
        <w:t xml:space="preserve">K bodom </w:t>
      </w:r>
      <w:r w:rsidR="00AE31E0">
        <w:rPr>
          <w:rFonts w:ascii="Times New Roman" w:hAnsi="Times New Roman"/>
          <w:b/>
          <w:bCs/>
          <w:color w:val="000000" w:themeColor="text1"/>
          <w:sz w:val="24"/>
          <w:szCs w:val="24"/>
        </w:rPr>
        <w:t>7</w:t>
      </w:r>
      <w:r w:rsidRPr="004E4256">
        <w:rPr>
          <w:rFonts w:ascii="Times New Roman" w:hAnsi="Times New Roman"/>
          <w:b/>
          <w:bCs/>
          <w:color w:val="000000" w:themeColor="text1"/>
          <w:sz w:val="24"/>
          <w:szCs w:val="24"/>
        </w:rPr>
        <w:t>, 9</w:t>
      </w:r>
      <w:r w:rsidR="00AE31E0">
        <w:rPr>
          <w:rFonts w:ascii="Times New Roman" w:hAnsi="Times New Roman"/>
          <w:b/>
          <w:bCs/>
          <w:color w:val="000000" w:themeColor="text1"/>
          <w:sz w:val="24"/>
          <w:szCs w:val="24"/>
        </w:rPr>
        <w:t>, 10</w:t>
      </w:r>
      <w:r w:rsidRPr="004E4256">
        <w:rPr>
          <w:rFonts w:ascii="Times New Roman" w:hAnsi="Times New Roman"/>
          <w:b/>
          <w:bCs/>
          <w:color w:val="000000" w:themeColor="text1"/>
          <w:sz w:val="24"/>
          <w:szCs w:val="24"/>
        </w:rPr>
        <w:t xml:space="preserve"> a 11 [Poznámky pod čiarou k odkazom 7, 12, 14, 17 a 18]</w:t>
      </w:r>
    </w:p>
    <w:p w14:paraId="0CC44DE3" w14:textId="1388B89D" w:rsidR="0BE33B84" w:rsidRDefault="0BE33B84" w:rsidP="004E4256">
      <w:pPr>
        <w:spacing w:after="120"/>
        <w:jc w:val="both"/>
      </w:pPr>
      <w:r w:rsidRPr="004E4256">
        <w:rPr>
          <w:rFonts w:ascii="Times New Roman" w:hAnsi="Times New Roman"/>
          <w:sz w:val="24"/>
          <w:szCs w:val="24"/>
        </w:rPr>
        <w:t>Legislatívno-technické úpravy súvisiace s aktualizovaním príslušných poznámok pod čiarou.</w:t>
      </w:r>
    </w:p>
    <w:p w14:paraId="7A1D563B" w14:textId="350A9DF7" w:rsidR="6405D0E6" w:rsidRDefault="6405D0E6" w:rsidP="070BDBF9">
      <w:pPr>
        <w:spacing w:after="0"/>
        <w:jc w:val="center"/>
        <w:rPr>
          <w:rFonts w:ascii="Times New Roman" w:hAnsi="Times New Roman"/>
          <w:b/>
          <w:bCs/>
          <w:sz w:val="24"/>
          <w:szCs w:val="24"/>
          <w:u w:val="single"/>
        </w:rPr>
      </w:pPr>
    </w:p>
    <w:p w14:paraId="5D16D066" w14:textId="7C51DD94" w:rsidR="2F420AC3" w:rsidRPr="00AC5950" w:rsidRDefault="7D7E0CFF" w:rsidP="070BDBF9">
      <w:pPr>
        <w:tabs>
          <w:tab w:val="left" w:pos="3871"/>
        </w:tabs>
        <w:spacing w:after="200" w:line="276" w:lineRule="auto"/>
        <w:jc w:val="center"/>
        <w:rPr>
          <w:rFonts w:ascii="Times New Roman" w:hAnsi="Times New Roman"/>
          <w:b/>
          <w:bCs/>
          <w:sz w:val="24"/>
          <w:szCs w:val="24"/>
        </w:rPr>
      </w:pPr>
      <w:r w:rsidRPr="00AC5950">
        <w:rPr>
          <w:rFonts w:ascii="Times New Roman" w:hAnsi="Times New Roman"/>
          <w:b/>
          <w:bCs/>
          <w:sz w:val="24"/>
          <w:szCs w:val="24"/>
        </w:rPr>
        <w:t>Čl. XIX</w:t>
      </w:r>
    </w:p>
    <w:p w14:paraId="34E0249D" w14:textId="0E050C11" w:rsidR="71EE363C" w:rsidRDefault="68E9BE39" w:rsidP="070BDBF9">
      <w:pPr>
        <w:spacing w:after="0"/>
        <w:jc w:val="center"/>
        <w:rPr>
          <w:rFonts w:ascii="Times New Roman" w:hAnsi="Times New Roman"/>
          <w:b/>
          <w:bCs/>
          <w:sz w:val="24"/>
          <w:szCs w:val="24"/>
        </w:rPr>
      </w:pPr>
      <w:r w:rsidRPr="070BDBF9">
        <w:rPr>
          <w:rFonts w:ascii="Times New Roman" w:hAnsi="Times New Roman"/>
          <w:b/>
          <w:bCs/>
          <w:sz w:val="24"/>
          <w:szCs w:val="24"/>
        </w:rPr>
        <w:t>Zákon č. 414/2012 Z. z. o obchodovaní s emisnými kvótami</w:t>
      </w:r>
    </w:p>
    <w:p w14:paraId="7245F244" w14:textId="21A2BF5E" w:rsidR="42B6F981" w:rsidRDefault="42B6F981" w:rsidP="070BDBF9">
      <w:pPr>
        <w:spacing w:after="0"/>
        <w:jc w:val="center"/>
        <w:rPr>
          <w:rFonts w:ascii="Times New Roman" w:hAnsi="Times New Roman"/>
          <w:b/>
          <w:bCs/>
          <w:sz w:val="24"/>
          <w:szCs w:val="24"/>
        </w:rPr>
      </w:pPr>
    </w:p>
    <w:p w14:paraId="1438138E" w14:textId="1DF27E0D" w:rsidR="71EE363C" w:rsidRDefault="23D7EADF" w:rsidP="00165C55">
      <w:pPr>
        <w:spacing w:after="0"/>
        <w:jc w:val="both"/>
        <w:rPr>
          <w:rFonts w:ascii="Times New Roman" w:hAnsi="Times New Roman"/>
          <w:sz w:val="24"/>
          <w:szCs w:val="24"/>
        </w:rPr>
      </w:pPr>
      <w:r w:rsidRPr="070BDBF9">
        <w:rPr>
          <w:rFonts w:ascii="Times New Roman" w:hAnsi="Times New Roman"/>
          <w:sz w:val="24"/>
          <w:szCs w:val="24"/>
        </w:rPr>
        <w:t>Navrhované ustanovenie je transpozíciou čl. 21 smernice (EÚ) 2024/1640, ktoré požaduje, aby členské štáty zabezpečili prístup pre FSJ k údajom</w:t>
      </w:r>
      <w:r w:rsidR="44813E77" w:rsidRPr="070BDBF9">
        <w:rPr>
          <w:rFonts w:ascii="Times New Roman" w:hAnsi="Times New Roman"/>
          <w:sz w:val="24"/>
          <w:szCs w:val="24"/>
        </w:rPr>
        <w:t xml:space="preserve"> z</w:t>
      </w:r>
      <w:r w:rsidRPr="070BDBF9">
        <w:rPr>
          <w:rFonts w:ascii="Times New Roman" w:hAnsi="Times New Roman"/>
          <w:sz w:val="24"/>
          <w:szCs w:val="24"/>
        </w:rPr>
        <w:t xml:space="preserve"> </w:t>
      </w:r>
      <w:r w:rsidR="219F11B5" w:rsidRPr="070BDBF9">
        <w:rPr>
          <w:rFonts w:ascii="Times New Roman" w:hAnsi="Times New Roman"/>
          <w:sz w:val="24"/>
          <w:szCs w:val="24"/>
        </w:rPr>
        <w:t>databázy, v ktor</w:t>
      </w:r>
      <w:r w:rsidR="701FDEF0" w:rsidRPr="070BDBF9">
        <w:rPr>
          <w:rFonts w:ascii="Times New Roman" w:hAnsi="Times New Roman"/>
          <w:sz w:val="24"/>
          <w:szCs w:val="24"/>
        </w:rPr>
        <w:t>ej</w:t>
      </w:r>
      <w:r w:rsidR="219F11B5" w:rsidRPr="070BDBF9">
        <w:rPr>
          <w:rFonts w:ascii="Times New Roman" w:hAnsi="Times New Roman"/>
          <w:sz w:val="24"/>
          <w:szCs w:val="24"/>
        </w:rPr>
        <w:t xml:space="preserve"> sa uchovávajú údaje o obchodovaní s emisiami CO2, zriaden</w:t>
      </w:r>
      <w:r w:rsidR="174DD45B" w:rsidRPr="070BDBF9">
        <w:rPr>
          <w:rFonts w:ascii="Times New Roman" w:hAnsi="Times New Roman"/>
          <w:sz w:val="24"/>
          <w:szCs w:val="24"/>
        </w:rPr>
        <w:t>ej</w:t>
      </w:r>
      <w:r w:rsidR="219F11B5" w:rsidRPr="070BDBF9">
        <w:rPr>
          <w:rFonts w:ascii="Times New Roman" w:hAnsi="Times New Roman"/>
          <w:sz w:val="24"/>
          <w:szCs w:val="24"/>
        </w:rPr>
        <w:t xml:space="preserve"> podľa nariadenia Komisie (EÚ) č. 389/2013</w:t>
      </w:r>
      <w:r w:rsidR="2C8607D2" w:rsidRPr="070BDBF9">
        <w:rPr>
          <w:rFonts w:ascii="Times New Roman" w:hAnsi="Times New Roman"/>
          <w:sz w:val="24"/>
          <w:szCs w:val="24"/>
        </w:rPr>
        <w:t>.</w:t>
      </w:r>
    </w:p>
    <w:p w14:paraId="4CF9D2A2" w14:textId="07FE4F52" w:rsidR="4E09FFE8" w:rsidRDefault="2A64DB42" w:rsidP="00165C55">
      <w:pPr>
        <w:spacing w:after="0"/>
        <w:jc w:val="both"/>
        <w:rPr>
          <w:rFonts w:ascii="Times New Roman" w:hAnsi="Times New Roman"/>
          <w:sz w:val="24"/>
          <w:szCs w:val="24"/>
        </w:rPr>
      </w:pPr>
      <w:r w:rsidRPr="070BDBF9">
        <w:rPr>
          <w:rFonts w:ascii="Times New Roman" w:hAnsi="Times New Roman"/>
          <w:sz w:val="24"/>
          <w:szCs w:val="24"/>
        </w:rPr>
        <w:t>Doplnením ustanovenia sa zabezpečí prístup FSJ k potrebným údajom.</w:t>
      </w:r>
    </w:p>
    <w:p w14:paraId="3117C550" w14:textId="32CBE7FB" w:rsidR="42B6F981" w:rsidRDefault="42B6F981" w:rsidP="070BDBF9">
      <w:pPr>
        <w:spacing w:after="0"/>
        <w:jc w:val="center"/>
        <w:rPr>
          <w:rFonts w:ascii="Times New Roman" w:hAnsi="Times New Roman"/>
          <w:sz w:val="24"/>
          <w:szCs w:val="24"/>
        </w:rPr>
      </w:pPr>
    </w:p>
    <w:p w14:paraId="56DE1B0F" w14:textId="6128031E" w:rsidR="42B6F981" w:rsidRDefault="42B6F981" w:rsidP="070BDBF9">
      <w:pPr>
        <w:spacing w:after="0"/>
        <w:jc w:val="center"/>
        <w:rPr>
          <w:rFonts w:ascii="Times New Roman" w:hAnsi="Times New Roman"/>
          <w:sz w:val="24"/>
          <w:szCs w:val="24"/>
        </w:rPr>
      </w:pPr>
    </w:p>
    <w:p w14:paraId="657FDDFF" w14:textId="3073784F" w:rsidR="42B6F981" w:rsidRPr="00AC5950" w:rsidRDefault="0DD910EA" w:rsidP="070BDBF9">
      <w:pPr>
        <w:spacing w:after="120" w:line="276" w:lineRule="auto"/>
        <w:jc w:val="center"/>
        <w:rPr>
          <w:rFonts w:ascii="Times New Roman" w:hAnsi="Times New Roman"/>
          <w:b/>
          <w:bCs/>
          <w:sz w:val="24"/>
          <w:szCs w:val="24"/>
        </w:rPr>
      </w:pPr>
      <w:r w:rsidRPr="00AC5950">
        <w:rPr>
          <w:rFonts w:ascii="Times New Roman" w:hAnsi="Times New Roman"/>
          <w:b/>
          <w:bCs/>
          <w:sz w:val="24"/>
          <w:szCs w:val="24"/>
        </w:rPr>
        <w:t>Čl. XX</w:t>
      </w:r>
    </w:p>
    <w:p w14:paraId="4AF47EA3" w14:textId="637BA5C7" w:rsidR="42B6F981" w:rsidRDefault="0DD910EA" w:rsidP="070BDBF9">
      <w:pPr>
        <w:spacing w:after="0" w:line="257" w:lineRule="auto"/>
        <w:jc w:val="center"/>
        <w:rPr>
          <w:rFonts w:ascii="Times New Roman" w:hAnsi="Times New Roman"/>
          <w:b/>
          <w:bCs/>
          <w:sz w:val="24"/>
          <w:szCs w:val="24"/>
        </w:rPr>
      </w:pPr>
      <w:r w:rsidRPr="070BDBF9">
        <w:rPr>
          <w:rFonts w:ascii="Times New Roman" w:hAnsi="Times New Roman"/>
          <w:b/>
          <w:bCs/>
          <w:sz w:val="24"/>
          <w:szCs w:val="24"/>
        </w:rPr>
        <w:t>Zákon č. 162/2015 Z. z. Správny súdny poriadok</w:t>
      </w:r>
    </w:p>
    <w:p w14:paraId="46DF0A92" w14:textId="77E60D97" w:rsidR="42B6F981" w:rsidRDefault="0DD910EA" w:rsidP="070BDBF9">
      <w:pPr>
        <w:spacing w:after="0" w:line="257" w:lineRule="auto"/>
        <w:jc w:val="center"/>
        <w:rPr>
          <w:rFonts w:ascii="Times New Roman" w:hAnsi="Times New Roman"/>
          <w:sz w:val="24"/>
          <w:szCs w:val="24"/>
        </w:rPr>
      </w:pPr>
      <w:r w:rsidRPr="070BDBF9">
        <w:rPr>
          <w:rFonts w:ascii="Times New Roman" w:hAnsi="Times New Roman"/>
          <w:sz w:val="24"/>
          <w:szCs w:val="24"/>
        </w:rPr>
        <w:t xml:space="preserve"> </w:t>
      </w:r>
    </w:p>
    <w:p w14:paraId="59DE666F" w14:textId="4CAF700D" w:rsidR="42B6F981" w:rsidRDefault="0DD910EA" w:rsidP="070BDBF9">
      <w:pPr>
        <w:spacing w:line="257" w:lineRule="auto"/>
        <w:jc w:val="both"/>
        <w:rPr>
          <w:rFonts w:ascii="Times New Roman" w:hAnsi="Times New Roman"/>
          <w:b/>
          <w:bCs/>
          <w:sz w:val="24"/>
          <w:szCs w:val="24"/>
        </w:rPr>
      </w:pPr>
      <w:r w:rsidRPr="070BDBF9">
        <w:rPr>
          <w:rFonts w:ascii="Times New Roman" w:hAnsi="Times New Roman"/>
          <w:b/>
          <w:bCs/>
          <w:sz w:val="24"/>
          <w:szCs w:val="24"/>
        </w:rPr>
        <w:t>K bodu 1 (§ 15)</w:t>
      </w:r>
    </w:p>
    <w:p w14:paraId="1DA0A7F3" w14:textId="176AC82D"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 xml:space="preserve">V nadväznosti na zavedenie nového typu konania, ktorým je konanie o vydaní súhlasu s vykonaním dohľadu na mieste sa navrhuje, aby sa aj v tomto prípade uplatňovala kauzálna príslušnosť Správneho súdu v Bratislave podľa § 15a. Vzhľadom na analógiu navrhovanej právnej úpravy konania o vydaní súhlasu s vykonaním dohľadu na mieste a existujúcej úpravy a existujúcej úpravy konania o vydaní súhlasu s inšpekciou (§ 430 až 437) je namieste uplatniť toto riešenie rovnakým spôsobom. Uvedené platí o to viac, že existujúca úprava miestnej príslušnosť správnych súdov podľa Správneho súdneho poriadku nie je použiteľná v prípade konania o vydaní súhlasu s vykonaním dohľadu na mieste. </w:t>
      </w:r>
    </w:p>
    <w:p w14:paraId="167FD2D4" w14:textId="20E485AE" w:rsidR="42B6F981" w:rsidRDefault="0DD910EA" w:rsidP="070BDBF9">
      <w:pPr>
        <w:spacing w:line="257" w:lineRule="auto"/>
        <w:jc w:val="both"/>
        <w:rPr>
          <w:rFonts w:ascii="Times New Roman" w:hAnsi="Times New Roman"/>
          <w:b/>
          <w:bCs/>
          <w:sz w:val="24"/>
          <w:szCs w:val="24"/>
        </w:rPr>
      </w:pPr>
      <w:r w:rsidRPr="070BDBF9">
        <w:rPr>
          <w:rFonts w:ascii="Times New Roman" w:hAnsi="Times New Roman"/>
          <w:b/>
          <w:bCs/>
          <w:sz w:val="24"/>
          <w:szCs w:val="24"/>
        </w:rPr>
        <w:t>K bodu 2 (tretí diel)</w:t>
      </w:r>
    </w:p>
    <w:p w14:paraId="310481E2" w14:textId="30D9BF03" w:rsidR="42B6F981" w:rsidRDefault="6F78D330" w:rsidP="070BDBF9">
      <w:pPr>
        <w:spacing w:line="257" w:lineRule="auto"/>
        <w:jc w:val="both"/>
        <w:rPr>
          <w:rFonts w:ascii="Times New Roman" w:hAnsi="Times New Roman"/>
          <w:sz w:val="24"/>
          <w:szCs w:val="24"/>
        </w:rPr>
      </w:pPr>
      <w:r w:rsidRPr="23BE041E">
        <w:rPr>
          <w:rFonts w:ascii="Times New Roman" w:hAnsi="Times New Roman"/>
          <w:sz w:val="24"/>
          <w:szCs w:val="24"/>
        </w:rPr>
        <w:t>Navrhuje sa upraviť nový typ konania pred kauzálne príslušným správnym súdom, ktorým je konanie o vydaní súhlasu s vykonaním dohľadu na mieste. Navrhovaná právna úprava nadväzuje jednak na čl. 19 a 20 nariadenia (EÚ) 2024/1620</w:t>
      </w:r>
      <w:r w:rsidR="03DB456E" w:rsidRPr="23BE041E">
        <w:rPr>
          <w:rFonts w:ascii="Times New Roman" w:hAnsi="Times New Roman"/>
          <w:sz w:val="24"/>
          <w:szCs w:val="24"/>
        </w:rPr>
        <w:t>.</w:t>
      </w:r>
    </w:p>
    <w:p w14:paraId="4EF68D83" w14:textId="1F458F9F"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lastRenderedPageBreak/>
        <w:t xml:space="preserve">Návrh novej právnej úpravy vychádza z obdobnej úpravy konania o vydaní súhlasu s inšpekciou (§ 430 až 437). To predurčuje obsah novej právnej úpravy, ako aj jej systematické zaradenie v Správnom súdnom poriadku. </w:t>
      </w:r>
    </w:p>
    <w:p w14:paraId="507E9D7E" w14:textId="7E753651"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Návrh zákona taktiež rešpektuje ústavnú ochranu obydlia, ktoré sa používa aj na podnikanie alebo vykonávanie inej hospodárskej činnosti v intenciách čl. 21 ods. 3 druhá veta Ústavy Slovenskej republiky, a to tým, že vyžaduje odôvodnenie materiálnej podmienky spočívajúcej v nevyhnutnosti vstupu do obydlia v rámci dohľadu na mieste.</w:t>
      </w:r>
    </w:p>
    <w:p w14:paraId="16F9C0F5" w14:textId="6C8EFA6B"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Konanie o vydaní súhlasu s vykonaním dohľadu na mieste je koncipované ako výlučne návrhové konanie, ktoré vykonáva senát príslušného správneho súdu.</w:t>
      </w:r>
    </w:p>
    <w:p w14:paraId="52408C88" w14:textId="65A8201C" w:rsidR="42B6F981" w:rsidRDefault="0DD910EA" w:rsidP="070BDBF9">
      <w:pPr>
        <w:spacing w:line="257" w:lineRule="auto"/>
        <w:jc w:val="both"/>
        <w:rPr>
          <w:rFonts w:ascii="Times New Roman" w:hAnsi="Times New Roman"/>
          <w:i/>
          <w:iCs/>
          <w:sz w:val="24"/>
          <w:szCs w:val="24"/>
        </w:rPr>
      </w:pPr>
      <w:r w:rsidRPr="070BDBF9">
        <w:rPr>
          <w:rFonts w:ascii="Times New Roman" w:hAnsi="Times New Roman"/>
          <w:i/>
          <w:iCs/>
          <w:sz w:val="24"/>
          <w:szCs w:val="24"/>
        </w:rPr>
        <w:t>K § 437a</w:t>
      </w:r>
    </w:p>
    <w:p w14:paraId="00F3DEC0" w14:textId="623E38DE" w:rsidR="42B6F981" w:rsidRDefault="6F78D330" w:rsidP="070BDBF9">
      <w:pPr>
        <w:spacing w:line="257" w:lineRule="auto"/>
        <w:jc w:val="both"/>
        <w:rPr>
          <w:rFonts w:ascii="Times New Roman" w:hAnsi="Times New Roman"/>
          <w:sz w:val="24"/>
          <w:szCs w:val="24"/>
        </w:rPr>
      </w:pPr>
      <w:r w:rsidRPr="23BE041E">
        <w:rPr>
          <w:rFonts w:ascii="Times New Roman" w:hAnsi="Times New Roman"/>
          <w:sz w:val="24"/>
          <w:szCs w:val="24"/>
        </w:rPr>
        <w:t>V navrhovanom § 437a sa vymedzuje podstata konania o vydaní súhlasu s vykonaním dohľadu na mieste. Osobitným predpisom, na ktorý odkazuje právna norma, je nariadenie (EÚ) 2024/1620</w:t>
      </w:r>
      <w:r w:rsidR="478D0BD1" w:rsidRPr="23BE041E">
        <w:rPr>
          <w:rFonts w:ascii="Times New Roman" w:hAnsi="Times New Roman"/>
          <w:sz w:val="24"/>
          <w:szCs w:val="24"/>
        </w:rPr>
        <w:t>.</w:t>
      </w:r>
    </w:p>
    <w:p w14:paraId="04C83694" w14:textId="2BCEA2BD" w:rsidR="42B6F981" w:rsidRDefault="0DD910EA" w:rsidP="070BDBF9">
      <w:pPr>
        <w:spacing w:line="257" w:lineRule="auto"/>
        <w:jc w:val="both"/>
        <w:rPr>
          <w:rFonts w:ascii="Times New Roman" w:hAnsi="Times New Roman"/>
          <w:i/>
          <w:iCs/>
          <w:sz w:val="24"/>
          <w:szCs w:val="24"/>
        </w:rPr>
      </w:pPr>
      <w:r w:rsidRPr="070BDBF9">
        <w:rPr>
          <w:rFonts w:ascii="Times New Roman" w:hAnsi="Times New Roman"/>
          <w:i/>
          <w:iCs/>
          <w:sz w:val="24"/>
          <w:szCs w:val="24"/>
        </w:rPr>
        <w:t>K § 437b</w:t>
      </w:r>
    </w:p>
    <w:p w14:paraId="36517F8A" w14:textId="5250F524"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 xml:space="preserve">Konanie sa navrhuje podobne ako v prípade súhlasu s inšpekciou koncipovať ako konanie, ktoré má len jedného účastníka konania, ktorým je navrhovateľ. Opačný prístup, kedy by účastníkom konania bola aj dotknutá osoba, o ktorej obydlie ide, by zákonite mohol viesť k zmareniu samotného dohľadu. Rovnako ako v prípade konania o súhlase s inšpekciou, aj v tomto prípade sa rešpektuje oprávnenie prokurátora na vstup do konania podľa § 46 Správneho súdneho poriadku. </w:t>
      </w:r>
    </w:p>
    <w:p w14:paraId="0836F1A2" w14:textId="7D4D8CB0" w:rsidR="42B6F981" w:rsidRDefault="0DD910EA" w:rsidP="070BDBF9">
      <w:pPr>
        <w:spacing w:line="257" w:lineRule="auto"/>
        <w:jc w:val="both"/>
        <w:rPr>
          <w:rFonts w:ascii="Times New Roman" w:hAnsi="Times New Roman"/>
          <w:i/>
          <w:iCs/>
          <w:sz w:val="24"/>
          <w:szCs w:val="24"/>
        </w:rPr>
      </w:pPr>
      <w:r w:rsidRPr="070BDBF9">
        <w:rPr>
          <w:rFonts w:ascii="Times New Roman" w:hAnsi="Times New Roman"/>
          <w:i/>
          <w:iCs/>
          <w:sz w:val="24"/>
          <w:szCs w:val="24"/>
        </w:rPr>
        <w:t>K § 437c</w:t>
      </w:r>
    </w:p>
    <w:p w14:paraId="62324AA5" w14:textId="1F8782E7"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 xml:space="preserve">Vzhľadom na to, že právnym základom pre novo navrhované konanie je nariadenie, vymedzuje sa, že navrhovateľom bude Úrad pre boj proti praniu špinavých peňazí a financovaniu terorizmu </w:t>
      </w:r>
    </w:p>
    <w:p w14:paraId="3CDEBEC5" w14:textId="1DF494D8" w:rsidR="42B6F981" w:rsidRDefault="0DD910EA" w:rsidP="070BDBF9">
      <w:pPr>
        <w:spacing w:line="257" w:lineRule="auto"/>
        <w:jc w:val="both"/>
        <w:rPr>
          <w:rFonts w:ascii="Times New Roman" w:hAnsi="Times New Roman"/>
          <w:i/>
          <w:iCs/>
          <w:sz w:val="24"/>
          <w:szCs w:val="24"/>
        </w:rPr>
      </w:pPr>
      <w:r w:rsidRPr="070BDBF9">
        <w:rPr>
          <w:rFonts w:ascii="Times New Roman" w:hAnsi="Times New Roman"/>
          <w:i/>
          <w:iCs/>
          <w:sz w:val="24"/>
          <w:szCs w:val="24"/>
        </w:rPr>
        <w:t>K § 437d</w:t>
      </w:r>
    </w:p>
    <w:p w14:paraId="46DBF364" w14:textId="5E4E334E"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 xml:space="preserve">Ustanovenie § 437d upravuje náležitosti návrhu, ktorým sa začína konanie o vydaní súhlasu s vykonaním dohľadu na mieste. </w:t>
      </w:r>
    </w:p>
    <w:p w14:paraId="113BBCFA" w14:textId="506D0B20"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 xml:space="preserve">V odseku 2 sa zohľadňuje čl. 20 ods. 2 nariadenia, ktorý predpokladá, že vnútroštátny súd má preskúmať pravosť rozhodnutia, ktorým sa nariaďuje dohľad na mieste. Z tohto dôvodu sa bude vyžadovať, aby Úradu pre boj proti praniu špinavých peňazí a financovaniu terorizmu toto rozhodnutie pripojil k návrhu na začatie konania o vydaní súhlasu s vykonaním dohľadu na mieste. </w:t>
      </w:r>
    </w:p>
    <w:p w14:paraId="25DB6E0B" w14:textId="0DA269C7" w:rsidR="42B6F981" w:rsidRDefault="0DD910EA" w:rsidP="070BDBF9">
      <w:pPr>
        <w:spacing w:line="257" w:lineRule="auto"/>
        <w:jc w:val="both"/>
        <w:rPr>
          <w:rFonts w:ascii="Times New Roman" w:hAnsi="Times New Roman"/>
          <w:i/>
          <w:iCs/>
          <w:sz w:val="24"/>
          <w:szCs w:val="24"/>
        </w:rPr>
      </w:pPr>
      <w:r w:rsidRPr="070BDBF9">
        <w:rPr>
          <w:rFonts w:ascii="Times New Roman" w:hAnsi="Times New Roman"/>
          <w:i/>
          <w:iCs/>
          <w:sz w:val="24"/>
          <w:szCs w:val="24"/>
        </w:rPr>
        <w:t>K § 437e</w:t>
      </w:r>
    </w:p>
    <w:p w14:paraId="53CF50CC" w14:textId="6C180FFC"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 xml:space="preserve">Vzhľadom na to, že konanie o vydaní súhlasu s vykonaním dohľadu na mieste nie je koncipované ako formálne konanie, ale ako konania, v ktorom je potrebné posúdiť okolnosti prípadu aj z materiálneho hľadiska, je potrebné, aby mal správny súd nástroje na to, aby dokázal posúdiť všetky okolnosti prípadu. Tomuto účelu je podriadené aj oprávnenie správneho súdu vyžiadať si dodatočné vysvetlenia od navrhovateľa. Ide o analogickú úpravu aká je zavedená v § 434 Správneho súdneho poriadku. Nesplnenie výzvy súdu povedie k zamietnutiu návrhu ako nedôvodného (§ 437h). </w:t>
      </w:r>
    </w:p>
    <w:p w14:paraId="0FA8EDA7" w14:textId="3D14B01F" w:rsidR="42B6F981" w:rsidRDefault="0DD910EA" w:rsidP="070BDBF9">
      <w:pPr>
        <w:spacing w:line="257" w:lineRule="auto"/>
        <w:jc w:val="both"/>
        <w:rPr>
          <w:rFonts w:ascii="Times New Roman" w:hAnsi="Times New Roman"/>
          <w:i/>
          <w:iCs/>
          <w:sz w:val="24"/>
          <w:szCs w:val="24"/>
        </w:rPr>
      </w:pPr>
      <w:r w:rsidRPr="070BDBF9">
        <w:rPr>
          <w:rFonts w:ascii="Times New Roman" w:hAnsi="Times New Roman"/>
          <w:i/>
          <w:iCs/>
          <w:sz w:val="24"/>
          <w:szCs w:val="24"/>
        </w:rPr>
        <w:lastRenderedPageBreak/>
        <w:t>K § 437f</w:t>
      </w:r>
    </w:p>
    <w:p w14:paraId="0FB83E47" w14:textId="10D8FA32"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V ustanovení sa normuje pravidlo, podľa ktorého bude správny súd priamo aplikovať čl. 20 nariadenia z hľadiska posudzovania dôvodnosti návrhu.</w:t>
      </w:r>
    </w:p>
    <w:p w14:paraId="5E9C74EA" w14:textId="6AD416A1" w:rsidR="42B6F981" w:rsidRDefault="0DD910EA" w:rsidP="070BDBF9">
      <w:pPr>
        <w:spacing w:line="257" w:lineRule="auto"/>
        <w:jc w:val="both"/>
        <w:rPr>
          <w:rFonts w:ascii="Times New Roman" w:hAnsi="Times New Roman"/>
          <w:i/>
          <w:iCs/>
          <w:sz w:val="24"/>
          <w:szCs w:val="24"/>
        </w:rPr>
      </w:pPr>
      <w:r w:rsidRPr="070BDBF9">
        <w:rPr>
          <w:rFonts w:ascii="Times New Roman" w:hAnsi="Times New Roman"/>
          <w:i/>
          <w:iCs/>
          <w:sz w:val="24"/>
          <w:szCs w:val="24"/>
        </w:rPr>
        <w:t>K § 437g</w:t>
      </w:r>
    </w:p>
    <w:p w14:paraId="51A960E0" w14:textId="04E20B0C"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 xml:space="preserve">Upravuje sa lehota na rozhodnutie o návrhu zo strany správneho súdu. aj v tomto prípade predkladateľ vychádza z obdobnej úpravy v § 436 Správneho súdneho poriadku. </w:t>
      </w:r>
    </w:p>
    <w:p w14:paraId="60F1205B" w14:textId="5A47FCE5" w:rsidR="42B6F981" w:rsidRDefault="0DD910EA" w:rsidP="070BDBF9">
      <w:pPr>
        <w:spacing w:line="257" w:lineRule="auto"/>
        <w:jc w:val="both"/>
        <w:rPr>
          <w:rFonts w:ascii="Times New Roman" w:hAnsi="Times New Roman"/>
          <w:i/>
          <w:iCs/>
          <w:sz w:val="24"/>
          <w:szCs w:val="24"/>
        </w:rPr>
      </w:pPr>
      <w:r w:rsidRPr="070BDBF9">
        <w:rPr>
          <w:rFonts w:ascii="Times New Roman" w:hAnsi="Times New Roman"/>
          <w:i/>
          <w:iCs/>
          <w:sz w:val="24"/>
          <w:szCs w:val="24"/>
        </w:rPr>
        <w:t>K § 437h</w:t>
      </w:r>
    </w:p>
    <w:p w14:paraId="4A93EB35" w14:textId="7ED1269D"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 xml:space="preserve">Ustanovenie § 437h upravuje meritórne formy rozhodnutia o návrhu na začatie konania o vydaní súhlasu s vykonaním dohľadu na mieste. </w:t>
      </w:r>
    </w:p>
    <w:p w14:paraId="35344A24" w14:textId="5F372813"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 xml:space="preserve">Správny súd bude vo veci samej rozhodovať uznesením. Negatívne rozhodnutie správneho súdu bude mať formu uznesenia, ktorým zamietne návrh (odsek 1). Pozitívne rozhodnutie o návrhu má formu uznesenia, ktorým správny súd vysloví súhlas s vykonaním dohľadu na mieste (odsek 2); v tomto prípade návrh zákona konkretizuje výrokovú časť uznesenia správneho súdu. </w:t>
      </w:r>
    </w:p>
    <w:p w14:paraId="3B5A7E0A" w14:textId="48E62AE8" w:rsidR="42B6F981" w:rsidRDefault="0DD910EA" w:rsidP="070BDBF9">
      <w:pPr>
        <w:spacing w:line="257" w:lineRule="auto"/>
        <w:jc w:val="both"/>
        <w:rPr>
          <w:rFonts w:ascii="Times New Roman" w:hAnsi="Times New Roman"/>
          <w:sz w:val="24"/>
          <w:szCs w:val="24"/>
        </w:rPr>
      </w:pPr>
      <w:r w:rsidRPr="070BDBF9">
        <w:rPr>
          <w:rFonts w:ascii="Times New Roman" w:hAnsi="Times New Roman"/>
          <w:sz w:val="24"/>
          <w:szCs w:val="24"/>
        </w:rPr>
        <w:t>Odsek 3 upravuje analogicky podľa vzoru v § 437 ods. 3 Správneho súdneho poriadku spôsoby doručovania meritórneho rozhodnutia tak, aby bol zohľadnený účel dohľadu na mieste a nedošlo k jeho zmareniu.</w:t>
      </w:r>
    </w:p>
    <w:p w14:paraId="623EA875" w14:textId="215B4095" w:rsidR="42B6F981" w:rsidRDefault="42B6F981" w:rsidP="070BDBF9">
      <w:pPr>
        <w:spacing w:after="0"/>
        <w:jc w:val="center"/>
        <w:rPr>
          <w:rFonts w:ascii="Times New Roman" w:hAnsi="Times New Roman"/>
          <w:b/>
          <w:bCs/>
          <w:sz w:val="24"/>
          <w:szCs w:val="24"/>
          <w:u w:val="single"/>
        </w:rPr>
      </w:pPr>
    </w:p>
    <w:p w14:paraId="7F2961A7" w14:textId="21F80725" w:rsidR="505C6CDE" w:rsidRPr="00AC5950" w:rsidRDefault="1381E935" w:rsidP="23BE041E">
      <w:pPr>
        <w:spacing w:after="0"/>
        <w:jc w:val="center"/>
        <w:rPr>
          <w:rFonts w:ascii="Times New Roman" w:hAnsi="Times New Roman"/>
          <w:b/>
          <w:bCs/>
          <w:sz w:val="24"/>
          <w:szCs w:val="24"/>
        </w:rPr>
      </w:pPr>
      <w:r w:rsidRPr="00AC5950">
        <w:rPr>
          <w:rFonts w:ascii="Times New Roman" w:hAnsi="Times New Roman"/>
          <w:b/>
          <w:bCs/>
          <w:sz w:val="24"/>
          <w:szCs w:val="24"/>
        </w:rPr>
        <w:t>Čl. XXI</w:t>
      </w:r>
    </w:p>
    <w:p w14:paraId="6033E7CA" w14:textId="1D756B0C" w:rsidR="004E4256" w:rsidRDefault="004E4256" w:rsidP="23BE041E">
      <w:pPr>
        <w:spacing w:after="0"/>
        <w:jc w:val="center"/>
        <w:rPr>
          <w:rFonts w:ascii="Times New Roman" w:hAnsi="Times New Roman"/>
          <w:b/>
          <w:bCs/>
          <w:sz w:val="24"/>
          <w:szCs w:val="24"/>
          <w:u w:val="single"/>
        </w:rPr>
      </w:pPr>
    </w:p>
    <w:p w14:paraId="2BEBFEDC" w14:textId="47834892" w:rsidR="505C6CDE" w:rsidRDefault="1381E935" w:rsidP="23BE041E">
      <w:pPr>
        <w:spacing w:after="0"/>
        <w:jc w:val="center"/>
        <w:rPr>
          <w:rFonts w:ascii="Times New Roman" w:hAnsi="Times New Roman"/>
          <w:b/>
          <w:bCs/>
          <w:sz w:val="24"/>
          <w:szCs w:val="24"/>
        </w:rPr>
      </w:pPr>
      <w:r w:rsidRPr="23BE041E">
        <w:rPr>
          <w:rFonts w:ascii="Times New Roman" w:hAnsi="Times New Roman"/>
          <w:b/>
          <w:bCs/>
          <w:sz w:val="24"/>
          <w:szCs w:val="24"/>
        </w:rPr>
        <w:t>Zákon č. 272/2015 Z. z. o registri právnických osôb, podnikateľov a orgánov verejnej moci</w:t>
      </w:r>
    </w:p>
    <w:p w14:paraId="3FDEE612" w14:textId="7DCE11FD" w:rsidR="004E4256" w:rsidRDefault="004E4256" w:rsidP="004E4256">
      <w:pPr>
        <w:spacing w:after="0"/>
        <w:jc w:val="center"/>
        <w:rPr>
          <w:rFonts w:ascii="Times New Roman" w:hAnsi="Times New Roman"/>
          <w:b/>
          <w:bCs/>
          <w:sz w:val="24"/>
          <w:szCs w:val="24"/>
        </w:rPr>
      </w:pPr>
    </w:p>
    <w:p w14:paraId="10577843" w14:textId="7DF30F29" w:rsidR="04F7BA5C" w:rsidRPr="00165C55" w:rsidRDefault="04F7BA5C" w:rsidP="23BE041E">
      <w:pPr>
        <w:pStyle w:val="Nadpis3"/>
        <w:keepNext w:val="0"/>
        <w:keepLines w:val="0"/>
        <w:spacing w:before="0" w:after="120" w:line="259" w:lineRule="auto"/>
        <w:jc w:val="both"/>
        <w:rPr>
          <w:rFonts w:ascii="Times New Roman" w:hAnsi="Times New Roman" w:cs="Times New Roman"/>
        </w:rPr>
      </w:pPr>
      <w:r w:rsidRPr="00165C55">
        <w:rPr>
          <w:rFonts w:ascii="Times New Roman" w:eastAsiaTheme="minorEastAsia" w:hAnsi="Times New Roman" w:cs="Times New Roman"/>
          <w:b/>
          <w:bCs/>
          <w:color w:val="auto"/>
          <w:sz w:val="24"/>
          <w:szCs w:val="24"/>
        </w:rPr>
        <w:t>K bodu 1 (§ 2 ods. 3)</w:t>
      </w:r>
    </w:p>
    <w:p w14:paraId="1FA385F3" w14:textId="6EA37905" w:rsidR="04F7BA5C" w:rsidRPr="00111A3C" w:rsidRDefault="04F7BA5C" w:rsidP="23BE041E">
      <w:pPr>
        <w:pStyle w:val="Nadpis3"/>
        <w:keepNext w:val="0"/>
        <w:keepLines w:val="0"/>
        <w:spacing w:before="0" w:after="120" w:line="259" w:lineRule="auto"/>
        <w:jc w:val="both"/>
        <w:rPr>
          <w:rFonts w:ascii="Times New Roman" w:eastAsia="Times New Roman" w:hAnsi="Times New Roman" w:cs="Times New Roman"/>
          <w:color w:val="auto"/>
          <w:sz w:val="24"/>
          <w:szCs w:val="24"/>
        </w:rPr>
      </w:pPr>
      <w:r w:rsidRPr="00111A3C">
        <w:rPr>
          <w:rFonts w:ascii="Times New Roman" w:eastAsia="Times New Roman" w:hAnsi="Times New Roman" w:cs="Times New Roman"/>
          <w:color w:val="auto"/>
          <w:sz w:val="24"/>
          <w:szCs w:val="24"/>
        </w:rPr>
        <w:t>Navrhovanou úpravou sa rozširuje okruh subjektov, o ktorých sa vedú údaje v registri právnických osôb, podnikateľov a orgánov verejnej moci. Doterajší pojem „zahraničný zverenecký fond“ sa nahrádza širším pojmom „zahraničný právny subjekt“, ktorý zahŕňa zahraničné právne subjekty a zahraničné právne zoskupenia zapísané v registri zahraničných právnych subjektov podľa osobitného predpisu</w:t>
      </w:r>
      <w:r w:rsidR="41011721" w:rsidRPr="00111A3C">
        <w:rPr>
          <w:rFonts w:ascii="Times New Roman" w:eastAsia="Times New Roman" w:hAnsi="Times New Roman" w:cs="Times New Roman"/>
          <w:color w:val="auto"/>
          <w:sz w:val="24"/>
          <w:szCs w:val="24"/>
        </w:rPr>
        <w:t xml:space="preserve">, ktorým je nový AML zákon. </w:t>
      </w:r>
    </w:p>
    <w:p w14:paraId="0331B9F4" w14:textId="4CB2C14A" w:rsidR="04F7BA5C" w:rsidRDefault="04F7BA5C" w:rsidP="23BE041E">
      <w:pPr>
        <w:spacing w:before="210" w:after="210"/>
        <w:jc w:val="both"/>
        <w:rPr>
          <w:rFonts w:ascii="Times New Roman" w:hAnsi="Times New Roman"/>
          <w:sz w:val="24"/>
          <w:szCs w:val="24"/>
        </w:rPr>
      </w:pPr>
      <w:r w:rsidRPr="00111A3C">
        <w:rPr>
          <w:rFonts w:ascii="Times New Roman" w:hAnsi="Times New Roman"/>
          <w:sz w:val="24"/>
          <w:szCs w:val="24"/>
        </w:rPr>
        <w:t>Cieľom úpravy je zabezpečiť, aby boli v registri právnických osôb vedené údaje nielen o zahraničných zvereneckých fondoch, ale o všetkých zahraničných právnych subjektoch, ktoré podliehajú registračnej povinnosti podľa osobitného predpisu.</w:t>
      </w:r>
    </w:p>
    <w:p w14:paraId="13E27C72" w14:textId="77777777" w:rsidR="00C517B5" w:rsidRDefault="04F7BA5C" w:rsidP="00C517B5">
      <w:pPr>
        <w:pStyle w:val="Nadpis3"/>
        <w:keepNext w:val="0"/>
        <w:keepLines w:val="0"/>
        <w:spacing w:before="0" w:after="0" w:line="259" w:lineRule="auto"/>
        <w:jc w:val="both"/>
        <w:rPr>
          <w:rFonts w:ascii="Times New Roman" w:eastAsia="Times New Roman" w:hAnsi="Times New Roman" w:cs="Times New Roman"/>
          <w:b/>
          <w:bCs/>
          <w:color w:val="auto"/>
          <w:sz w:val="24"/>
          <w:szCs w:val="24"/>
        </w:rPr>
      </w:pPr>
      <w:r w:rsidRPr="00165C55">
        <w:rPr>
          <w:rFonts w:ascii="Times New Roman" w:eastAsia="Times New Roman" w:hAnsi="Times New Roman" w:cs="Times New Roman"/>
          <w:b/>
          <w:bCs/>
          <w:color w:val="auto"/>
          <w:sz w:val="24"/>
          <w:szCs w:val="24"/>
        </w:rPr>
        <w:t>K bodu 2</w:t>
      </w:r>
      <w:r w:rsidR="00C517B5">
        <w:rPr>
          <w:rFonts w:ascii="Times New Roman" w:eastAsia="Times New Roman" w:hAnsi="Times New Roman" w:cs="Times New Roman"/>
          <w:b/>
          <w:bCs/>
          <w:color w:val="auto"/>
          <w:sz w:val="24"/>
          <w:szCs w:val="24"/>
        </w:rPr>
        <w:t xml:space="preserve"> (poznámka pod čiarou 1ga)</w:t>
      </w:r>
    </w:p>
    <w:p w14:paraId="121207F7" w14:textId="48F344AA" w:rsidR="00C517B5" w:rsidRDefault="00C517B5" w:rsidP="00C517B5">
      <w:pPr>
        <w:pStyle w:val="Nadpis3"/>
        <w:keepNext w:val="0"/>
        <w:keepLines w:val="0"/>
        <w:spacing w:before="0" w:after="0" w:line="259" w:lineRule="auto"/>
        <w:jc w:val="both"/>
        <w:rPr>
          <w:rFonts w:ascii="Times New Roman" w:eastAsia="Times New Roman" w:hAnsi="Times New Roman" w:cs="Times New Roman"/>
          <w:bCs/>
          <w:color w:val="auto"/>
          <w:sz w:val="24"/>
          <w:szCs w:val="24"/>
        </w:rPr>
      </w:pPr>
      <w:r w:rsidRPr="00C517B5">
        <w:rPr>
          <w:rFonts w:ascii="Times New Roman" w:eastAsia="Times New Roman" w:hAnsi="Times New Roman" w:cs="Times New Roman"/>
          <w:bCs/>
          <w:color w:val="auto"/>
          <w:sz w:val="24"/>
          <w:szCs w:val="24"/>
        </w:rPr>
        <w:t>Aktualizuje sa poznámka pod čiarou.</w:t>
      </w:r>
    </w:p>
    <w:p w14:paraId="379DFDC8" w14:textId="77777777" w:rsidR="00C517B5" w:rsidRPr="00C517B5" w:rsidRDefault="00C517B5" w:rsidP="00C517B5">
      <w:pPr>
        <w:pStyle w:val="Nadpis3"/>
        <w:keepNext w:val="0"/>
        <w:keepLines w:val="0"/>
        <w:spacing w:before="0" w:after="0" w:line="259" w:lineRule="auto"/>
        <w:jc w:val="both"/>
        <w:rPr>
          <w:rFonts w:ascii="Times New Roman" w:eastAsia="Times New Roman" w:hAnsi="Times New Roman" w:cs="Times New Roman"/>
          <w:bCs/>
          <w:color w:val="auto"/>
          <w:sz w:val="24"/>
          <w:szCs w:val="24"/>
        </w:rPr>
      </w:pPr>
    </w:p>
    <w:p w14:paraId="33B7229F" w14:textId="5CDABB05" w:rsidR="04F7BA5C" w:rsidRPr="00165C55" w:rsidRDefault="00C517B5" w:rsidP="00C517B5">
      <w:pPr>
        <w:pStyle w:val="Nadpis3"/>
        <w:keepNext w:val="0"/>
        <w:keepLines w:val="0"/>
        <w:spacing w:before="0" w:after="0" w:line="259" w:lineRule="auto"/>
        <w:jc w:val="both"/>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 xml:space="preserve">K bodu 3 </w:t>
      </w:r>
      <w:r w:rsidR="04F7BA5C" w:rsidRPr="00165C55">
        <w:rPr>
          <w:rFonts w:ascii="Times New Roman" w:eastAsia="Times New Roman" w:hAnsi="Times New Roman" w:cs="Times New Roman"/>
          <w:b/>
          <w:bCs/>
          <w:color w:val="auto"/>
          <w:sz w:val="24"/>
          <w:szCs w:val="24"/>
        </w:rPr>
        <w:t>(§ 2 ods. 5)</w:t>
      </w:r>
    </w:p>
    <w:p w14:paraId="156EBF0B" w14:textId="29200097" w:rsidR="04F7BA5C" w:rsidRDefault="04F7BA5C" w:rsidP="00C517B5">
      <w:pPr>
        <w:spacing w:after="210"/>
        <w:jc w:val="both"/>
        <w:rPr>
          <w:rFonts w:ascii="Times New Roman" w:hAnsi="Times New Roman"/>
          <w:sz w:val="24"/>
          <w:szCs w:val="24"/>
        </w:rPr>
      </w:pPr>
      <w:r w:rsidRPr="00111A3C">
        <w:rPr>
          <w:rFonts w:ascii="Times New Roman" w:hAnsi="Times New Roman"/>
          <w:sz w:val="24"/>
          <w:szCs w:val="24"/>
        </w:rPr>
        <w:t>Ide o legislatívno-technickú úpravu súvisiacu so zmenou terminológie vykonanou v § 2 ods. 3. Pojem „zahraničný zverenecký fond“ sa nahrádza pojmom „zahraničný právny subjekt“, čím sa zabezpečuje jednotné používanie pojmov v celom zákone a zosúladenie ustanovenia s novou právnou úpravou registra zahraničných právnych subjektov.</w:t>
      </w:r>
    </w:p>
    <w:p w14:paraId="21483DBD" w14:textId="50429DCF" w:rsidR="04F7BA5C" w:rsidRPr="00165C55" w:rsidRDefault="00C517B5" w:rsidP="23BE041E">
      <w:pPr>
        <w:pStyle w:val="Nadpis3"/>
        <w:keepNext w:val="0"/>
        <w:keepLines w:val="0"/>
        <w:spacing w:before="246" w:after="246" w:line="259" w:lineRule="auto"/>
        <w:jc w:val="both"/>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 xml:space="preserve">K bodom 4 až 8 </w:t>
      </w:r>
      <w:r w:rsidR="04F7BA5C" w:rsidRPr="00165C55">
        <w:rPr>
          <w:rFonts w:ascii="Times New Roman" w:eastAsia="Times New Roman" w:hAnsi="Times New Roman" w:cs="Times New Roman"/>
          <w:b/>
          <w:bCs/>
          <w:color w:val="auto"/>
          <w:sz w:val="24"/>
          <w:szCs w:val="24"/>
        </w:rPr>
        <w:t>(</w:t>
      </w:r>
      <w:r>
        <w:rPr>
          <w:rFonts w:ascii="Times New Roman" w:eastAsia="Times New Roman" w:hAnsi="Times New Roman" w:cs="Times New Roman"/>
          <w:b/>
          <w:bCs/>
          <w:color w:val="auto"/>
          <w:sz w:val="24"/>
          <w:szCs w:val="24"/>
        </w:rPr>
        <w:t xml:space="preserve">§ 3 ods. 8 a 9, </w:t>
      </w:r>
      <w:r w:rsidR="04F7BA5C" w:rsidRPr="00165C55">
        <w:rPr>
          <w:rFonts w:ascii="Times New Roman" w:eastAsia="Times New Roman" w:hAnsi="Times New Roman" w:cs="Times New Roman"/>
          <w:b/>
          <w:bCs/>
          <w:color w:val="auto"/>
          <w:sz w:val="24"/>
          <w:szCs w:val="24"/>
        </w:rPr>
        <w:t>§ 7b ods. 1, 2 a 12)</w:t>
      </w:r>
    </w:p>
    <w:p w14:paraId="48476069" w14:textId="07FB1A89" w:rsidR="04F7BA5C" w:rsidRDefault="04F7BA5C" w:rsidP="23BE041E">
      <w:pPr>
        <w:spacing w:before="210" w:after="210"/>
        <w:jc w:val="both"/>
        <w:rPr>
          <w:rFonts w:ascii="Times New Roman" w:hAnsi="Times New Roman"/>
          <w:sz w:val="24"/>
          <w:szCs w:val="24"/>
        </w:rPr>
      </w:pPr>
      <w:r w:rsidRPr="00111A3C">
        <w:rPr>
          <w:rFonts w:ascii="Times New Roman" w:hAnsi="Times New Roman"/>
          <w:sz w:val="24"/>
          <w:szCs w:val="24"/>
        </w:rPr>
        <w:lastRenderedPageBreak/>
        <w:t>Navrhovaná úprava nadväzuje na zavedenie pojmu „zahraničný právny subjekt“ a na zriadenie registra zahraničných právnych subjektov podľa osobitného predpisu. V ustanoveniach upravujúcich poskytovanie údajov, prideľovanie identifikačného čísla organizácie a vedenie príslušných údajov sa preto doterajšie označenie „zahraničný zverenecký fond“ vo všetkých gramatických tvaroch nahrádza označením „zahraničný právny subjekt“.</w:t>
      </w:r>
    </w:p>
    <w:p w14:paraId="2B669AF8" w14:textId="2695021F" w:rsidR="04F7BA5C" w:rsidRDefault="04F7BA5C" w:rsidP="23BE041E">
      <w:pPr>
        <w:spacing w:before="210" w:after="210"/>
        <w:jc w:val="both"/>
        <w:rPr>
          <w:rFonts w:ascii="Times New Roman" w:hAnsi="Times New Roman"/>
          <w:sz w:val="24"/>
          <w:szCs w:val="24"/>
        </w:rPr>
      </w:pPr>
      <w:r w:rsidRPr="00111A3C">
        <w:rPr>
          <w:rFonts w:ascii="Times New Roman" w:hAnsi="Times New Roman"/>
          <w:sz w:val="24"/>
          <w:szCs w:val="24"/>
        </w:rPr>
        <w:t>Účelom zmeny je zabezpečiť, aby sa právna úprava vzťahovala na celý okruh zahraničných právnych subjektov evidovaných podľa osobitného predpisu, a nie iba na zahraničné zverenecké fondy. Zároveň sa zabezpečuje terminologická jednotnosť zákona a jeho vecná nadväznosť na právnu úpravu registra zahraničných právnych subjektov.</w:t>
      </w:r>
    </w:p>
    <w:p w14:paraId="1CD28598" w14:textId="77777777" w:rsidR="00165C55" w:rsidRDefault="00165C55" w:rsidP="6405D0E6">
      <w:pPr>
        <w:spacing w:after="0"/>
        <w:jc w:val="center"/>
        <w:rPr>
          <w:rFonts w:ascii="Times New Roman" w:hAnsi="Times New Roman"/>
          <w:b/>
          <w:bCs/>
          <w:sz w:val="24"/>
          <w:szCs w:val="24"/>
        </w:rPr>
      </w:pPr>
    </w:p>
    <w:p w14:paraId="0CB6CF24" w14:textId="257F39A0" w:rsidR="42B6F981" w:rsidRPr="00111A3C" w:rsidRDefault="382F503D" w:rsidP="6405D0E6">
      <w:pPr>
        <w:spacing w:after="0"/>
        <w:jc w:val="center"/>
        <w:rPr>
          <w:rFonts w:ascii="Times New Roman" w:hAnsi="Times New Roman"/>
          <w:b/>
          <w:bCs/>
          <w:sz w:val="24"/>
          <w:szCs w:val="24"/>
        </w:rPr>
      </w:pPr>
      <w:r w:rsidRPr="00111A3C">
        <w:rPr>
          <w:rFonts w:ascii="Times New Roman" w:hAnsi="Times New Roman"/>
          <w:b/>
          <w:bCs/>
          <w:sz w:val="24"/>
          <w:szCs w:val="24"/>
        </w:rPr>
        <w:t>Čl. XX</w:t>
      </w:r>
      <w:r w:rsidR="2412235A" w:rsidRPr="00111A3C">
        <w:rPr>
          <w:rFonts w:ascii="Times New Roman" w:hAnsi="Times New Roman"/>
          <w:b/>
          <w:bCs/>
          <w:sz w:val="24"/>
          <w:szCs w:val="24"/>
        </w:rPr>
        <w:t>II</w:t>
      </w:r>
    </w:p>
    <w:p w14:paraId="48D42161" w14:textId="1B4DC148" w:rsidR="42B6F981" w:rsidRDefault="42B6F981" w:rsidP="070BDBF9">
      <w:pPr>
        <w:spacing w:after="0"/>
        <w:jc w:val="center"/>
        <w:rPr>
          <w:rFonts w:ascii="Times New Roman" w:hAnsi="Times New Roman"/>
          <w:b/>
          <w:bCs/>
          <w:sz w:val="24"/>
          <w:szCs w:val="24"/>
          <w:u w:val="single"/>
        </w:rPr>
      </w:pPr>
    </w:p>
    <w:p w14:paraId="38F95764" w14:textId="2E1CF0A3" w:rsidR="42B6F981" w:rsidRDefault="0DD910EA" w:rsidP="070BDBF9">
      <w:pPr>
        <w:spacing w:after="0"/>
        <w:jc w:val="center"/>
        <w:rPr>
          <w:rFonts w:ascii="Times New Roman" w:hAnsi="Times New Roman"/>
          <w:b/>
          <w:bCs/>
          <w:sz w:val="24"/>
          <w:szCs w:val="24"/>
        </w:rPr>
      </w:pPr>
      <w:r w:rsidRPr="070BDBF9">
        <w:rPr>
          <w:rFonts w:ascii="Times New Roman" w:hAnsi="Times New Roman"/>
          <w:b/>
          <w:bCs/>
          <w:sz w:val="24"/>
          <w:szCs w:val="24"/>
        </w:rPr>
        <w:t xml:space="preserve">Zákon č. </w:t>
      </w:r>
      <w:hyperlink r:id="rId13">
        <w:r w:rsidRPr="070BDBF9">
          <w:rPr>
            <w:rFonts w:ascii="Times New Roman" w:hAnsi="Times New Roman"/>
            <w:b/>
            <w:bCs/>
            <w:sz w:val="24"/>
            <w:szCs w:val="24"/>
          </w:rPr>
          <w:t>423/2015 Z. z.</w:t>
        </w:r>
      </w:hyperlink>
      <w:r w:rsidRPr="070BDBF9">
        <w:rPr>
          <w:rFonts w:ascii="Times New Roman" w:hAnsi="Times New Roman"/>
          <w:b/>
          <w:bCs/>
          <w:sz w:val="24"/>
          <w:szCs w:val="24"/>
        </w:rPr>
        <w:t xml:space="preserve"> o štatutárnom audite</w:t>
      </w:r>
    </w:p>
    <w:p w14:paraId="44EA71B8" w14:textId="6418AE9F" w:rsidR="42B6F981" w:rsidRDefault="42B6F981" w:rsidP="070BDBF9">
      <w:pPr>
        <w:spacing w:after="0"/>
        <w:jc w:val="center"/>
        <w:rPr>
          <w:rFonts w:ascii="Times New Roman" w:hAnsi="Times New Roman"/>
          <w:b/>
          <w:bCs/>
          <w:sz w:val="24"/>
          <w:szCs w:val="24"/>
        </w:rPr>
      </w:pPr>
    </w:p>
    <w:p w14:paraId="0F6D82F4" w14:textId="7AEB151C" w:rsidR="42B6F981" w:rsidRDefault="2B7F9762" w:rsidP="23BE041E">
      <w:pPr>
        <w:spacing w:after="0"/>
        <w:jc w:val="both"/>
      </w:pPr>
      <w:r w:rsidRPr="23BE041E">
        <w:rPr>
          <w:rFonts w:ascii="Times New Roman" w:hAnsi="Times New Roman"/>
          <w:b/>
          <w:bCs/>
          <w:sz w:val="24"/>
          <w:szCs w:val="24"/>
        </w:rPr>
        <w:t xml:space="preserve">K bodu 1 </w:t>
      </w:r>
      <w:r w:rsidR="3403138C" w:rsidRPr="23BE041E">
        <w:rPr>
          <w:rFonts w:ascii="Times New Roman" w:hAnsi="Times New Roman"/>
          <w:b/>
          <w:bCs/>
          <w:sz w:val="24"/>
          <w:szCs w:val="24"/>
        </w:rPr>
        <w:t>(</w:t>
      </w:r>
      <w:r w:rsidR="0721C422" w:rsidRPr="23BE041E">
        <w:rPr>
          <w:rFonts w:ascii="Times New Roman" w:hAnsi="Times New Roman"/>
          <w:b/>
          <w:bCs/>
          <w:sz w:val="24"/>
          <w:szCs w:val="24"/>
        </w:rPr>
        <w:t>poznámka pod čiarou k odkazu 13a)</w:t>
      </w:r>
    </w:p>
    <w:p w14:paraId="195339F1" w14:textId="27AA95EB" w:rsidR="42B6F981" w:rsidRDefault="0721C422" w:rsidP="23BE041E">
      <w:pPr>
        <w:spacing w:after="0"/>
        <w:jc w:val="both"/>
        <w:rPr>
          <w:rFonts w:ascii="Times New Roman" w:hAnsi="Times New Roman"/>
          <w:sz w:val="24"/>
          <w:szCs w:val="24"/>
        </w:rPr>
      </w:pPr>
      <w:r w:rsidRPr="23BE041E">
        <w:rPr>
          <w:rFonts w:ascii="Times New Roman" w:hAnsi="Times New Roman"/>
          <w:sz w:val="24"/>
          <w:szCs w:val="24"/>
        </w:rPr>
        <w:t xml:space="preserve">Ide o </w:t>
      </w:r>
      <w:proofErr w:type="spellStart"/>
      <w:r w:rsidRPr="23BE041E">
        <w:rPr>
          <w:rFonts w:ascii="Times New Roman" w:hAnsi="Times New Roman"/>
          <w:sz w:val="24"/>
          <w:szCs w:val="24"/>
        </w:rPr>
        <w:t>legislatívno</w:t>
      </w:r>
      <w:proofErr w:type="spellEnd"/>
      <w:r w:rsidRPr="23BE041E">
        <w:rPr>
          <w:rFonts w:ascii="Times New Roman" w:hAnsi="Times New Roman"/>
          <w:sz w:val="24"/>
          <w:szCs w:val="24"/>
        </w:rPr>
        <w:t xml:space="preserve"> - technickú úpravu súvisiacu so zmenou </w:t>
      </w:r>
      <w:r w:rsidR="5AAE2CC3" w:rsidRPr="23BE041E">
        <w:rPr>
          <w:rFonts w:ascii="Times New Roman" w:hAnsi="Times New Roman"/>
          <w:sz w:val="24"/>
          <w:szCs w:val="24"/>
        </w:rPr>
        <w:t xml:space="preserve">definície konečného užívateľa výhod, ktorá je </w:t>
      </w:r>
      <w:r w:rsidR="70E5B71A" w:rsidRPr="23BE041E">
        <w:rPr>
          <w:rFonts w:ascii="Times New Roman" w:hAnsi="Times New Roman"/>
          <w:sz w:val="24"/>
          <w:szCs w:val="24"/>
        </w:rPr>
        <w:t xml:space="preserve">upravená v </w:t>
      </w:r>
      <w:r w:rsidR="5AAE2CC3" w:rsidRPr="23BE041E">
        <w:rPr>
          <w:rFonts w:ascii="Times New Roman" w:hAnsi="Times New Roman"/>
          <w:sz w:val="24"/>
          <w:szCs w:val="24"/>
        </w:rPr>
        <w:t>nariaden</w:t>
      </w:r>
      <w:r w:rsidR="471FE293" w:rsidRPr="23BE041E">
        <w:rPr>
          <w:rFonts w:ascii="Times New Roman" w:hAnsi="Times New Roman"/>
          <w:sz w:val="24"/>
          <w:szCs w:val="24"/>
        </w:rPr>
        <w:t>í</w:t>
      </w:r>
      <w:r w:rsidR="5AAE2CC3" w:rsidRPr="23BE041E">
        <w:rPr>
          <w:rFonts w:ascii="Times New Roman" w:hAnsi="Times New Roman"/>
          <w:sz w:val="24"/>
          <w:szCs w:val="24"/>
        </w:rPr>
        <w:t xml:space="preserve"> (EÚ) 2024/1624</w:t>
      </w:r>
      <w:r w:rsidR="49F4FCF9" w:rsidRPr="23BE041E">
        <w:rPr>
          <w:rFonts w:ascii="Times New Roman" w:hAnsi="Times New Roman"/>
          <w:sz w:val="24"/>
          <w:szCs w:val="24"/>
        </w:rPr>
        <w:t>.</w:t>
      </w:r>
    </w:p>
    <w:p w14:paraId="39471511" w14:textId="520CBAD6" w:rsidR="42B6F981" w:rsidRDefault="42B6F981" w:rsidP="23BE041E">
      <w:pPr>
        <w:spacing w:after="0"/>
        <w:jc w:val="both"/>
        <w:rPr>
          <w:rFonts w:ascii="Times New Roman" w:hAnsi="Times New Roman"/>
          <w:b/>
          <w:bCs/>
          <w:sz w:val="24"/>
          <w:szCs w:val="24"/>
        </w:rPr>
      </w:pPr>
    </w:p>
    <w:p w14:paraId="66645332" w14:textId="7CBF8BCC" w:rsidR="42B6F981" w:rsidRDefault="2C7A4081" w:rsidP="23BE041E">
      <w:pPr>
        <w:spacing w:after="0"/>
        <w:jc w:val="both"/>
      </w:pPr>
      <w:r w:rsidRPr="23BE041E">
        <w:rPr>
          <w:rFonts w:ascii="Times New Roman" w:hAnsi="Times New Roman"/>
          <w:b/>
          <w:bCs/>
          <w:sz w:val="24"/>
          <w:szCs w:val="24"/>
        </w:rPr>
        <w:t xml:space="preserve">K bodu 2 </w:t>
      </w:r>
      <w:r w:rsidR="2B7F9762" w:rsidRPr="23BE041E">
        <w:rPr>
          <w:rFonts w:ascii="Times New Roman" w:hAnsi="Times New Roman"/>
          <w:b/>
          <w:bCs/>
          <w:sz w:val="24"/>
          <w:szCs w:val="24"/>
        </w:rPr>
        <w:t>(§ 5 ods. 3</w:t>
      </w:r>
      <w:r w:rsidR="1A8E267D" w:rsidRPr="23BE041E">
        <w:rPr>
          <w:rFonts w:ascii="Times New Roman" w:hAnsi="Times New Roman"/>
          <w:b/>
          <w:bCs/>
          <w:sz w:val="24"/>
          <w:szCs w:val="24"/>
        </w:rPr>
        <w:t xml:space="preserve"> písm. a)</w:t>
      </w:r>
      <w:r w:rsidR="2B7F9762" w:rsidRPr="23BE041E">
        <w:rPr>
          <w:rFonts w:ascii="Times New Roman" w:hAnsi="Times New Roman"/>
          <w:b/>
          <w:bCs/>
          <w:sz w:val="24"/>
          <w:szCs w:val="24"/>
        </w:rPr>
        <w:t>)</w:t>
      </w:r>
    </w:p>
    <w:p w14:paraId="6B48A528" w14:textId="5134A2FE" w:rsidR="42B6F981" w:rsidRDefault="0D8765B6" w:rsidP="23BE041E">
      <w:pPr>
        <w:spacing w:after="0"/>
        <w:jc w:val="both"/>
        <w:rPr>
          <w:rFonts w:ascii="Times New Roman" w:hAnsi="Times New Roman"/>
          <w:sz w:val="24"/>
          <w:szCs w:val="24"/>
        </w:rPr>
      </w:pPr>
      <w:r w:rsidRPr="009E6AAB">
        <w:rPr>
          <w:rFonts w:ascii="Times New Roman" w:hAnsi="Times New Roman"/>
          <w:sz w:val="24"/>
          <w:szCs w:val="24"/>
        </w:rPr>
        <w:t>Navrhuje sa vypustiť podmienka, podľa ktorej konečný užívateľ výhod audítorskej spoločnosti a člen jej štatutárneho orgánu nesmú byť v blízkom podnikateľskom vzťahu s osobou, ktorá nie je bezúhonná.</w:t>
      </w:r>
    </w:p>
    <w:p w14:paraId="581E91A1" w14:textId="48A0C92E" w:rsidR="42B6F981" w:rsidRDefault="0D8765B6" w:rsidP="23BE041E">
      <w:pPr>
        <w:spacing w:after="0"/>
        <w:jc w:val="both"/>
        <w:rPr>
          <w:rFonts w:ascii="Times New Roman" w:hAnsi="Times New Roman"/>
          <w:sz w:val="24"/>
          <w:szCs w:val="24"/>
        </w:rPr>
      </w:pPr>
      <w:r w:rsidRPr="009E6AAB">
        <w:rPr>
          <w:rFonts w:ascii="Times New Roman" w:hAnsi="Times New Roman"/>
          <w:sz w:val="24"/>
          <w:szCs w:val="24"/>
        </w:rPr>
        <w:t>Cieľom navrhovanej úpravy je zúžiť posudzovanie bezúhonnosti na osoby, ktoré majú priamy vzťah k audítorskej spoločnosti a môžu ovplyvňovať jej činnosť. Doterajšia právna úprava rozširuje posudzovanie bezúhonnosti aj na bližšie neurčený okruh tretích osôb nachádzajúcich sa v blízkom podnikateľskom vzťahu s konečným užívateľom výhod alebo členom štatutárneho orgánu audítorskej spoločnosti. Splnenie tejto podmienky môže byť v praxi vzhľadom na jej rozsah a nepriame väzby dotknutých osôb neprimerane náročné preukazovať a priebežne overovať.</w:t>
      </w:r>
    </w:p>
    <w:p w14:paraId="6562AE75" w14:textId="33E01078" w:rsidR="42B6F981" w:rsidRDefault="0D8765B6" w:rsidP="23BE041E">
      <w:pPr>
        <w:spacing w:after="0"/>
        <w:jc w:val="both"/>
        <w:rPr>
          <w:rFonts w:ascii="Times New Roman" w:hAnsi="Times New Roman"/>
          <w:sz w:val="24"/>
          <w:szCs w:val="24"/>
        </w:rPr>
      </w:pPr>
      <w:r w:rsidRPr="009E6AAB">
        <w:rPr>
          <w:rFonts w:ascii="Times New Roman" w:hAnsi="Times New Roman"/>
          <w:sz w:val="24"/>
          <w:szCs w:val="24"/>
        </w:rPr>
        <w:t>Vypustením predmetnej podmienky sa zabezpečí primeranejšie a jednoznačnejšie vymedzenie požiadaviek na bezúhonnosť pri udeľovaní licencie audítorskej spoločnosti. Navrhovaná zmena nemení požiadavku na bezúhonnosť osôb, pri ktorých ju zákon vyžaduje priamo, a neznižuje požiadavky na odbornú spôsobilosť, nezávislosť ani dôveryhodnosť audítorskej spoločnosti.</w:t>
      </w:r>
    </w:p>
    <w:p w14:paraId="61E2ED7F" w14:textId="32C5639D" w:rsidR="42B6F981" w:rsidRPr="009E6AAB" w:rsidRDefault="0D8765B6" w:rsidP="23BE041E">
      <w:pPr>
        <w:spacing w:after="0"/>
        <w:jc w:val="both"/>
        <w:rPr>
          <w:rFonts w:ascii="Times New Roman" w:hAnsi="Times New Roman"/>
          <w:sz w:val="24"/>
          <w:szCs w:val="24"/>
        </w:rPr>
      </w:pPr>
      <w:r w:rsidRPr="009E6AAB">
        <w:rPr>
          <w:rFonts w:ascii="Times New Roman" w:hAnsi="Times New Roman"/>
          <w:sz w:val="24"/>
          <w:szCs w:val="24"/>
        </w:rPr>
        <w:t>V nadväznosti na vypustenie uvedenej podmienky sa ako nadbytočná vypúšťa aj poznámka pod čiarou k odkazu 13b, ktorá vymedzuje pojem blízkeho podnikateľského vzťahu prostredníctvom odkazu na osobitný predpis.</w:t>
      </w:r>
    </w:p>
    <w:p w14:paraId="7215388F" w14:textId="304F2691" w:rsidR="42B6F981" w:rsidRDefault="42B6F981" w:rsidP="23BE041E">
      <w:pPr>
        <w:spacing w:after="0"/>
        <w:jc w:val="both"/>
        <w:rPr>
          <w:rFonts w:eastAsiaTheme="minorEastAsia" w:cstheme="minorBidi"/>
          <w:sz w:val="24"/>
          <w:szCs w:val="24"/>
        </w:rPr>
      </w:pPr>
    </w:p>
    <w:p w14:paraId="05E48E3E" w14:textId="07FCBB73" w:rsidR="42B6F981" w:rsidRDefault="2B7F9762" w:rsidP="23BE041E">
      <w:pPr>
        <w:spacing w:after="0"/>
        <w:jc w:val="both"/>
      </w:pPr>
      <w:r w:rsidRPr="23BE041E">
        <w:rPr>
          <w:rFonts w:ascii="Times New Roman" w:hAnsi="Times New Roman"/>
          <w:b/>
          <w:bCs/>
          <w:sz w:val="24"/>
          <w:szCs w:val="24"/>
        </w:rPr>
        <w:t xml:space="preserve">K bodom </w:t>
      </w:r>
      <w:r w:rsidR="3EBED7C0" w:rsidRPr="23BE041E">
        <w:rPr>
          <w:rFonts w:ascii="Times New Roman" w:hAnsi="Times New Roman"/>
          <w:b/>
          <w:bCs/>
          <w:sz w:val="24"/>
          <w:szCs w:val="24"/>
        </w:rPr>
        <w:t>3</w:t>
      </w:r>
      <w:r w:rsidRPr="23BE041E">
        <w:rPr>
          <w:rFonts w:ascii="Times New Roman" w:hAnsi="Times New Roman"/>
          <w:b/>
          <w:bCs/>
          <w:sz w:val="24"/>
          <w:szCs w:val="24"/>
        </w:rPr>
        <w:t xml:space="preserve"> až </w:t>
      </w:r>
      <w:r w:rsidR="1E6F174A" w:rsidRPr="23BE041E">
        <w:rPr>
          <w:rFonts w:ascii="Times New Roman" w:hAnsi="Times New Roman"/>
          <w:b/>
          <w:bCs/>
          <w:sz w:val="24"/>
          <w:szCs w:val="24"/>
        </w:rPr>
        <w:t>5</w:t>
      </w:r>
      <w:r w:rsidRPr="23BE041E">
        <w:rPr>
          <w:rFonts w:ascii="Times New Roman" w:hAnsi="Times New Roman"/>
          <w:b/>
          <w:bCs/>
          <w:sz w:val="24"/>
          <w:szCs w:val="24"/>
        </w:rPr>
        <w:t xml:space="preserve"> (§ 12 ods. 2 písm. q), § 12 ods. 3 písm. </w:t>
      </w:r>
      <w:r w:rsidR="0B9A2976" w:rsidRPr="23BE041E">
        <w:rPr>
          <w:rFonts w:ascii="Times New Roman" w:hAnsi="Times New Roman"/>
          <w:b/>
          <w:bCs/>
          <w:sz w:val="24"/>
          <w:szCs w:val="24"/>
        </w:rPr>
        <w:t>e), § 12 ods. 5)</w:t>
      </w:r>
    </w:p>
    <w:p w14:paraId="2B7189A5" w14:textId="2C34C8A8" w:rsidR="42B6F981" w:rsidRDefault="2B7F9762" w:rsidP="23BE041E">
      <w:pPr>
        <w:spacing w:after="0"/>
        <w:jc w:val="both"/>
      </w:pPr>
      <w:r w:rsidRPr="23BE041E">
        <w:rPr>
          <w:rFonts w:ascii="Times New Roman" w:hAnsi="Times New Roman"/>
          <w:sz w:val="24"/>
          <w:szCs w:val="24"/>
        </w:rPr>
        <w:t>Navrhovaným ustanovením sa transponuje čl. 56 ods. 2 písm. f) smernice (EÚ) 2024/1640, podľa ktorého musia mať orgány dohľadu právomoc odňať povolenie na vykonávanie činnosti subjektu, nad ktorým vykonávajú dohľad, ak tento subjekt porušuje povinnosti ustanovené v nariadení (EÚ) 2024/1624, má nedostatky vo vnútorných politikách, postupoch a kontrolách, alebo jeho vnútorné politiky, postupy a kontroly nie sú úmerné rizikám ML/TF.</w:t>
      </w:r>
    </w:p>
    <w:p w14:paraId="00482D17" w14:textId="6E1DE035" w:rsidR="42B6F981" w:rsidRDefault="42B6F981" w:rsidP="23BE041E">
      <w:pPr>
        <w:spacing w:after="0"/>
        <w:jc w:val="both"/>
        <w:rPr>
          <w:rFonts w:ascii="Times New Roman" w:hAnsi="Times New Roman"/>
          <w:sz w:val="24"/>
          <w:szCs w:val="24"/>
        </w:rPr>
      </w:pPr>
    </w:p>
    <w:p w14:paraId="5A7ABC88" w14:textId="46D0E24D" w:rsidR="42B6F981" w:rsidRDefault="2B7F9762" w:rsidP="23BE041E">
      <w:pPr>
        <w:spacing w:after="0"/>
        <w:jc w:val="both"/>
        <w:rPr>
          <w:rFonts w:ascii="Times New Roman" w:hAnsi="Times New Roman"/>
          <w:sz w:val="24"/>
          <w:szCs w:val="24"/>
        </w:rPr>
      </w:pPr>
      <w:r w:rsidRPr="23BE041E">
        <w:rPr>
          <w:rFonts w:ascii="Times New Roman" w:hAnsi="Times New Roman"/>
          <w:sz w:val="24"/>
          <w:szCs w:val="24"/>
        </w:rPr>
        <w:lastRenderedPageBreak/>
        <w:t>Keďže FSJ nie je vo vzťahu k povinným osobám, nad ktorými vykonáva dohľad v AML/CFT oblasti zároveň orgánom oprávneným rozhodovať o odňatí oprávnenia na vykonávanie ich činnosti, navrhuje sa upraviť osobitný mechanizmus uplatňovania tejto právomoci.</w:t>
      </w:r>
    </w:p>
    <w:p w14:paraId="66FE9B49" w14:textId="7590131F" w:rsidR="42B6F981" w:rsidRDefault="2B7F9762" w:rsidP="23BE041E">
      <w:pPr>
        <w:spacing w:after="0"/>
        <w:jc w:val="both"/>
      </w:pPr>
      <w:r w:rsidRPr="23BE041E">
        <w:rPr>
          <w:rFonts w:ascii="Times New Roman" w:hAnsi="Times New Roman"/>
          <w:sz w:val="24"/>
          <w:szCs w:val="24"/>
        </w:rPr>
        <w:t>Samotnému rozhodnutiu o odobratí oprávnenia na podnikateľskú alebo inú samostatnú zárobkovú činnosť však bude predchádzať viacero krokov.</w:t>
      </w:r>
    </w:p>
    <w:p w14:paraId="5D567C16" w14:textId="2083FD4B" w:rsidR="42B6F981" w:rsidRDefault="2B7F9762" w:rsidP="23BE041E">
      <w:pPr>
        <w:spacing w:after="0"/>
        <w:jc w:val="both"/>
      </w:pPr>
      <w:r w:rsidRPr="23BE041E">
        <w:rPr>
          <w:rFonts w:ascii="Times New Roman" w:hAnsi="Times New Roman"/>
          <w:sz w:val="24"/>
          <w:szCs w:val="24"/>
        </w:rPr>
        <w:t>Na začiatku musí FSJ v rámci vykonávaného dohľadu zistiť, že povinná osoba neplní alebo porušuje niektorú z povinností upravených v § 54 ods. 1 písm. a) až c). FSJ v rozhodnutí o uložení administratívneho opatrenia určí lehotu na jeho splnenie. V prípade, ak povinná osoba v stanovenej lehote administratívne opatrenie nesplní, FSJ uloží povinnej osobe penále, ktoré môže byť určené na obdobie najviac šesť mesiacov, ktorého cieľom je vynútenie si splnenia administratívneho opatrenia. Ak povinná osoba ani po uplynutí tejto lehoty administratívne opatrenie nesplní, FSJ jej uloží dodatočné penále, taktiež najviac na dobu šesť mesiacov.</w:t>
      </w:r>
    </w:p>
    <w:p w14:paraId="2A4FE277" w14:textId="16D156A6" w:rsidR="42B6F981" w:rsidRDefault="2B7F9762" w:rsidP="23BE041E">
      <w:pPr>
        <w:spacing w:after="0"/>
        <w:jc w:val="both"/>
        <w:rPr>
          <w:rFonts w:ascii="Times New Roman" w:hAnsi="Times New Roman"/>
          <w:sz w:val="24"/>
          <w:szCs w:val="24"/>
        </w:rPr>
      </w:pPr>
      <w:r w:rsidRPr="23BE041E">
        <w:rPr>
          <w:rFonts w:ascii="Times New Roman" w:hAnsi="Times New Roman"/>
          <w:sz w:val="24"/>
          <w:szCs w:val="24"/>
        </w:rPr>
        <w:t xml:space="preserve">V prípade, ak povinná osoba ani po uplynutí doby, na ktorú jej bolo uložené dodatočné penále, administratívne opatrenie nesplní, FSJ rozhodne o </w:t>
      </w:r>
      <w:r w:rsidR="4B2BD3E9" w:rsidRPr="23BE041E">
        <w:rPr>
          <w:rFonts w:ascii="Times New Roman" w:hAnsi="Times New Roman"/>
          <w:sz w:val="24"/>
          <w:szCs w:val="24"/>
        </w:rPr>
        <w:t xml:space="preserve">odobratí </w:t>
      </w:r>
      <w:r w:rsidRPr="23BE041E">
        <w:rPr>
          <w:rFonts w:ascii="Times New Roman" w:hAnsi="Times New Roman"/>
          <w:sz w:val="24"/>
          <w:szCs w:val="24"/>
        </w:rPr>
        <w:t>oprávnenia na podnikateľskú alebo inú samostatnú zárobkovú činnosť.</w:t>
      </w:r>
    </w:p>
    <w:p w14:paraId="4006834C" w14:textId="6C7EDD51" w:rsidR="42B6F981" w:rsidRDefault="42B6F981" w:rsidP="23BE041E">
      <w:pPr>
        <w:spacing w:after="0" w:line="257" w:lineRule="auto"/>
        <w:jc w:val="both"/>
        <w:rPr>
          <w:rFonts w:ascii="Times New Roman" w:hAnsi="Times New Roman"/>
          <w:sz w:val="24"/>
          <w:szCs w:val="24"/>
        </w:rPr>
      </w:pPr>
    </w:p>
    <w:p w14:paraId="4B756B1A" w14:textId="708F0ED5" w:rsidR="42B6F981" w:rsidRDefault="025A8766" w:rsidP="23BE041E">
      <w:pPr>
        <w:spacing w:after="0" w:line="257" w:lineRule="auto"/>
        <w:jc w:val="both"/>
      </w:pPr>
      <w:r w:rsidRPr="23BE041E">
        <w:rPr>
          <w:rFonts w:ascii="Times New Roman" w:hAnsi="Times New Roman"/>
          <w:sz w:val="24"/>
          <w:szCs w:val="24"/>
        </w:rPr>
        <w:t xml:space="preserve">V prípade, ak povinná osoba má oprávnenie na vykonávanie viacerých činností, na základe ktorých je zaradená medzi povinné osoby, administratívne opatrenie o odobratí oprávnenia sa bude vzťahovať iba na tú činnosť, pri vykonávaní ktorej </w:t>
      </w:r>
      <w:r w:rsidR="1F2F7E40" w:rsidRPr="23BE041E">
        <w:rPr>
          <w:rFonts w:ascii="Times New Roman" w:hAnsi="Times New Roman"/>
          <w:sz w:val="24"/>
          <w:szCs w:val="24"/>
        </w:rPr>
        <w:t xml:space="preserve">povinná osoba </w:t>
      </w:r>
      <w:r w:rsidRPr="23BE041E">
        <w:rPr>
          <w:rFonts w:ascii="Times New Roman" w:hAnsi="Times New Roman"/>
          <w:sz w:val="24"/>
          <w:szCs w:val="24"/>
        </w:rPr>
        <w:t>porušil</w:t>
      </w:r>
      <w:r w:rsidR="4155FEE9" w:rsidRPr="23BE041E">
        <w:rPr>
          <w:rFonts w:ascii="Times New Roman" w:hAnsi="Times New Roman"/>
          <w:sz w:val="24"/>
          <w:szCs w:val="24"/>
        </w:rPr>
        <w:t>a</w:t>
      </w:r>
      <w:r w:rsidRPr="23BE041E">
        <w:rPr>
          <w:rFonts w:ascii="Times New Roman" w:hAnsi="Times New Roman"/>
          <w:sz w:val="24"/>
          <w:szCs w:val="24"/>
        </w:rPr>
        <w:t xml:space="preserve"> AML/CFT legislatívu.</w:t>
      </w:r>
    </w:p>
    <w:p w14:paraId="4DB82C34" w14:textId="3C99F69D" w:rsidR="42B6F981" w:rsidRDefault="42B6F981" w:rsidP="23BE041E">
      <w:pPr>
        <w:spacing w:after="0" w:line="257" w:lineRule="auto"/>
        <w:jc w:val="both"/>
        <w:rPr>
          <w:rFonts w:ascii="Times New Roman" w:hAnsi="Times New Roman"/>
          <w:sz w:val="24"/>
          <w:szCs w:val="24"/>
        </w:rPr>
      </w:pPr>
    </w:p>
    <w:p w14:paraId="4AE2A07E" w14:textId="7C9AA457" w:rsidR="42B6F981" w:rsidRDefault="2B7F9762" w:rsidP="23BE041E">
      <w:pPr>
        <w:spacing w:after="0" w:line="257" w:lineRule="auto"/>
        <w:jc w:val="both"/>
      </w:pPr>
      <w:r w:rsidRPr="23BE041E">
        <w:rPr>
          <w:rFonts w:ascii="Times New Roman" w:hAnsi="Times New Roman"/>
          <w:sz w:val="24"/>
          <w:szCs w:val="24"/>
        </w:rPr>
        <w:t xml:space="preserve">Právoplatné rozhodnutie o uložení administratívneho opatrenia spočívajúce v odobratí </w:t>
      </w:r>
      <w:r w:rsidR="585A210C" w:rsidRPr="23BE041E">
        <w:rPr>
          <w:rFonts w:ascii="Times New Roman" w:hAnsi="Times New Roman"/>
          <w:sz w:val="24"/>
          <w:szCs w:val="24"/>
        </w:rPr>
        <w:t>oprávnenia na podnikateľskú alebo inú samostatnú zárobkovú činnosť</w:t>
      </w:r>
      <w:r w:rsidRPr="23BE041E">
        <w:rPr>
          <w:rFonts w:ascii="Times New Roman" w:hAnsi="Times New Roman"/>
          <w:sz w:val="24"/>
          <w:szCs w:val="24"/>
        </w:rPr>
        <w:t xml:space="preserve">, zašle FSJ do 10 pracovných dní </w:t>
      </w:r>
      <w:r w:rsidR="63B958EC" w:rsidRPr="23BE041E">
        <w:rPr>
          <w:rFonts w:ascii="Times New Roman" w:hAnsi="Times New Roman"/>
          <w:sz w:val="24"/>
          <w:szCs w:val="24"/>
        </w:rPr>
        <w:t>Ú</w:t>
      </w:r>
      <w:r w:rsidR="630C6BCC" w:rsidRPr="23BE041E">
        <w:rPr>
          <w:rFonts w:ascii="Times New Roman" w:hAnsi="Times New Roman"/>
          <w:sz w:val="24"/>
          <w:szCs w:val="24"/>
        </w:rPr>
        <w:t>radu</w:t>
      </w:r>
      <w:r w:rsidR="6882A697" w:rsidRPr="23BE041E">
        <w:rPr>
          <w:rFonts w:ascii="Times New Roman" w:hAnsi="Times New Roman"/>
          <w:sz w:val="24"/>
          <w:szCs w:val="24"/>
        </w:rPr>
        <w:t xml:space="preserve"> pre dohľad</w:t>
      </w:r>
      <w:r w:rsidR="630C6BCC" w:rsidRPr="23BE041E">
        <w:rPr>
          <w:rFonts w:ascii="Times New Roman" w:hAnsi="Times New Roman"/>
          <w:sz w:val="24"/>
          <w:szCs w:val="24"/>
        </w:rPr>
        <w:t xml:space="preserve"> nad výkonom auditu</w:t>
      </w:r>
      <w:r w:rsidR="223D2799" w:rsidRPr="23BE041E">
        <w:rPr>
          <w:rFonts w:ascii="Times New Roman" w:hAnsi="Times New Roman"/>
          <w:sz w:val="24"/>
          <w:szCs w:val="24"/>
        </w:rPr>
        <w:t xml:space="preserve">, ktorý </w:t>
      </w:r>
      <w:r w:rsidRPr="23BE041E">
        <w:rPr>
          <w:rFonts w:ascii="Times New Roman" w:hAnsi="Times New Roman"/>
          <w:sz w:val="24"/>
          <w:szCs w:val="24"/>
        </w:rPr>
        <w:t xml:space="preserve">následne </w:t>
      </w:r>
      <w:r w:rsidR="10CFFB13" w:rsidRPr="23BE041E">
        <w:rPr>
          <w:rFonts w:ascii="Times New Roman" w:hAnsi="Times New Roman"/>
          <w:sz w:val="24"/>
          <w:szCs w:val="24"/>
        </w:rPr>
        <w:t>štatutárne</w:t>
      </w:r>
      <w:r w:rsidR="6D18AF3B" w:rsidRPr="23BE041E">
        <w:rPr>
          <w:rFonts w:ascii="Times New Roman" w:hAnsi="Times New Roman"/>
          <w:sz w:val="24"/>
          <w:szCs w:val="24"/>
        </w:rPr>
        <w:t>ho</w:t>
      </w:r>
      <w:r w:rsidR="10CFFB13" w:rsidRPr="23BE041E">
        <w:rPr>
          <w:rFonts w:ascii="Times New Roman" w:hAnsi="Times New Roman"/>
          <w:sz w:val="24"/>
          <w:szCs w:val="24"/>
        </w:rPr>
        <w:t xml:space="preserve"> audítor</w:t>
      </w:r>
      <w:r w:rsidR="1F4632B0" w:rsidRPr="23BE041E">
        <w:rPr>
          <w:rFonts w:ascii="Times New Roman" w:hAnsi="Times New Roman"/>
          <w:sz w:val="24"/>
          <w:szCs w:val="24"/>
        </w:rPr>
        <w:t>a</w:t>
      </w:r>
      <w:r w:rsidR="10CFFB13" w:rsidRPr="23BE041E">
        <w:rPr>
          <w:rFonts w:ascii="Times New Roman" w:hAnsi="Times New Roman"/>
          <w:sz w:val="24"/>
          <w:szCs w:val="24"/>
        </w:rPr>
        <w:t xml:space="preserve"> alebo audítorsk</w:t>
      </w:r>
      <w:r w:rsidR="2961B7A7" w:rsidRPr="23BE041E">
        <w:rPr>
          <w:rFonts w:ascii="Times New Roman" w:hAnsi="Times New Roman"/>
          <w:sz w:val="24"/>
          <w:szCs w:val="24"/>
        </w:rPr>
        <w:t>ú</w:t>
      </w:r>
      <w:r w:rsidR="10CFFB13" w:rsidRPr="23BE041E">
        <w:rPr>
          <w:rFonts w:ascii="Times New Roman" w:hAnsi="Times New Roman"/>
          <w:sz w:val="24"/>
          <w:szCs w:val="24"/>
        </w:rPr>
        <w:t xml:space="preserve"> spoločnos</w:t>
      </w:r>
      <w:r w:rsidR="4AB762AE" w:rsidRPr="23BE041E">
        <w:rPr>
          <w:rFonts w:ascii="Times New Roman" w:hAnsi="Times New Roman"/>
          <w:sz w:val="24"/>
          <w:szCs w:val="24"/>
        </w:rPr>
        <w:t>ť</w:t>
      </w:r>
      <w:r w:rsidR="0E735331" w:rsidRPr="23BE041E">
        <w:rPr>
          <w:rFonts w:ascii="Times New Roman" w:hAnsi="Times New Roman"/>
          <w:sz w:val="24"/>
          <w:szCs w:val="24"/>
        </w:rPr>
        <w:t xml:space="preserve"> </w:t>
      </w:r>
      <w:r w:rsidR="48A98824" w:rsidRPr="23BE041E">
        <w:rPr>
          <w:rFonts w:ascii="Times New Roman" w:hAnsi="Times New Roman"/>
          <w:sz w:val="24"/>
          <w:szCs w:val="24"/>
        </w:rPr>
        <w:t xml:space="preserve">vyčiarkne </w:t>
      </w:r>
      <w:r w:rsidR="0E735331" w:rsidRPr="23BE041E">
        <w:rPr>
          <w:rFonts w:ascii="Times New Roman" w:hAnsi="Times New Roman"/>
          <w:sz w:val="24"/>
          <w:szCs w:val="24"/>
        </w:rPr>
        <w:t>zo zoznamu.</w:t>
      </w:r>
    </w:p>
    <w:p w14:paraId="1611CDFD" w14:textId="360AE05E" w:rsidR="23BE041E" w:rsidRDefault="23BE041E" w:rsidP="23BE041E">
      <w:pPr>
        <w:spacing w:after="0" w:line="257" w:lineRule="auto"/>
        <w:jc w:val="both"/>
        <w:rPr>
          <w:rFonts w:ascii="Times New Roman" w:hAnsi="Times New Roman"/>
          <w:sz w:val="24"/>
          <w:szCs w:val="24"/>
        </w:rPr>
      </w:pPr>
    </w:p>
    <w:p w14:paraId="29F36A2A" w14:textId="20D7B3BA" w:rsidR="460DEE7D" w:rsidRDefault="460DEE7D" w:rsidP="23BE041E">
      <w:pPr>
        <w:spacing w:after="0" w:line="257" w:lineRule="auto"/>
        <w:jc w:val="both"/>
      </w:pPr>
      <w:r w:rsidRPr="23BE041E">
        <w:rPr>
          <w:rFonts w:ascii="Times New Roman" w:hAnsi="Times New Roman"/>
          <w:b/>
          <w:bCs/>
          <w:sz w:val="24"/>
          <w:szCs w:val="24"/>
        </w:rPr>
        <w:t>K bodu 6 (poznámka pod čiarou k odkazu 57)</w:t>
      </w:r>
    </w:p>
    <w:p w14:paraId="32E586BD" w14:textId="3B6ADC22" w:rsidR="460DEE7D" w:rsidRDefault="460DEE7D" w:rsidP="23BE041E">
      <w:pPr>
        <w:spacing w:after="0" w:line="257" w:lineRule="auto"/>
        <w:jc w:val="both"/>
      </w:pPr>
      <w:r w:rsidRPr="23BE041E">
        <w:rPr>
          <w:rFonts w:ascii="Times New Roman" w:hAnsi="Times New Roman"/>
          <w:sz w:val="24"/>
          <w:szCs w:val="24"/>
        </w:rPr>
        <w:t xml:space="preserve">Ide o </w:t>
      </w:r>
      <w:proofErr w:type="spellStart"/>
      <w:r w:rsidRPr="23BE041E">
        <w:rPr>
          <w:rFonts w:ascii="Times New Roman" w:hAnsi="Times New Roman"/>
          <w:sz w:val="24"/>
          <w:szCs w:val="24"/>
        </w:rPr>
        <w:t>legislatívno</w:t>
      </w:r>
      <w:proofErr w:type="spellEnd"/>
      <w:r w:rsidRPr="23BE041E">
        <w:rPr>
          <w:rFonts w:ascii="Times New Roman" w:hAnsi="Times New Roman"/>
          <w:sz w:val="24"/>
          <w:szCs w:val="24"/>
        </w:rPr>
        <w:t xml:space="preserve"> technickú úpravu poznámky pod čiarou.</w:t>
      </w:r>
    </w:p>
    <w:p w14:paraId="59EA64C2" w14:textId="52607BE0" w:rsidR="23BE041E" w:rsidRDefault="23BE041E" w:rsidP="23BE041E">
      <w:pPr>
        <w:spacing w:line="257" w:lineRule="auto"/>
        <w:jc w:val="center"/>
        <w:rPr>
          <w:rFonts w:ascii="Times New Roman" w:hAnsi="Times New Roman"/>
          <w:b/>
          <w:bCs/>
          <w:sz w:val="24"/>
          <w:szCs w:val="24"/>
          <w:u w:val="single"/>
        </w:rPr>
      </w:pPr>
    </w:p>
    <w:p w14:paraId="6C3C254A" w14:textId="57336629" w:rsidR="42B6F981" w:rsidRPr="00512478" w:rsidRDefault="382F503D" w:rsidP="6405D0E6">
      <w:pPr>
        <w:spacing w:line="257" w:lineRule="auto"/>
        <w:jc w:val="center"/>
        <w:rPr>
          <w:rFonts w:ascii="Times New Roman" w:hAnsi="Times New Roman"/>
          <w:b/>
          <w:bCs/>
          <w:sz w:val="24"/>
          <w:szCs w:val="24"/>
        </w:rPr>
      </w:pPr>
      <w:r w:rsidRPr="00512478">
        <w:rPr>
          <w:rFonts w:ascii="Times New Roman" w:hAnsi="Times New Roman"/>
          <w:b/>
          <w:bCs/>
          <w:sz w:val="24"/>
          <w:szCs w:val="24"/>
        </w:rPr>
        <w:t>Čl. XXII</w:t>
      </w:r>
      <w:r w:rsidR="1582516A" w:rsidRPr="00512478">
        <w:rPr>
          <w:rFonts w:ascii="Times New Roman" w:hAnsi="Times New Roman"/>
          <w:b/>
          <w:bCs/>
          <w:sz w:val="24"/>
          <w:szCs w:val="24"/>
        </w:rPr>
        <w:t>I</w:t>
      </w:r>
    </w:p>
    <w:p w14:paraId="006C6750" w14:textId="2C9D2304" w:rsidR="42B6F981" w:rsidRDefault="0DD910EA" w:rsidP="070BDBF9">
      <w:pPr>
        <w:spacing w:after="0"/>
        <w:jc w:val="center"/>
        <w:rPr>
          <w:rFonts w:ascii="Times New Roman" w:hAnsi="Times New Roman"/>
          <w:b/>
          <w:bCs/>
          <w:sz w:val="24"/>
          <w:szCs w:val="24"/>
        </w:rPr>
      </w:pPr>
      <w:r w:rsidRPr="070BDBF9">
        <w:rPr>
          <w:rFonts w:ascii="Times New Roman" w:hAnsi="Times New Roman"/>
          <w:b/>
          <w:bCs/>
          <w:sz w:val="24"/>
          <w:szCs w:val="24"/>
        </w:rPr>
        <w:t>Zákon č. 289/2016 Z. z. o vykonávaní medzinárodných sankcií</w:t>
      </w:r>
    </w:p>
    <w:p w14:paraId="6151746C" w14:textId="12EC57EC" w:rsidR="42B6F981" w:rsidRDefault="42B6F981" w:rsidP="070BDBF9">
      <w:pPr>
        <w:spacing w:after="0"/>
        <w:jc w:val="center"/>
        <w:rPr>
          <w:rFonts w:ascii="Times New Roman" w:hAnsi="Times New Roman"/>
          <w:b/>
          <w:bCs/>
          <w:sz w:val="24"/>
          <w:szCs w:val="24"/>
          <w:u w:val="single"/>
        </w:rPr>
      </w:pPr>
    </w:p>
    <w:p w14:paraId="6DDAD5B3" w14:textId="7CC90EBB" w:rsidR="42B6F981" w:rsidRDefault="6C329197" w:rsidP="004E4256">
      <w:pPr>
        <w:jc w:val="both"/>
      </w:pPr>
      <w:r w:rsidRPr="004E4256">
        <w:rPr>
          <w:rFonts w:ascii="Times New Roman" w:hAnsi="Times New Roman"/>
          <w:b/>
          <w:bCs/>
          <w:sz w:val="24"/>
          <w:szCs w:val="24"/>
        </w:rPr>
        <w:t>K bodu 1</w:t>
      </w:r>
    </w:p>
    <w:p w14:paraId="18852543" w14:textId="5E37EE9D" w:rsidR="42B6F981" w:rsidRDefault="6C329197" w:rsidP="004E4256">
      <w:pPr>
        <w:jc w:val="both"/>
      </w:pPr>
      <w:r w:rsidRPr="004E4256">
        <w:rPr>
          <w:rFonts w:ascii="Times New Roman" w:hAnsi="Times New Roman"/>
          <w:sz w:val="24"/>
          <w:szCs w:val="24"/>
        </w:rPr>
        <w:t>Navrhuje sa aktualizovať poznámku pod čiarou k odkazu 17 v nadväznosti na prijatie nového zákona v oblasti ochrany pred legalizáciou príjmov z trestnej činnosti a financovaním terorizmu. Ide o legislatívno-technickú úpravu, ktorej cieľom je zabezpečiť jednoznačné určenie právneho predpisu, na ktorý sa predmetné ustanovenie odvoláva.</w:t>
      </w:r>
    </w:p>
    <w:p w14:paraId="3C4BAD67" w14:textId="2DB44E3B" w:rsidR="42B6F981" w:rsidRDefault="6C329197" w:rsidP="004E4256">
      <w:pPr>
        <w:jc w:val="both"/>
      </w:pPr>
      <w:r w:rsidRPr="004E4256">
        <w:rPr>
          <w:rFonts w:ascii="Times New Roman" w:hAnsi="Times New Roman"/>
          <w:b/>
          <w:bCs/>
          <w:sz w:val="24"/>
          <w:szCs w:val="24"/>
        </w:rPr>
        <w:t>K bodu 2</w:t>
      </w:r>
    </w:p>
    <w:p w14:paraId="7EB69E59" w14:textId="3A79982F" w:rsidR="42B6F981" w:rsidRDefault="6C329197" w:rsidP="004E4256">
      <w:pPr>
        <w:jc w:val="both"/>
      </w:pPr>
      <w:r w:rsidRPr="004E4256">
        <w:rPr>
          <w:rFonts w:ascii="Times New Roman" w:hAnsi="Times New Roman"/>
          <w:sz w:val="24"/>
          <w:szCs w:val="24"/>
        </w:rPr>
        <w:t>Navrhuje sa rozšíriť znenie § 13 ods. 1 písm. e) tak, aby sa popri platbách výslovne zahŕňali aj iné plnenia. Doplnenie slov „alebo iné plnenia“ má zabezpečiť, aby sa právna úprava vzťahovala nielen na peňažné platby v užšom zmysle, ale aj na iné formy plnenia, ktoré môžu byť predmetom právnych vzťahov a pri ktorých je potrebné posúdiť ich súlad s režimom medzinárodných sankcií. Navrhovaná úprava zároveň prispieva k jednoznačnejšiemu výkladu ustanovenia v aplikačnej praxi.</w:t>
      </w:r>
    </w:p>
    <w:p w14:paraId="631EA367" w14:textId="1947B7C1" w:rsidR="42B6F981" w:rsidRDefault="6C329197" w:rsidP="004E4256">
      <w:pPr>
        <w:jc w:val="both"/>
      </w:pPr>
      <w:r w:rsidRPr="004E4256">
        <w:rPr>
          <w:rFonts w:ascii="Times New Roman" w:hAnsi="Times New Roman"/>
          <w:b/>
          <w:bCs/>
          <w:sz w:val="24"/>
          <w:szCs w:val="24"/>
        </w:rPr>
        <w:lastRenderedPageBreak/>
        <w:t>K bodu 3</w:t>
      </w:r>
    </w:p>
    <w:p w14:paraId="12227F08" w14:textId="55BC5B02" w:rsidR="42B6F981" w:rsidRDefault="6C329197" w:rsidP="004E4256">
      <w:pPr>
        <w:jc w:val="both"/>
      </w:pPr>
      <w:r w:rsidRPr="004E4256">
        <w:rPr>
          <w:rFonts w:ascii="Times New Roman" w:hAnsi="Times New Roman"/>
          <w:sz w:val="24"/>
          <w:szCs w:val="24"/>
        </w:rPr>
        <w:t>Navrhuje sa vypustenie § 13 ods. 2 a 3 a následné prečíslovanie doterajších odsekov 4 až 11.Navrhovaná úprava súvisí s celkovým prepracovaním právnej úpravy výnimiek zo sankčného režimu a s doplnením nového § 13a. Vypustením predmetných ustanovení a následným prečíslovaním odsekov sa zabezpečuje systematické usporiadanie ustanovenia § 13 a odstránenie ustanovení, ktorých ďalšie ponechanie v zákone nie je vzhľadom na navrhovanú právnu úpravu potrebné. Ide zároveň o legislatívno-technickú úpravu súvisiacu s ďalšími novelizačnými bodmi.</w:t>
      </w:r>
    </w:p>
    <w:p w14:paraId="2AF83EB9" w14:textId="124CA7A9" w:rsidR="42B6F981" w:rsidRDefault="6C329197" w:rsidP="004E4256">
      <w:pPr>
        <w:jc w:val="both"/>
      </w:pPr>
      <w:r w:rsidRPr="004E4256">
        <w:rPr>
          <w:rFonts w:ascii="Times New Roman" w:hAnsi="Times New Roman"/>
          <w:b/>
          <w:bCs/>
          <w:sz w:val="24"/>
          <w:szCs w:val="24"/>
        </w:rPr>
        <w:t>K bodu 4</w:t>
      </w:r>
    </w:p>
    <w:p w14:paraId="02BCC0FE" w14:textId="5D738CEE" w:rsidR="42B6F981" w:rsidRDefault="6C329197" w:rsidP="004E4256">
      <w:pPr>
        <w:jc w:val="both"/>
      </w:pPr>
      <w:r w:rsidRPr="004E4256">
        <w:rPr>
          <w:rFonts w:ascii="Times New Roman" w:hAnsi="Times New Roman"/>
          <w:sz w:val="24"/>
          <w:szCs w:val="24"/>
        </w:rPr>
        <w:t>Navrhuje sa doplniť možnosť rozhodnúť v lehote najneskôr do 90 dní v obzvlášť zložitých prípadoch. Doterajšia právna úprava nemusí v dostatočnej miere zohľadňovať časovú náročnosť posudzovania niektorých žiadostí a prípadov súvisiacich s vykonávaním medzinárodných sankcií. Ide najmä o prípady z aplikačnej praxe, pri ktorých je potrebné posudzovať väčšie množstvo relevantných právnych podkladov, vyžiadať si súčinnosť ďalších orgánov alebo posúdiť vzťah vnútroštátnej právnej úpravy k právne záväzným aktom Európskej únie. Navrhovaná úprava preto umožňuje v obzvlášť zložitých prípadoch rozhodnúť najneskôr v lehote 90 dní.</w:t>
      </w:r>
    </w:p>
    <w:p w14:paraId="5575FE92" w14:textId="0AAC8101" w:rsidR="42B6F981" w:rsidRDefault="6C329197" w:rsidP="004E4256">
      <w:pPr>
        <w:jc w:val="both"/>
      </w:pPr>
      <w:r w:rsidRPr="004E4256">
        <w:rPr>
          <w:rFonts w:ascii="Times New Roman" w:hAnsi="Times New Roman"/>
          <w:b/>
          <w:bCs/>
          <w:sz w:val="24"/>
          <w:szCs w:val="24"/>
        </w:rPr>
        <w:t>K bodu 5</w:t>
      </w:r>
    </w:p>
    <w:p w14:paraId="26998DAD" w14:textId="628ABEE9" w:rsidR="42B6F981" w:rsidRDefault="6C329197" w:rsidP="004E4256">
      <w:pPr>
        <w:spacing w:before="240" w:after="240"/>
        <w:jc w:val="both"/>
      </w:pPr>
      <w:r w:rsidRPr="004E4256">
        <w:rPr>
          <w:rFonts w:ascii="Times New Roman" w:hAnsi="Times New Roman"/>
          <w:sz w:val="24"/>
          <w:szCs w:val="24"/>
        </w:rPr>
        <w:t>Navrhovanou úpravou § 13 ods. 6 (pôvodný odsek 8) sa rozširuje a zároveň precizuje možnosť procesnej ochrany dotknutej osoby proti rozhodnutiu o povolení výnimky. Doterajšia právna úprava výslovne ustanovuje možnosť podať proti rozhodnutiu odvolanie. Vzhľadom na potrebu zabezpečiť dotknutej osobe možnosť využiť aj iné opravné prostriedky, ktoré pripúšťa všeobecná právna úprava správneho konania, sa navrhuje ustanoviť, že proti rozhodnutiu o povolení výnimky možno podať opravný prostriedok v súlade so zákonom č. 71/1967 Zb. o správnom konaní (správny poriadok) v znení neskorších predpisov.</w:t>
      </w:r>
    </w:p>
    <w:p w14:paraId="732F62E4" w14:textId="117144AB" w:rsidR="42B6F981" w:rsidRDefault="6C329197" w:rsidP="004E4256">
      <w:pPr>
        <w:spacing w:before="240" w:after="240"/>
        <w:jc w:val="both"/>
      </w:pPr>
      <w:r w:rsidRPr="004E4256">
        <w:rPr>
          <w:rFonts w:ascii="Times New Roman" w:hAnsi="Times New Roman"/>
          <w:sz w:val="24"/>
          <w:szCs w:val="24"/>
        </w:rPr>
        <w:t>Navrhovaná úprava tak umožňuje dotknutej osobe využiť nielen odvolanie, ale v závislosti od splnenia zákonných podmienok aj iný opravný prostriedok podľa správneho poriadku. Cieľom je zabezpečiť úplnejšiu procesnú ochranu práv a právom chránených záujmov dotknutej osoby a zároveň odstrániť prípadnú nejasnosť vyplývajúcu z toho, že platné znenie ustanovenia výslovne upravuje iba možnosť podať odvolanie.</w:t>
      </w:r>
    </w:p>
    <w:p w14:paraId="658F354C" w14:textId="530E1356" w:rsidR="42B6F981" w:rsidRDefault="6C329197" w:rsidP="004E4256">
      <w:pPr>
        <w:spacing w:before="240" w:after="240"/>
        <w:jc w:val="both"/>
      </w:pPr>
      <w:r w:rsidRPr="004E4256">
        <w:rPr>
          <w:rFonts w:ascii="Times New Roman" w:hAnsi="Times New Roman"/>
          <w:sz w:val="24"/>
          <w:szCs w:val="24"/>
        </w:rPr>
        <w:t>Lehota na podanie opravného prostriedku zostáva zachovaná v dĺžke 30 dní odo dňa doručenia rozhodnutia o povolení výnimky. Rovnako sa zachováva právna úprava, podľa ktorej podanie odvolania nemá odkladný účinok.</w:t>
      </w:r>
    </w:p>
    <w:p w14:paraId="6387B1C0" w14:textId="75CA522B" w:rsidR="42B6F981" w:rsidRDefault="6C329197" w:rsidP="004E4256">
      <w:pPr>
        <w:spacing w:before="240" w:after="240"/>
        <w:jc w:val="both"/>
      </w:pPr>
      <w:r w:rsidRPr="004E4256">
        <w:rPr>
          <w:rFonts w:ascii="Times New Roman" w:hAnsi="Times New Roman"/>
          <w:sz w:val="24"/>
          <w:szCs w:val="24"/>
        </w:rPr>
        <w:t>V nadväznosti na uvedené sa dopĺňa poznámka pod čiarou k odkazu 23a s odkazom na § 53 až § 61 správneho poriadku, ktoré upravujú odvolanie a odvolacie konanie.</w:t>
      </w:r>
    </w:p>
    <w:p w14:paraId="179DFB4E" w14:textId="0945EDF3" w:rsidR="42B6F981" w:rsidRDefault="6C329197" w:rsidP="004E4256">
      <w:pPr>
        <w:jc w:val="both"/>
      </w:pPr>
      <w:r w:rsidRPr="004E4256">
        <w:rPr>
          <w:rFonts w:ascii="Times New Roman" w:hAnsi="Times New Roman"/>
          <w:b/>
          <w:bCs/>
          <w:sz w:val="24"/>
          <w:szCs w:val="24"/>
        </w:rPr>
        <w:t>K bodu 6</w:t>
      </w:r>
    </w:p>
    <w:p w14:paraId="32A1338B" w14:textId="6448B323" w:rsidR="42B6F981" w:rsidRDefault="6C329197" w:rsidP="004E4256">
      <w:pPr>
        <w:jc w:val="both"/>
      </w:pPr>
      <w:r w:rsidRPr="004E4256">
        <w:rPr>
          <w:rFonts w:ascii="Times New Roman" w:hAnsi="Times New Roman"/>
          <w:sz w:val="24"/>
          <w:szCs w:val="24"/>
        </w:rPr>
        <w:t xml:space="preserve">Navrhuje sa vložiť nový § 13a, ktorý upravuje prípady, ktoré sa za porušenie medzinárodnej sankcie nepovažujú. Navrhované ustanovenie reaguje na potrebu jednoznačne upraviť právne situácie, ktoré môžu vzniknúť po zmrazení finančných prostriedkov sankcionovanej osoby. Samotné zmrazenie finančných prostriedkov nebráni tomu, aby na príslušný účet boli následne </w:t>
      </w:r>
      <w:r w:rsidRPr="004E4256">
        <w:rPr>
          <w:rFonts w:ascii="Times New Roman" w:hAnsi="Times New Roman"/>
          <w:sz w:val="24"/>
          <w:szCs w:val="24"/>
        </w:rPr>
        <w:lastRenderedPageBreak/>
        <w:t>pripísané finančné prostriedky z dôvodov, ktoré nesúvisia s vedomým nakladaním sankcionovanej osoby so zmrazenými finančnými prostriedkami. V týchto prípadoch je podmienkou, aby bolo pripísanie bezodkladne zmrazené. Cieľom je zabezpečiť, aby prijatie finančných prostriedkov nebolo samo osebe sankcionované ako porušenie medzinárodnej sankcie, ak s týmito prostriedkami nie je následne nakladané v rozpore so sankčným režimom.</w:t>
      </w:r>
    </w:p>
    <w:p w14:paraId="7CD20203" w14:textId="50C111C7" w:rsidR="42B6F981" w:rsidRDefault="6C329197" w:rsidP="004E4256">
      <w:pPr>
        <w:jc w:val="both"/>
      </w:pPr>
      <w:r w:rsidRPr="004E4256">
        <w:rPr>
          <w:rFonts w:ascii="Times New Roman" w:hAnsi="Times New Roman"/>
          <w:sz w:val="24"/>
          <w:szCs w:val="24"/>
        </w:rPr>
        <w:t>V časti, kde sa upravuje nakladanie s finančnými prostriedkami alebo hospodárskymi zdrojmi, ktoré je povolené na základe právne záväzného aktu Európskej únie, navrhované ustanovenie vychádza zo skutočnosti, že právne záväzné akty Európskej únie v oblasti medzinárodných sankcií môžu v konkrétnych prípadoch ustanovovať oprávnenie alebo výnimku z uplatňovania určitého sankčného opatrenia. Takéto nakladanie preto nemožno považovať za porušenie medzinárodnej sankcie, ak je výslovne povolené právne záväzným aktom Európskej únie.</w:t>
      </w:r>
    </w:p>
    <w:p w14:paraId="13A9C53D" w14:textId="49A68C06" w:rsidR="42B6F981" w:rsidRDefault="6C329197" w:rsidP="004E4256">
      <w:pPr>
        <w:jc w:val="both"/>
      </w:pPr>
      <w:r w:rsidRPr="004E4256">
        <w:rPr>
          <w:rFonts w:ascii="Times New Roman" w:hAnsi="Times New Roman"/>
          <w:b/>
          <w:bCs/>
          <w:sz w:val="24"/>
          <w:szCs w:val="24"/>
        </w:rPr>
        <w:t>K bodu 7</w:t>
      </w:r>
    </w:p>
    <w:p w14:paraId="204F237D" w14:textId="29FE09E2" w:rsidR="42B6F981" w:rsidRDefault="6C329197" w:rsidP="004E4256">
      <w:pPr>
        <w:spacing w:before="240" w:after="240"/>
        <w:jc w:val="both"/>
      </w:pPr>
      <w:r w:rsidRPr="004E4256">
        <w:rPr>
          <w:rFonts w:ascii="Times New Roman" w:hAnsi="Times New Roman"/>
          <w:sz w:val="24"/>
          <w:szCs w:val="24"/>
        </w:rPr>
        <w:t>Navrhuje sa nové znenie § 21 upravujúceho priestupky. Cieľom navrhovanej úpravy je precizovať jednotlivé skutkové podstaty priestupkov súvisiacich s porušením medzinárodných sankcií, sprehľadniť a systematicky usporiadať ustanovenia upravujúce priestupky a zároveň zabezpečiť jednoznačnosť právnej úpravy pri ukladaní sankcií. Navrhovaná úprava zároveň reaguje na potreby aplikačnej praxe a sleduje zjednotenie a spresnenie právnej úpravy v oblasti priestupkovej zodpovednosti za porušenie povinností podľa tohto zákona.</w:t>
      </w:r>
    </w:p>
    <w:p w14:paraId="2904467F" w14:textId="1297F6DE" w:rsidR="42B6F981" w:rsidRDefault="6C329197" w:rsidP="004E4256">
      <w:pPr>
        <w:jc w:val="both"/>
      </w:pPr>
      <w:r w:rsidRPr="004E4256">
        <w:rPr>
          <w:rFonts w:ascii="Times New Roman" w:hAnsi="Times New Roman"/>
          <w:b/>
          <w:bCs/>
          <w:sz w:val="24"/>
          <w:szCs w:val="24"/>
        </w:rPr>
        <w:t>K bodu 8</w:t>
      </w:r>
    </w:p>
    <w:p w14:paraId="35F3DCFA" w14:textId="32B75F4F" w:rsidR="42B6F981" w:rsidRDefault="6C329197" w:rsidP="004E4256">
      <w:pPr>
        <w:jc w:val="both"/>
      </w:pPr>
      <w:r w:rsidRPr="004E4256">
        <w:rPr>
          <w:rFonts w:ascii="Times New Roman" w:hAnsi="Times New Roman"/>
          <w:sz w:val="24"/>
          <w:szCs w:val="24"/>
        </w:rPr>
        <w:t xml:space="preserve">Navrhuje sa nové znenie § 22 ods. 1 a 2 upravujúcich iné správne delikty právnických osôb a fyzických osôb – podnikateľov. Dôvodom navrhovanej úpravy je potreba zosúladiť právnu úpravu správnych deliktov s úpravou priestupkov podľa § 21 a zároveň zabezpečiť jednoznačné vymedzenie konaní, za ktoré možno uložiť sankciu právnickej osobe alebo fyzickej osobe – podnikateľovi. </w:t>
      </w:r>
    </w:p>
    <w:p w14:paraId="5742AA8C" w14:textId="150F8EB3" w:rsidR="42B6F981" w:rsidRDefault="6C329197" w:rsidP="004E4256">
      <w:pPr>
        <w:spacing w:line="257" w:lineRule="auto"/>
        <w:jc w:val="both"/>
      </w:pPr>
      <w:r w:rsidRPr="004E4256">
        <w:rPr>
          <w:rFonts w:ascii="Times New Roman" w:hAnsi="Times New Roman"/>
          <w:sz w:val="24"/>
          <w:szCs w:val="24"/>
        </w:rPr>
        <w:t xml:space="preserve">Platná právna úprava stanovuje hranice pokút, ktoré môžu byť v niektorých prípadoch neprimerané vzhľadom na konania a v aplikačnej praxi v niektorých prípadoch sa ukazuje, že nastavenie dolných a horných hraníc pokút nemusí dostatočne zohľadňovať zásadu proporcionality medzi závažnosťou porušenia povinností a ukladanou sankciou a nastavenie sankcií tak nemusí plne zodpovedať zásade proporcionality. Navrhovaná novela umožní účinné a primerané uplatňovanie sankcií za porušenie medzinárodných sankcií na území Slovenskej republiky. Zvýši ich reálnu aplikovateľnosť v rozhodovacej praxi orgánov verejnej správy a zachová ich preventívny charakter. </w:t>
      </w:r>
    </w:p>
    <w:p w14:paraId="4CE8B9FE" w14:textId="7831F15D" w:rsidR="42B6F981" w:rsidRDefault="6C329197" w:rsidP="004E4256">
      <w:pPr>
        <w:jc w:val="both"/>
      </w:pPr>
      <w:r w:rsidRPr="004E4256">
        <w:rPr>
          <w:rFonts w:ascii="Times New Roman" w:hAnsi="Times New Roman"/>
          <w:b/>
          <w:bCs/>
          <w:sz w:val="24"/>
          <w:szCs w:val="24"/>
        </w:rPr>
        <w:t>K bodu 9</w:t>
      </w:r>
    </w:p>
    <w:p w14:paraId="0BF440EA" w14:textId="773CA470" w:rsidR="42B6F981" w:rsidRDefault="6C329197" w:rsidP="004E4256">
      <w:pPr>
        <w:jc w:val="both"/>
      </w:pPr>
      <w:r w:rsidRPr="004E4256">
        <w:rPr>
          <w:rFonts w:ascii="Times New Roman" w:hAnsi="Times New Roman"/>
          <w:sz w:val="24"/>
          <w:szCs w:val="24"/>
        </w:rPr>
        <w:t>Navrhuje sa nové znenie § 22 ods. 5 a 6. Cieľom je zabezpečiť koordinovaný postup príslušných orgánov pri sankcionovaní porušení medzinárodných sankcií, ktoré môžu mať význam z hľadiska zahraničnopolitických alebo bezpečnostných záujmov Slovenskej republiky.</w:t>
      </w:r>
    </w:p>
    <w:p w14:paraId="56A67DD6" w14:textId="646DA12F" w:rsidR="42B6F981" w:rsidRDefault="6C329197" w:rsidP="004E4256">
      <w:pPr>
        <w:jc w:val="both"/>
      </w:pPr>
      <w:r w:rsidRPr="004E4256">
        <w:rPr>
          <w:rFonts w:ascii="Times New Roman" w:hAnsi="Times New Roman"/>
          <w:b/>
          <w:bCs/>
          <w:sz w:val="24"/>
          <w:szCs w:val="24"/>
        </w:rPr>
        <w:t>K bodu 10</w:t>
      </w:r>
    </w:p>
    <w:p w14:paraId="0776A253" w14:textId="7B27251F" w:rsidR="42B6F981" w:rsidRDefault="6C329197" w:rsidP="004E4256">
      <w:pPr>
        <w:jc w:val="both"/>
      </w:pPr>
      <w:r w:rsidRPr="004E4256">
        <w:rPr>
          <w:rFonts w:ascii="Times New Roman" w:hAnsi="Times New Roman"/>
          <w:sz w:val="24"/>
          <w:szCs w:val="24"/>
        </w:rPr>
        <w:t>Ide o legislatívno-technickú úpravu súvisiacu s potrebou zosúladenia predmetného ustanovenia s ostatnými procesnými ustanoveniami zákona a s navrhovanými zmenami v oblasti konania o správnych deliktoch.</w:t>
      </w:r>
    </w:p>
    <w:p w14:paraId="70107BC7" w14:textId="0DAD3916" w:rsidR="42B6F981" w:rsidRDefault="6C329197" w:rsidP="004E4256">
      <w:pPr>
        <w:jc w:val="both"/>
      </w:pPr>
      <w:r w:rsidRPr="004E4256">
        <w:rPr>
          <w:rFonts w:ascii="Times New Roman" w:hAnsi="Times New Roman"/>
          <w:b/>
          <w:bCs/>
          <w:sz w:val="24"/>
          <w:szCs w:val="24"/>
        </w:rPr>
        <w:lastRenderedPageBreak/>
        <w:t>K bodu 11</w:t>
      </w:r>
    </w:p>
    <w:p w14:paraId="0E36AE5A" w14:textId="08CF57F6" w:rsidR="42B6F981" w:rsidRDefault="6C329197" w:rsidP="004E4256">
      <w:pPr>
        <w:jc w:val="both"/>
      </w:pPr>
      <w:r w:rsidRPr="004E4256">
        <w:rPr>
          <w:rFonts w:ascii="Times New Roman" w:hAnsi="Times New Roman"/>
          <w:sz w:val="24"/>
          <w:szCs w:val="24"/>
        </w:rPr>
        <w:t>Ide o terminologickú úpravu, ktorou sa odstraňuje nadbytočné označenie a zabezpečuje sa terminologická jednotnosť textu zákona.</w:t>
      </w:r>
    </w:p>
    <w:p w14:paraId="5BD6DF42" w14:textId="590FD6DB" w:rsidR="42B6F981" w:rsidRDefault="6C329197" w:rsidP="004E4256">
      <w:pPr>
        <w:jc w:val="both"/>
      </w:pPr>
      <w:r w:rsidRPr="004E4256">
        <w:rPr>
          <w:rFonts w:ascii="Times New Roman" w:hAnsi="Times New Roman"/>
          <w:b/>
          <w:bCs/>
          <w:sz w:val="24"/>
          <w:szCs w:val="24"/>
        </w:rPr>
        <w:t>K bodu 12</w:t>
      </w:r>
    </w:p>
    <w:p w14:paraId="503249FB" w14:textId="546AC5A2" w:rsidR="42B6F981" w:rsidRDefault="6C329197" w:rsidP="004E4256">
      <w:pPr>
        <w:jc w:val="both"/>
      </w:pPr>
      <w:r w:rsidRPr="004E4256">
        <w:rPr>
          <w:rFonts w:ascii="Times New Roman" w:hAnsi="Times New Roman"/>
          <w:sz w:val="24"/>
          <w:szCs w:val="24"/>
        </w:rPr>
        <w:t>Dôvodom navrhovanej úpravy je potreba reagovať na osobitosti konaní podľa zákona č. 289/2016 Z. z., pri ktorých môže byť účastníkom konania osoba zdržiavajúca sa mimo územia Slovenskej republiky alebo osoba, ktorej pobyt nie je príslušnému orgánu známy. V takýchto prípadoch môže byť klasické doručovanie písomností spojené s výraznými praktickými komplikáciami a môže viesť k neprimeranému predlžovaniu konania. Odsek 1 preto ustanovuje možnosť použiť doručenie verejnou vyhláškou, ak sa účastníci konania zdržiavajú v zahraničí alebo ich pobyt nie je príslušnému orgánu známy. Odsek 2 upravuje spôsob vykonania doručenia verejnou vyhláškou. Písomnosť sa vyvesí po dobu 10 dní na úradnej tabuli príslušného orgánu štátnej správy, pričom posledný deň tejto lehoty sa považuje za deň doručenia. Zároveň sa ustanovuje povinnosť zverejniť písomnosť súčasne na webovom sídle príslušného orgánu, ak ho má zriadené. Príslušný orgán zároveň vykoná pokus vhodným spôsobom upovedomiť adresáta o doručovaných písomnostiach, ak je jeho sídlo, adresa elektronickej pošty alebo iná elektronická adresa známa. Navrhovaná úprava tým sleduje rovnováhu medzi potrebou efektívneho priebehu konania a zabezpečením primeranej možnosti adresáta dozvedieť sa o doručovanej písomnosti.</w:t>
      </w:r>
    </w:p>
    <w:p w14:paraId="410A3E6C" w14:textId="5C1B01C0" w:rsidR="42B6F981" w:rsidRDefault="6C329197" w:rsidP="004E4256">
      <w:pPr>
        <w:jc w:val="both"/>
      </w:pPr>
      <w:r w:rsidRPr="004E4256">
        <w:rPr>
          <w:rFonts w:ascii="Times New Roman" w:hAnsi="Times New Roman"/>
          <w:b/>
          <w:bCs/>
          <w:sz w:val="24"/>
          <w:szCs w:val="24"/>
        </w:rPr>
        <w:t>K bodu 13</w:t>
      </w:r>
    </w:p>
    <w:p w14:paraId="39FF1916" w14:textId="6C6AF979" w:rsidR="42B6F981" w:rsidRDefault="6C329197" w:rsidP="004E4256">
      <w:pPr>
        <w:jc w:val="both"/>
      </w:pPr>
      <w:r w:rsidRPr="004E4256">
        <w:rPr>
          <w:rFonts w:ascii="Times New Roman" w:hAnsi="Times New Roman"/>
          <w:sz w:val="24"/>
          <w:szCs w:val="24"/>
        </w:rPr>
        <w:t>Navrhuje sa vložiť nové prechodné ustanovenie § 25a v súvislosti s úpravami účinnými od 10. júla 2027. Prechodné ustanovenie upravuje postup pri konaniach o priestupkoch a iných správnych deliktoch, ktoré boli začaté pred nadobudnutím účinnosti navrhovanej právnej úpravy a do tohto dňa neboli právoplatne skončené.</w:t>
      </w:r>
    </w:p>
    <w:p w14:paraId="59AA7CCD" w14:textId="7D9F496E" w:rsidR="42B6F981" w:rsidRDefault="42B6F981" w:rsidP="070BDBF9">
      <w:pPr>
        <w:spacing w:after="0"/>
        <w:jc w:val="center"/>
        <w:rPr>
          <w:rFonts w:ascii="Times New Roman" w:hAnsi="Times New Roman"/>
          <w:b/>
          <w:bCs/>
          <w:sz w:val="24"/>
          <w:szCs w:val="24"/>
          <w:highlight w:val="yellow"/>
          <w:u w:val="single"/>
        </w:rPr>
      </w:pPr>
    </w:p>
    <w:p w14:paraId="67500DD2" w14:textId="742DF20C" w:rsidR="42B6F981" w:rsidRPr="00512478" w:rsidRDefault="382F503D" w:rsidP="6405D0E6">
      <w:pPr>
        <w:spacing w:line="257" w:lineRule="auto"/>
        <w:jc w:val="center"/>
        <w:rPr>
          <w:rFonts w:ascii="Times New Roman" w:hAnsi="Times New Roman"/>
          <w:b/>
          <w:bCs/>
          <w:sz w:val="24"/>
          <w:szCs w:val="24"/>
        </w:rPr>
      </w:pPr>
      <w:r w:rsidRPr="00512478">
        <w:rPr>
          <w:rFonts w:ascii="Times New Roman" w:hAnsi="Times New Roman"/>
          <w:b/>
          <w:bCs/>
          <w:sz w:val="24"/>
          <w:szCs w:val="24"/>
        </w:rPr>
        <w:t>Čl. XXI</w:t>
      </w:r>
      <w:r w:rsidR="61986511" w:rsidRPr="00512478">
        <w:rPr>
          <w:rFonts w:ascii="Times New Roman" w:hAnsi="Times New Roman"/>
          <w:b/>
          <w:bCs/>
          <w:sz w:val="24"/>
          <w:szCs w:val="24"/>
        </w:rPr>
        <w:t>V</w:t>
      </w:r>
    </w:p>
    <w:p w14:paraId="235A50A8" w14:textId="7580FC68" w:rsidR="4E09FFE8" w:rsidRDefault="649D4F25" w:rsidP="070BDBF9">
      <w:pPr>
        <w:spacing w:after="0"/>
        <w:jc w:val="center"/>
        <w:rPr>
          <w:rFonts w:ascii="Times New Roman" w:hAnsi="Times New Roman"/>
          <w:b/>
          <w:bCs/>
          <w:sz w:val="24"/>
          <w:szCs w:val="24"/>
        </w:rPr>
      </w:pPr>
      <w:r w:rsidRPr="004E4256">
        <w:rPr>
          <w:rFonts w:ascii="Times New Roman" w:hAnsi="Times New Roman"/>
          <w:b/>
          <w:bCs/>
          <w:sz w:val="24"/>
          <w:szCs w:val="24"/>
        </w:rPr>
        <w:t>Zákon č. 123/2022 Z. z. o centrálnom registri účtov</w:t>
      </w:r>
    </w:p>
    <w:p w14:paraId="3B694E4E" w14:textId="19A9B48F" w:rsidR="0044EB2E" w:rsidRDefault="0044EB2E" w:rsidP="004E4256">
      <w:pPr>
        <w:spacing w:after="0"/>
        <w:jc w:val="both"/>
      </w:pPr>
      <w:r w:rsidRPr="004E4256">
        <w:rPr>
          <w:rFonts w:ascii="Times New Roman" w:hAnsi="Times New Roman"/>
          <w:b/>
          <w:bCs/>
          <w:sz w:val="24"/>
          <w:szCs w:val="24"/>
        </w:rPr>
        <w:t>K bodom 1 až 3</w:t>
      </w:r>
    </w:p>
    <w:p w14:paraId="595ECEF3" w14:textId="77362735" w:rsidR="0044EB2E" w:rsidRDefault="0044EB2E" w:rsidP="004E4256">
      <w:pPr>
        <w:spacing w:after="0"/>
        <w:jc w:val="both"/>
      </w:pPr>
      <w:r w:rsidRPr="004E4256">
        <w:rPr>
          <w:rFonts w:ascii="Times New Roman" w:hAnsi="Times New Roman"/>
          <w:sz w:val="24"/>
          <w:szCs w:val="24"/>
        </w:rPr>
        <w:t xml:space="preserve"> </w:t>
      </w:r>
    </w:p>
    <w:p w14:paraId="2AB56931" w14:textId="6277DEEC" w:rsidR="0044EB2E" w:rsidRDefault="4309510D" w:rsidP="004E4256">
      <w:pPr>
        <w:spacing w:after="0"/>
        <w:jc w:val="both"/>
      </w:pPr>
      <w:r w:rsidRPr="23BE041E">
        <w:rPr>
          <w:rFonts w:ascii="Times New Roman" w:hAnsi="Times New Roman"/>
          <w:sz w:val="24"/>
          <w:szCs w:val="24"/>
        </w:rPr>
        <w:t xml:space="preserve">Navrhovanou úpravou § 2 sa transponuje </w:t>
      </w:r>
      <w:r w:rsidR="7DDF8A27" w:rsidRPr="23BE041E">
        <w:rPr>
          <w:rFonts w:ascii="Times New Roman" w:hAnsi="Times New Roman"/>
          <w:sz w:val="24"/>
          <w:szCs w:val="24"/>
        </w:rPr>
        <w:t>č</w:t>
      </w:r>
      <w:r w:rsidRPr="23BE041E">
        <w:rPr>
          <w:rFonts w:ascii="Times New Roman" w:hAnsi="Times New Roman"/>
          <w:sz w:val="24"/>
          <w:szCs w:val="24"/>
        </w:rPr>
        <w:t xml:space="preserve">l. 16 </w:t>
      </w:r>
      <w:r w:rsidR="01A7DCB2" w:rsidRPr="23BE041E">
        <w:rPr>
          <w:rFonts w:ascii="Times New Roman" w:hAnsi="Times New Roman"/>
          <w:sz w:val="24"/>
          <w:szCs w:val="24"/>
        </w:rPr>
        <w:t>s</w:t>
      </w:r>
      <w:r w:rsidRPr="23BE041E">
        <w:rPr>
          <w:rFonts w:ascii="Times New Roman" w:hAnsi="Times New Roman"/>
          <w:sz w:val="24"/>
          <w:szCs w:val="24"/>
        </w:rPr>
        <w:t>mernic</w:t>
      </w:r>
      <w:r w:rsidR="2350B415" w:rsidRPr="23BE041E">
        <w:rPr>
          <w:rFonts w:ascii="Times New Roman" w:hAnsi="Times New Roman"/>
          <w:sz w:val="24"/>
          <w:szCs w:val="24"/>
        </w:rPr>
        <w:t>e</w:t>
      </w:r>
      <w:r w:rsidRPr="23BE041E">
        <w:rPr>
          <w:rFonts w:ascii="Times New Roman" w:hAnsi="Times New Roman"/>
          <w:sz w:val="24"/>
          <w:szCs w:val="24"/>
        </w:rPr>
        <w:t xml:space="preserve"> (EÚ) 2024/1640, na základe ktorého je potrebné rozšíriť osoby, ktoré sú povinné zasielať údaje do centrálneho registra účtov o poskytovateľov služieb </w:t>
      </w:r>
      <w:proofErr w:type="spellStart"/>
      <w:r w:rsidRPr="23BE041E">
        <w:rPr>
          <w:rFonts w:ascii="Times New Roman" w:hAnsi="Times New Roman"/>
          <w:sz w:val="24"/>
          <w:szCs w:val="24"/>
        </w:rPr>
        <w:t>kryptoaktív</w:t>
      </w:r>
      <w:proofErr w:type="spellEnd"/>
      <w:r w:rsidRPr="23BE041E">
        <w:rPr>
          <w:rFonts w:ascii="Times New Roman" w:hAnsi="Times New Roman"/>
          <w:sz w:val="24"/>
          <w:szCs w:val="24"/>
        </w:rPr>
        <w:t xml:space="preserve"> poskytujúcich úschovu a správu </w:t>
      </w:r>
      <w:proofErr w:type="spellStart"/>
      <w:r w:rsidRPr="23BE041E">
        <w:rPr>
          <w:rFonts w:ascii="Times New Roman" w:hAnsi="Times New Roman"/>
          <w:sz w:val="24"/>
          <w:szCs w:val="24"/>
        </w:rPr>
        <w:t>kryptoaktív</w:t>
      </w:r>
      <w:proofErr w:type="spellEnd"/>
      <w:r w:rsidRPr="23BE041E">
        <w:rPr>
          <w:rFonts w:ascii="Times New Roman" w:hAnsi="Times New Roman"/>
          <w:sz w:val="24"/>
          <w:szCs w:val="24"/>
        </w:rPr>
        <w:t xml:space="preserve"> v mene klienta. Jedná sa o nové druhy subjektov finančného trhu, ktoré boli zavedené ako odpoveď na dynamické prenikanie nových technológií, v tomto prípade technológie distribuovaného zápisu. Zároveň sa rozširuje definícia účtu o účty úschovy a správy </w:t>
      </w:r>
      <w:proofErr w:type="spellStart"/>
      <w:r w:rsidRPr="23BE041E">
        <w:rPr>
          <w:rFonts w:ascii="Times New Roman" w:hAnsi="Times New Roman"/>
          <w:sz w:val="24"/>
          <w:szCs w:val="24"/>
        </w:rPr>
        <w:t>kryptoaktív</w:t>
      </w:r>
      <w:proofErr w:type="spellEnd"/>
      <w:r w:rsidRPr="23BE041E">
        <w:rPr>
          <w:rFonts w:ascii="Times New Roman" w:hAnsi="Times New Roman"/>
          <w:sz w:val="24"/>
          <w:szCs w:val="24"/>
        </w:rPr>
        <w:t xml:space="preserve">, držiteľské účty zaknihovaných cenných papierov a evidenciu obchodníka s cennými papiermi tak, aby bolo možné identifikovať účty </w:t>
      </w:r>
      <w:proofErr w:type="spellStart"/>
      <w:r w:rsidRPr="23BE041E">
        <w:rPr>
          <w:rFonts w:ascii="Times New Roman" w:hAnsi="Times New Roman"/>
          <w:sz w:val="24"/>
          <w:szCs w:val="24"/>
        </w:rPr>
        <w:t>kryptoaktív</w:t>
      </w:r>
      <w:proofErr w:type="spellEnd"/>
      <w:r w:rsidRPr="23BE041E">
        <w:rPr>
          <w:rFonts w:ascii="Times New Roman" w:hAnsi="Times New Roman"/>
          <w:sz w:val="24"/>
          <w:szCs w:val="24"/>
        </w:rPr>
        <w:t xml:space="preserve"> a cenných papierov v súlade s európskou legislatívou, ktorých zahrnutie do centrálneho registra účtov doposiaľ absentovalo. Ustanovenia </w:t>
      </w:r>
      <w:r w:rsidR="0A4DA5AE" w:rsidRPr="23BE041E">
        <w:rPr>
          <w:rFonts w:ascii="Times New Roman" w:hAnsi="Times New Roman"/>
          <w:sz w:val="24"/>
          <w:szCs w:val="24"/>
        </w:rPr>
        <w:t>s</w:t>
      </w:r>
      <w:r w:rsidRPr="23BE041E">
        <w:rPr>
          <w:rFonts w:ascii="Times New Roman" w:hAnsi="Times New Roman"/>
          <w:sz w:val="24"/>
          <w:szCs w:val="24"/>
        </w:rPr>
        <w:t>mernice</w:t>
      </w:r>
      <w:r w:rsidR="2EBDEF7B" w:rsidRPr="23BE041E">
        <w:rPr>
          <w:rFonts w:ascii="Times New Roman" w:hAnsi="Times New Roman"/>
          <w:sz w:val="24"/>
          <w:szCs w:val="24"/>
        </w:rPr>
        <w:t xml:space="preserve"> (EÚ)</w:t>
      </w:r>
      <w:r w:rsidRPr="23BE041E">
        <w:rPr>
          <w:rFonts w:ascii="Times New Roman" w:hAnsi="Times New Roman"/>
          <w:sz w:val="24"/>
          <w:szCs w:val="24"/>
        </w:rPr>
        <w:t xml:space="preserve"> 2024/1640 však ich zahrnutie vyslovene vyžaduje.</w:t>
      </w:r>
    </w:p>
    <w:p w14:paraId="7F50B0A5" w14:textId="3F2B21BF" w:rsidR="0044EB2E" w:rsidRDefault="0044EB2E" w:rsidP="004E4256">
      <w:pPr>
        <w:spacing w:after="0"/>
        <w:jc w:val="both"/>
      </w:pPr>
      <w:r w:rsidRPr="004E4256">
        <w:rPr>
          <w:rFonts w:ascii="Times New Roman" w:hAnsi="Times New Roman"/>
          <w:sz w:val="24"/>
          <w:szCs w:val="24"/>
        </w:rPr>
        <w:t xml:space="preserve"> </w:t>
      </w:r>
    </w:p>
    <w:p w14:paraId="5F367C03" w14:textId="267D7388" w:rsidR="0044EB2E" w:rsidRDefault="0044EB2E" w:rsidP="004E4256">
      <w:pPr>
        <w:spacing w:after="0"/>
        <w:jc w:val="both"/>
      </w:pPr>
      <w:r w:rsidRPr="004E4256">
        <w:rPr>
          <w:rFonts w:ascii="Times New Roman" w:hAnsi="Times New Roman"/>
          <w:b/>
          <w:bCs/>
          <w:sz w:val="24"/>
          <w:szCs w:val="24"/>
        </w:rPr>
        <w:t>K bodu 4</w:t>
      </w:r>
    </w:p>
    <w:p w14:paraId="73C4AC9F" w14:textId="357AFB97" w:rsidR="0044EB2E" w:rsidRDefault="0044EB2E" w:rsidP="004E4256">
      <w:pPr>
        <w:spacing w:after="0"/>
        <w:jc w:val="both"/>
      </w:pPr>
      <w:r w:rsidRPr="004E4256">
        <w:rPr>
          <w:rFonts w:ascii="Times New Roman" w:hAnsi="Times New Roman"/>
          <w:color w:val="000000" w:themeColor="text1"/>
          <w:sz w:val="24"/>
          <w:szCs w:val="24"/>
        </w:rPr>
        <w:t xml:space="preserve"> </w:t>
      </w:r>
    </w:p>
    <w:p w14:paraId="6A4BFF2E" w14:textId="29DBECD8" w:rsidR="0044EB2E" w:rsidRDefault="4309510D" w:rsidP="004E4256">
      <w:pPr>
        <w:spacing w:after="0"/>
        <w:jc w:val="both"/>
      </w:pPr>
      <w:r w:rsidRPr="23BE041E">
        <w:rPr>
          <w:rFonts w:ascii="Times New Roman" w:hAnsi="Times New Roman"/>
          <w:sz w:val="24"/>
          <w:szCs w:val="24"/>
        </w:rPr>
        <w:lastRenderedPageBreak/>
        <w:t xml:space="preserve">Navrhovaná úprava transponuje </w:t>
      </w:r>
      <w:r w:rsidR="6AAF7974" w:rsidRPr="23BE041E">
        <w:rPr>
          <w:rFonts w:ascii="Times New Roman" w:hAnsi="Times New Roman"/>
          <w:sz w:val="24"/>
          <w:szCs w:val="24"/>
        </w:rPr>
        <w:t>č</w:t>
      </w:r>
      <w:r w:rsidRPr="23BE041E">
        <w:rPr>
          <w:rFonts w:ascii="Times New Roman" w:hAnsi="Times New Roman"/>
          <w:sz w:val="24"/>
          <w:szCs w:val="24"/>
        </w:rPr>
        <w:t xml:space="preserve">l. 16 ods. 3 písm. a) </w:t>
      </w:r>
      <w:r w:rsidR="2C77AAE5" w:rsidRPr="23BE041E">
        <w:rPr>
          <w:rFonts w:ascii="Times New Roman" w:hAnsi="Times New Roman"/>
          <w:sz w:val="24"/>
          <w:szCs w:val="24"/>
        </w:rPr>
        <w:t>s</w:t>
      </w:r>
      <w:r w:rsidRPr="23BE041E">
        <w:rPr>
          <w:rFonts w:ascii="Times New Roman" w:hAnsi="Times New Roman"/>
          <w:sz w:val="24"/>
          <w:szCs w:val="24"/>
        </w:rPr>
        <w:t>mernice</w:t>
      </w:r>
      <w:r w:rsidR="67F358F7" w:rsidRPr="23BE041E">
        <w:rPr>
          <w:rFonts w:ascii="Times New Roman" w:hAnsi="Times New Roman"/>
          <w:sz w:val="24"/>
          <w:szCs w:val="24"/>
        </w:rPr>
        <w:t xml:space="preserve"> (EÚ)</w:t>
      </w:r>
      <w:r w:rsidRPr="23BE041E">
        <w:rPr>
          <w:rFonts w:ascii="Times New Roman" w:hAnsi="Times New Roman"/>
          <w:sz w:val="24"/>
          <w:szCs w:val="24"/>
        </w:rPr>
        <w:t xml:space="preserve"> 2024/1640 v súvislosti s rozšírením druhov údajov zasielaných do centrálneho registra účtov. Na základe znenia čl. 16 ods. 3 písm. a) </w:t>
      </w:r>
      <w:r w:rsidR="0D06831B" w:rsidRPr="23BE041E">
        <w:rPr>
          <w:rFonts w:ascii="Times New Roman" w:hAnsi="Times New Roman"/>
          <w:sz w:val="24"/>
          <w:szCs w:val="24"/>
        </w:rPr>
        <w:t>s</w:t>
      </w:r>
      <w:r w:rsidRPr="23BE041E">
        <w:rPr>
          <w:rFonts w:ascii="Times New Roman" w:hAnsi="Times New Roman"/>
          <w:sz w:val="24"/>
          <w:szCs w:val="24"/>
        </w:rPr>
        <w:t xml:space="preserve">mernice </w:t>
      </w:r>
      <w:r w:rsidR="519186DB" w:rsidRPr="23BE041E">
        <w:rPr>
          <w:rFonts w:ascii="Times New Roman" w:hAnsi="Times New Roman"/>
          <w:sz w:val="24"/>
          <w:szCs w:val="24"/>
        </w:rPr>
        <w:t xml:space="preserve">(EÚ) </w:t>
      </w:r>
      <w:r w:rsidRPr="23BE041E">
        <w:rPr>
          <w:rFonts w:ascii="Times New Roman" w:hAnsi="Times New Roman"/>
          <w:sz w:val="24"/>
          <w:szCs w:val="24"/>
        </w:rPr>
        <w:t xml:space="preserve">2024/1640 je potrebné rozšíriť zasielané údaje o ostatné identifikačné údaje klientov a konečných užívateľov výhod definované v čl. 22. ods. 1 nariadenia (EÚ) 2024/1624, ako aj dátumy, keď osoba, ktorá tvrdí, že koná v mene klienta, získala alebo stratila právomoc konať v mene tohto klienta a dátumy, keď sa fyzická osoba stala a v príslušných prípadoch prestala byť konečným užívateľom výhod klientskeho účtu. Spresňuje sa tiež povinnosť zapisovať do centrálneho registra účtov celé meno a priezvisko. Jedná sa o úpravu vychádzajúcu z </w:t>
      </w:r>
      <w:r w:rsidR="38711F46" w:rsidRPr="23BE041E">
        <w:rPr>
          <w:rFonts w:ascii="Times New Roman" w:hAnsi="Times New Roman"/>
          <w:sz w:val="24"/>
          <w:szCs w:val="24"/>
        </w:rPr>
        <w:t>č</w:t>
      </w:r>
      <w:r w:rsidRPr="23BE041E">
        <w:rPr>
          <w:rFonts w:ascii="Times New Roman" w:hAnsi="Times New Roman"/>
          <w:sz w:val="24"/>
          <w:szCs w:val="24"/>
        </w:rPr>
        <w:t xml:space="preserve">l. 22 nariadenia (EÚ) 2024/1624, ktoré vyžaduje od povinných osôb zisťovať všetky mená a priezviská fyzických osôb. Uvedenú povinnosť je potrebné vykladať v súlade so znením § 12a, ktorý ustanovuje, že osoby povinné zasielať údaje do centrálneho registra účtov tak robia len v prípade, ak tieto údaje evidujú vo svojich systémoch. </w:t>
      </w:r>
    </w:p>
    <w:p w14:paraId="682FE2FC" w14:textId="75A08A1B" w:rsidR="0044EB2E" w:rsidRDefault="0044EB2E" w:rsidP="004E4256">
      <w:pPr>
        <w:spacing w:after="0"/>
        <w:jc w:val="both"/>
      </w:pPr>
      <w:r w:rsidRPr="004E4256">
        <w:rPr>
          <w:rFonts w:ascii="Times New Roman" w:hAnsi="Times New Roman"/>
          <w:color w:val="000000" w:themeColor="text1"/>
          <w:sz w:val="24"/>
          <w:szCs w:val="24"/>
        </w:rPr>
        <w:t xml:space="preserve"> </w:t>
      </w:r>
    </w:p>
    <w:p w14:paraId="005BD20B" w14:textId="6AA5D2EA" w:rsidR="0044EB2E" w:rsidRDefault="0044EB2E" w:rsidP="004E4256">
      <w:pPr>
        <w:spacing w:after="0"/>
        <w:jc w:val="both"/>
      </w:pPr>
      <w:r w:rsidRPr="004E4256">
        <w:rPr>
          <w:rFonts w:ascii="Times New Roman" w:hAnsi="Times New Roman"/>
          <w:color w:val="000000" w:themeColor="text1"/>
          <w:sz w:val="24"/>
          <w:szCs w:val="24"/>
        </w:rPr>
        <w:t>V navrhovanom znení § 4 sa tiež riešia niektoré právne vzťahy vznikajúce pri integrácii novej finančnej inštitúcie a zmenách integrácie už existujúcej finančnej inštitúcie do centrálneho registra účtov. Časť z nich sú ustanovenia prenesené do návrhu zákona z vyhlášky a teda sa nejedná o novú právnu úpravu, ale o ustanovenie, ktoré už finančné inštitúcie, Národná banka Slovenska a centrálny depozitár cenných papierov aplikujú v súčasnosti.</w:t>
      </w:r>
    </w:p>
    <w:p w14:paraId="5DEC8159" w14:textId="21CBEF4F" w:rsidR="0044EB2E" w:rsidRDefault="0044EB2E" w:rsidP="004E4256">
      <w:pPr>
        <w:spacing w:after="0"/>
        <w:jc w:val="both"/>
      </w:pPr>
      <w:r w:rsidRPr="004E4256">
        <w:rPr>
          <w:rFonts w:ascii="Times New Roman" w:hAnsi="Times New Roman"/>
          <w:color w:val="000000" w:themeColor="text1"/>
          <w:sz w:val="24"/>
          <w:szCs w:val="24"/>
        </w:rPr>
        <w:t xml:space="preserve"> </w:t>
      </w:r>
    </w:p>
    <w:p w14:paraId="20320E61" w14:textId="7D741CF4" w:rsidR="0044EB2E" w:rsidRDefault="0044EB2E" w:rsidP="004E4256">
      <w:pPr>
        <w:spacing w:after="0"/>
        <w:jc w:val="both"/>
      </w:pPr>
      <w:r w:rsidRPr="004E4256">
        <w:rPr>
          <w:rFonts w:ascii="Times New Roman" w:hAnsi="Times New Roman"/>
          <w:color w:val="000000" w:themeColor="text1"/>
          <w:sz w:val="24"/>
          <w:szCs w:val="24"/>
        </w:rPr>
        <w:t>Navrhované znenie § 4 upravuje proces integrácie finančných inštitúcií do centrálneho registra účtov. Hlavným formálnym nástrojom na začatie integračného procesu je dohoda o integračnom zámere. Tú sú všetky nové inštitúcie povinné s Ministerstvom financií Slovenskej republiky (ďalej len „ministerstvo“) podpísať, pričom platí, že podpis je len začiatkom integračného procesu a malo by k nemu dôjsť niekoľko mesiacov pred plánovaným začiatkom činnosti finančnej inštitúcie. Proces integrácie je totiž komplikovaný a trvá približne šesť mesiacov. Pristupujúca inštitúcia by si preto mala ponechať dostatočný časový priestor na celý integračný proces a to ideálne šesť alebo viac mesiacov. Uvedená časová náročnosť je spôsobená aj skutočnosťou, že integračný manuál, ktorý obsahuje podrobnosti a technické popisy integrácie dostane finančná inštitúcia až po podpise dohody o integračnom zámere. To je spôsobené bezpečnostnými obmedzeniami, nakoľko integračný manuál obsahuje informácie, ktoré môžu byť sprístupnené inštitúciám až po tom, ako sa zaviažu chrániť integritu centrálneho registra účtov, k čomu ochrana informácií obsiahnutých v integračnom manuály o technických parametroch fungovania centrálneho registra účtov, bezpochyby patrí.</w:t>
      </w:r>
    </w:p>
    <w:p w14:paraId="653C7A03" w14:textId="1FA112AE" w:rsidR="0044EB2E" w:rsidRDefault="0044EB2E" w:rsidP="004E4256">
      <w:pPr>
        <w:spacing w:after="0"/>
        <w:jc w:val="both"/>
      </w:pPr>
      <w:r w:rsidRPr="004E4256">
        <w:rPr>
          <w:rFonts w:ascii="Times New Roman" w:hAnsi="Times New Roman"/>
          <w:color w:val="000000" w:themeColor="text1"/>
          <w:sz w:val="24"/>
          <w:szCs w:val="24"/>
        </w:rPr>
        <w:t xml:space="preserve"> </w:t>
      </w:r>
    </w:p>
    <w:p w14:paraId="2989D418" w14:textId="1E6AA242" w:rsidR="0044EB2E" w:rsidRDefault="0044EB2E" w:rsidP="004E4256">
      <w:pPr>
        <w:spacing w:after="0"/>
        <w:jc w:val="both"/>
      </w:pPr>
      <w:r w:rsidRPr="004E4256">
        <w:rPr>
          <w:rFonts w:ascii="Times New Roman" w:hAnsi="Times New Roman"/>
          <w:sz w:val="24"/>
          <w:szCs w:val="24"/>
        </w:rPr>
        <w:t xml:space="preserve">Návrhom novely zákona sa tiež odstraňujú problémy zistené aplikačnou praxou. Zavádza sa možnosť pre ministerstvo ako prevádzkovateľa centrálneho registra účtov v súčinnosti s finančnou inštitúciou, Národnou bankou Slovenska alebo s centrálnym depozitárom cenných papierov vstupovať do centrálneho registra účtov a vykonávať </w:t>
      </w:r>
      <w:proofErr w:type="spellStart"/>
      <w:r w:rsidRPr="004E4256">
        <w:rPr>
          <w:rFonts w:ascii="Times New Roman" w:hAnsi="Times New Roman"/>
          <w:sz w:val="24"/>
          <w:szCs w:val="24"/>
        </w:rPr>
        <w:t>zneplatnenie</w:t>
      </w:r>
      <w:proofErr w:type="spellEnd"/>
      <w:r w:rsidRPr="004E4256">
        <w:rPr>
          <w:rFonts w:ascii="Times New Roman" w:hAnsi="Times New Roman"/>
          <w:sz w:val="24"/>
          <w:szCs w:val="24"/>
        </w:rPr>
        <w:t xml:space="preserve"> údajov tak, aby bola zaistená integrita a kontinuita údajov a aj samotnej prevádzky centrálneho registra účtov. Rovnaká možnosť sa poskytuje aj finančnej inštitúcií, Národnej banke Slovenska a centrálnemu depozitáru cenných papierov v prípade, ak identifikujú nesprávnosť údajov vedených v centrálnom registri účtov (resp. nesprávne zaslali údaje do centrálneho registra účtov). Aj v tomto prípade sa jedná len o možnosť </w:t>
      </w:r>
      <w:proofErr w:type="spellStart"/>
      <w:r w:rsidRPr="004E4256">
        <w:rPr>
          <w:rFonts w:ascii="Times New Roman" w:hAnsi="Times New Roman"/>
          <w:sz w:val="24"/>
          <w:szCs w:val="24"/>
        </w:rPr>
        <w:t>zneplatnenia</w:t>
      </w:r>
      <w:proofErr w:type="spellEnd"/>
      <w:r w:rsidRPr="004E4256">
        <w:rPr>
          <w:rFonts w:ascii="Times New Roman" w:hAnsi="Times New Roman"/>
          <w:sz w:val="24"/>
          <w:szCs w:val="24"/>
        </w:rPr>
        <w:t xml:space="preserve"> údajov, nie o ich zmenu. O takto navrhovaných zásahoch do systému sa budú viesť logy pre potreby spätnej kontroly.</w:t>
      </w:r>
    </w:p>
    <w:p w14:paraId="43CA317B" w14:textId="5D8797EF" w:rsidR="0044EB2E" w:rsidRDefault="0044EB2E" w:rsidP="004E4256">
      <w:pPr>
        <w:spacing w:after="0"/>
        <w:jc w:val="both"/>
      </w:pPr>
      <w:r w:rsidRPr="004E4256">
        <w:rPr>
          <w:rFonts w:ascii="Times New Roman" w:hAnsi="Times New Roman"/>
          <w:color w:val="000000" w:themeColor="text1"/>
          <w:sz w:val="24"/>
          <w:szCs w:val="24"/>
        </w:rPr>
        <w:t xml:space="preserve"> </w:t>
      </w:r>
    </w:p>
    <w:p w14:paraId="19DEE121" w14:textId="7134C32A" w:rsidR="0044EB2E" w:rsidRDefault="0044EB2E" w:rsidP="004E4256">
      <w:pPr>
        <w:spacing w:after="0"/>
        <w:jc w:val="both"/>
      </w:pPr>
      <w:r w:rsidRPr="004E4256">
        <w:rPr>
          <w:rFonts w:ascii="Times New Roman" w:hAnsi="Times New Roman"/>
          <w:b/>
          <w:bCs/>
          <w:sz w:val="24"/>
          <w:szCs w:val="24"/>
        </w:rPr>
        <w:t>K bodu 5</w:t>
      </w:r>
    </w:p>
    <w:p w14:paraId="5DA48BD8" w14:textId="30A5469E" w:rsidR="0044EB2E" w:rsidRDefault="0044EB2E" w:rsidP="004E4256">
      <w:pPr>
        <w:spacing w:after="0"/>
        <w:jc w:val="both"/>
      </w:pPr>
      <w:r w:rsidRPr="004E4256">
        <w:rPr>
          <w:rFonts w:ascii="Times New Roman" w:hAnsi="Times New Roman"/>
          <w:b/>
          <w:bCs/>
          <w:sz w:val="24"/>
          <w:szCs w:val="24"/>
        </w:rPr>
        <w:lastRenderedPageBreak/>
        <w:t xml:space="preserve"> </w:t>
      </w:r>
    </w:p>
    <w:p w14:paraId="2AE341DC" w14:textId="39CF5F33" w:rsidR="0044EB2E" w:rsidRDefault="0044EB2E" w:rsidP="004E4256">
      <w:pPr>
        <w:spacing w:after="0"/>
        <w:jc w:val="both"/>
      </w:pPr>
      <w:r w:rsidRPr="004E4256">
        <w:rPr>
          <w:rFonts w:ascii="Times New Roman" w:hAnsi="Times New Roman"/>
          <w:sz w:val="24"/>
          <w:szCs w:val="24"/>
        </w:rPr>
        <w:t>Jedná sa o legislatívno-technickú zmenu v súvislosti s prijatím nového zákona o ochrane pred legalizáciou príjmov z trestnej činnosti a o ochrane pred financovaním terorizmu.</w:t>
      </w:r>
    </w:p>
    <w:p w14:paraId="64D3035C" w14:textId="2EF1424A" w:rsidR="0044EB2E" w:rsidRDefault="0044EB2E" w:rsidP="004E4256">
      <w:pPr>
        <w:spacing w:after="0"/>
        <w:jc w:val="both"/>
      </w:pPr>
      <w:r w:rsidRPr="004E4256">
        <w:rPr>
          <w:rFonts w:ascii="Times New Roman" w:hAnsi="Times New Roman"/>
          <w:sz w:val="24"/>
          <w:szCs w:val="24"/>
        </w:rPr>
        <w:t xml:space="preserve"> </w:t>
      </w:r>
    </w:p>
    <w:p w14:paraId="13E09FB4" w14:textId="01F179B9" w:rsidR="0044EB2E" w:rsidRDefault="0044EB2E" w:rsidP="004E4256">
      <w:pPr>
        <w:spacing w:after="0"/>
        <w:jc w:val="both"/>
      </w:pPr>
      <w:r w:rsidRPr="004E4256">
        <w:rPr>
          <w:rFonts w:ascii="Times New Roman" w:hAnsi="Times New Roman"/>
          <w:b/>
          <w:bCs/>
          <w:sz w:val="24"/>
          <w:szCs w:val="24"/>
        </w:rPr>
        <w:t>K bodu 6</w:t>
      </w:r>
    </w:p>
    <w:p w14:paraId="02DF4AB7" w14:textId="2AA28878" w:rsidR="0044EB2E" w:rsidRDefault="0044EB2E" w:rsidP="004E4256">
      <w:pPr>
        <w:spacing w:after="0"/>
        <w:jc w:val="both"/>
      </w:pPr>
      <w:r w:rsidRPr="004E4256">
        <w:rPr>
          <w:rFonts w:ascii="Times New Roman" w:hAnsi="Times New Roman"/>
          <w:sz w:val="24"/>
          <w:szCs w:val="24"/>
        </w:rPr>
        <w:t xml:space="preserve"> </w:t>
      </w:r>
    </w:p>
    <w:p w14:paraId="32BF7604" w14:textId="75374F27" w:rsidR="0044EB2E" w:rsidRDefault="0044EB2E" w:rsidP="004E4256">
      <w:pPr>
        <w:spacing w:after="0"/>
        <w:jc w:val="both"/>
      </w:pPr>
      <w:r w:rsidRPr="004E4256">
        <w:rPr>
          <w:rFonts w:ascii="Times New Roman" w:hAnsi="Times New Roman"/>
          <w:sz w:val="24"/>
          <w:szCs w:val="24"/>
        </w:rPr>
        <w:t>Navrhovaným doplnení § 5 sa spresňuje znenie zákona s jednoznačným určením právomoci Národnej banky Slovenska oboznamovať sa s údajmi z centrálneho registra účtov na účely výkonu dohľadu.</w:t>
      </w:r>
    </w:p>
    <w:p w14:paraId="11B02BBF" w14:textId="1571CA4F" w:rsidR="0044EB2E" w:rsidRDefault="0044EB2E" w:rsidP="004E4256">
      <w:pPr>
        <w:spacing w:after="0"/>
        <w:jc w:val="both"/>
      </w:pPr>
      <w:r w:rsidRPr="004E4256">
        <w:rPr>
          <w:rFonts w:ascii="Times New Roman" w:hAnsi="Times New Roman"/>
          <w:sz w:val="24"/>
          <w:szCs w:val="24"/>
        </w:rPr>
        <w:t xml:space="preserve"> </w:t>
      </w:r>
    </w:p>
    <w:p w14:paraId="50EA3C28" w14:textId="76111943" w:rsidR="0044EB2E" w:rsidRDefault="0044EB2E" w:rsidP="004E4256">
      <w:pPr>
        <w:spacing w:after="0"/>
        <w:jc w:val="both"/>
      </w:pPr>
      <w:r w:rsidRPr="004E4256">
        <w:rPr>
          <w:rFonts w:ascii="Times New Roman" w:hAnsi="Times New Roman"/>
          <w:b/>
          <w:bCs/>
          <w:sz w:val="24"/>
          <w:szCs w:val="24"/>
        </w:rPr>
        <w:t>K bodu 7</w:t>
      </w:r>
    </w:p>
    <w:p w14:paraId="6A02858F" w14:textId="01143A35" w:rsidR="0044EB2E" w:rsidRDefault="0044EB2E" w:rsidP="004E4256">
      <w:pPr>
        <w:spacing w:after="0"/>
        <w:jc w:val="both"/>
      </w:pPr>
      <w:r w:rsidRPr="004E4256">
        <w:rPr>
          <w:rFonts w:ascii="Times New Roman" w:hAnsi="Times New Roman"/>
          <w:sz w:val="24"/>
          <w:szCs w:val="24"/>
        </w:rPr>
        <w:t xml:space="preserve"> </w:t>
      </w:r>
    </w:p>
    <w:p w14:paraId="5F386A5A" w14:textId="44F8A58A" w:rsidR="0044EB2E" w:rsidRDefault="0044EB2E" w:rsidP="004E4256">
      <w:pPr>
        <w:spacing w:after="0"/>
        <w:jc w:val="both"/>
      </w:pPr>
      <w:r w:rsidRPr="004E4256">
        <w:rPr>
          <w:rFonts w:ascii="Times New Roman" w:hAnsi="Times New Roman"/>
          <w:sz w:val="24"/>
          <w:szCs w:val="24"/>
        </w:rPr>
        <w:t>Vypustené časti § 5 tvoria, v prepracovanej podobe, súčasť navrhovaného nového § 5a.</w:t>
      </w:r>
    </w:p>
    <w:p w14:paraId="2DE04F21" w14:textId="45B5274B" w:rsidR="0044EB2E" w:rsidRDefault="0044EB2E" w:rsidP="004E4256">
      <w:pPr>
        <w:spacing w:after="0"/>
        <w:jc w:val="both"/>
      </w:pPr>
      <w:r w:rsidRPr="004E4256">
        <w:rPr>
          <w:rFonts w:ascii="Times New Roman" w:hAnsi="Times New Roman"/>
          <w:sz w:val="24"/>
          <w:szCs w:val="24"/>
        </w:rPr>
        <w:t xml:space="preserve"> </w:t>
      </w:r>
    </w:p>
    <w:p w14:paraId="62ECA9F4" w14:textId="2BE44494" w:rsidR="0044EB2E" w:rsidRDefault="0044EB2E" w:rsidP="004E4256">
      <w:pPr>
        <w:spacing w:after="0"/>
        <w:jc w:val="both"/>
      </w:pPr>
      <w:r w:rsidRPr="004E4256">
        <w:rPr>
          <w:rFonts w:ascii="Times New Roman" w:hAnsi="Times New Roman"/>
          <w:b/>
          <w:bCs/>
          <w:sz w:val="24"/>
          <w:szCs w:val="24"/>
        </w:rPr>
        <w:t>K bodu 8</w:t>
      </w:r>
    </w:p>
    <w:p w14:paraId="781902D6" w14:textId="72AD2653" w:rsidR="0044EB2E" w:rsidRDefault="0044EB2E" w:rsidP="004E4256">
      <w:pPr>
        <w:spacing w:after="0"/>
        <w:jc w:val="both"/>
      </w:pPr>
      <w:r w:rsidRPr="004E4256">
        <w:rPr>
          <w:rFonts w:ascii="Times New Roman" w:hAnsi="Times New Roman"/>
          <w:sz w:val="24"/>
          <w:szCs w:val="24"/>
        </w:rPr>
        <w:t xml:space="preserve"> </w:t>
      </w:r>
    </w:p>
    <w:p w14:paraId="7895C90A" w14:textId="332F326B" w:rsidR="0044EB2E" w:rsidRDefault="4309510D" w:rsidP="004E4256">
      <w:pPr>
        <w:spacing w:after="0"/>
        <w:jc w:val="both"/>
      </w:pPr>
      <w:r w:rsidRPr="23BE041E">
        <w:rPr>
          <w:rFonts w:ascii="Times New Roman" w:hAnsi="Times New Roman"/>
          <w:sz w:val="24"/>
          <w:szCs w:val="24"/>
        </w:rPr>
        <w:t xml:space="preserve">Návrh transponuje ustanovenie </w:t>
      </w:r>
      <w:r w:rsidR="79E16D8C" w:rsidRPr="23BE041E">
        <w:rPr>
          <w:rFonts w:ascii="Times New Roman" w:hAnsi="Times New Roman"/>
          <w:sz w:val="24"/>
          <w:szCs w:val="24"/>
        </w:rPr>
        <w:t>č</w:t>
      </w:r>
      <w:r w:rsidRPr="23BE041E">
        <w:rPr>
          <w:rFonts w:ascii="Times New Roman" w:hAnsi="Times New Roman"/>
          <w:sz w:val="24"/>
          <w:szCs w:val="24"/>
        </w:rPr>
        <w:t xml:space="preserve">l. 16 </w:t>
      </w:r>
      <w:r w:rsidR="5D02F698" w:rsidRPr="23BE041E">
        <w:rPr>
          <w:rFonts w:ascii="Times New Roman" w:hAnsi="Times New Roman"/>
          <w:sz w:val="24"/>
          <w:szCs w:val="24"/>
        </w:rPr>
        <w:t>s</w:t>
      </w:r>
      <w:r w:rsidRPr="23BE041E">
        <w:rPr>
          <w:rFonts w:ascii="Times New Roman" w:hAnsi="Times New Roman"/>
          <w:sz w:val="24"/>
          <w:szCs w:val="24"/>
        </w:rPr>
        <w:t>mernice</w:t>
      </w:r>
      <w:r w:rsidR="6943A946" w:rsidRPr="23BE041E">
        <w:rPr>
          <w:rFonts w:ascii="Times New Roman" w:hAnsi="Times New Roman"/>
          <w:sz w:val="24"/>
          <w:szCs w:val="24"/>
        </w:rPr>
        <w:t xml:space="preserve"> (EÚ)</w:t>
      </w:r>
      <w:r w:rsidRPr="23BE041E">
        <w:rPr>
          <w:rFonts w:ascii="Times New Roman" w:hAnsi="Times New Roman"/>
          <w:sz w:val="24"/>
          <w:szCs w:val="24"/>
        </w:rPr>
        <w:t xml:space="preserve"> 2024/1640 zavádzajúce virtuálny IBAN ako súčasť údajov pre potreby vyhľadávania v centrálnom registri účtov.</w:t>
      </w:r>
    </w:p>
    <w:p w14:paraId="1C339782" w14:textId="575EBFAC" w:rsidR="0044EB2E" w:rsidRDefault="0044EB2E" w:rsidP="004E4256">
      <w:pPr>
        <w:spacing w:after="0"/>
        <w:jc w:val="both"/>
      </w:pPr>
      <w:r w:rsidRPr="004E4256">
        <w:rPr>
          <w:rFonts w:ascii="Times New Roman" w:hAnsi="Times New Roman"/>
          <w:sz w:val="24"/>
          <w:szCs w:val="24"/>
        </w:rPr>
        <w:t xml:space="preserve"> </w:t>
      </w:r>
    </w:p>
    <w:p w14:paraId="44A00888" w14:textId="770D2FA5" w:rsidR="0044EB2E" w:rsidRDefault="0044EB2E" w:rsidP="004E4256">
      <w:pPr>
        <w:spacing w:after="0"/>
        <w:jc w:val="both"/>
      </w:pPr>
      <w:r w:rsidRPr="004E4256">
        <w:rPr>
          <w:rFonts w:ascii="Times New Roman" w:hAnsi="Times New Roman"/>
          <w:b/>
          <w:bCs/>
          <w:sz w:val="24"/>
          <w:szCs w:val="24"/>
        </w:rPr>
        <w:t>K bodu 9</w:t>
      </w:r>
    </w:p>
    <w:p w14:paraId="3DD53C9E" w14:textId="03F5F9CD" w:rsidR="0044EB2E" w:rsidRDefault="0044EB2E" w:rsidP="004E4256">
      <w:pPr>
        <w:spacing w:after="0"/>
        <w:jc w:val="both"/>
      </w:pPr>
      <w:r w:rsidRPr="004E4256">
        <w:rPr>
          <w:rFonts w:ascii="Times New Roman" w:hAnsi="Times New Roman"/>
          <w:sz w:val="24"/>
          <w:szCs w:val="24"/>
        </w:rPr>
        <w:t xml:space="preserve"> </w:t>
      </w:r>
    </w:p>
    <w:p w14:paraId="189BFB65" w14:textId="50CFD11C" w:rsidR="0044EB2E" w:rsidRDefault="0044EB2E" w:rsidP="004E4256">
      <w:pPr>
        <w:spacing w:after="0"/>
        <w:jc w:val="both"/>
      </w:pPr>
      <w:r w:rsidRPr="004E4256">
        <w:rPr>
          <w:rFonts w:ascii="Times New Roman" w:hAnsi="Times New Roman"/>
          <w:sz w:val="24"/>
          <w:szCs w:val="24"/>
        </w:rPr>
        <w:t>Návrh nového ustanovenia § 5a predstavuje komplexnú právnou úpravu požiadaviek na osoby – používateľov centrálneho registra účtov, ktoré žiadajú o prístup k údajom z centrálneho registra účtov. Úprava zákona kladie veľký dôraz na ochranu údajov v centrálnom registri účtov. Tie predstavujú súbor osobných údajov fyzických osôb a údajov tvoriacich predmet bankového tajomstva. Obidve kategórie týchto údajov požívajú v zákone vysokú úroveň ochrany. Preto aj navrhovaná úprava § 5a ucelene upravuje požiadavky, na základe splnenia ktorých môže byť používateľovi umožnené pristupovať k údajom z registra. Je možné konštatovať, že pre prístup k údajom z centrálneho registra účtov platí zásada „</w:t>
      </w:r>
      <w:proofErr w:type="spellStart"/>
      <w:r w:rsidRPr="004E4256">
        <w:rPr>
          <w:rFonts w:ascii="Times New Roman" w:hAnsi="Times New Roman"/>
          <w:sz w:val="24"/>
          <w:szCs w:val="24"/>
        </w:rPr>
        <w:t>need</w:t>
      </w:r>
      <w:proofErr w:type="spellEnd"/>
      <w:r w:rsidRPr="004E4256">
        <w:rPr>
          <w:rFonts w:ascii="Times New Roman" w:hAnsi="Times New Roman"/>
          <w:sz w:val="24"/>
          <w:szCs w:val="24"/>
        </w:rPr>
        <w:t>-to-</w:t>
      </w:r>
      <w:proofErr w:type="spellStart"/>
      <w:r w:rsidRPr="004E4256">
        <w:rPr>
          <w:rFonts w:ascii="Times New Roman" w:hAnsi="Times New Roman"/>
          <w:sz w:val="24"/>
          <w:szCs w:val="24"/>
        </w:rPr>
        <w:t>know</w:t>
      </w:r>
      <w:proofErr w:type="spellEnd"/>
      <w:r w:rsidRPr="004E4256">
        <w:rPr>
          <w:rFonts w:ascii="Times New Roman" w:hAnsi="Times New Roman"/>
          <w:sz w:val="24"/>
          <w:szCs w:val="24"/>
        </w:rPr>
        <w:t>“ teda zásada „potrebuješ vedieť“, podľa ktorej k údajom majú prístup len zamestnanci oprávnených subjektov vykonávajúci činnosti, ktoré vyžadujú oboznamovanie sa s údajmi z centrálneho registra. Zároveň musia byť preškolení v oblasti ochrany osobných údajov a bankového tajomstva a chránených údajov podľa osobitných predpisov. Poslednou a zásadnou podmienkou je podmienka zákonnosti. Prístup k údajom z registra musí spĺňať ustanovenia zákona a rovnako osobitných predpisov upravujúci prístup k údajom tvoriacim predmet bankového tajomstva a chráneným údajom. V prípade, ak používateľ prestane spĺňať požadované podmienky, napríklad ukončí pracovný alebo iný pomer s oprávneným subjektom alebo poruší zákon pri prístupe k údajom z registra, je tejto osobe ďalší prístup zrušený.</w:t>
      </w:r>
    </w:p>
    <w:p w14:paraId="689A7242" w14:textId="10C25815" w:rsidR="0044EB2E" w:rsidRDefault="0044EB2E" w:rsidP="004E4256">
      <w:pPr>
        <w:spacing w:after="0"/>
        <w:jc w:val="both"/>
      </w:pPr>
      <w:r w:rsidRPr="004E4256">
        <w:rPr>
          <w:rFonts w:ascii="Times New Roman" w:hAnsi="Times New Roman"/>
          <w:sz w:val="24"/>
          <w:szCs w:val="24"/>
        </w:rPr>
        <w:t xml:space="preserve"> </w:t>
      </w:r>
    </w:p>
    <w:p w14:paraId="64183C20" w14:textId="158AC802" w:rsidR="0044EB2E" w:rsidRDefault="0044EB2E" w:rsidP="004E4256">
      <w:pPr>
        <w:spacing w:after="0"/>
        <w:jc w:val="both"/>
      </w:pPr>
      <w:r w:rsidRPr="004E4256">
        <w:rPr>
          <w:rFonts w:ascii="Times New Roman" w:hAnsi="Times New Roman"/>
          <w:b/>
          <w:bCs/>
          <w:sz w:val="24"/>
          <w:szCs w:val="24"/>
        </w:rPr>
        <w:t>K bodu 10</w:t>
      </w:r>
    </w:p>
    <w:p w14:paraId="68B4ECD2" w14:textId="2EC9CAAD" w:rsidR="0044EB2E" w:rsidRDefault="0044EB2E" w:rsidP="004E4256">
      <w:pPr>
        <w:spacing w:after="0"/>
        <w:jc w:val="both"/>
      </w:pPr>
      <w:r w:rsidRPr="004E4256">
        <w:rPr>
          <w:rFonts w:ascii="Times New Roman" w:hAnsi="Times New Roman"/>
          <w:sz w:val="24"/>
          <w:szCs w:val="24"/>
        </w:rPr>
        <w:t xml:space="preserve"> </w:t>
      </w:r>
    </w:p>
    <w:p w14:paraId="20B357AB" w14:textId="653B9001" w:rsidR="0044EB2E" w:rsidRDefault="0044EB2E" w:rsidP="004E4256">
      <w:pPr>
        <w:spacing w:after="0"/>
        <w:jc w:val="both"/>
      </w:pPr>
      <w:r w:rsidRPr="004E4256">
        <w:rPr>
          <w:rFonts w:ascii="Times New Roman" w:hAnsi="Times New Roman"/>
          <w:sz w:val="24"/>
          <w:szCs w:val="24"/>
        </w:rPr>
        <w:t xml:space="preserve">Navrhované znenie § 6 prenáša do zákona opatrenia organizačnej, personálnej, kontrolnej a technickej povahy slúžiace na ochranu údajov obsiahnutých v centrálnom registri účtov a celkovo na zaistenie bezpečnosti a integrity centrálneho registra účtov. Jedná sa o opatrenia, ktoré boli doposiaľ upravené vo vyhláške (vyhláška Ministerstva financií Slovenskej republiky č. 15/2024 Z. z., ktorou sa vykonáva zákon o centrálnom registri účtov a o zmene a doplnení niektorých zákonov), pričom mali odporúčací charakter. Ustanovenia upravujú najmä opatrenia </w:t>
      </w:r>
      <w:r w:rsidRPr="004E4256">
        <w:rPr>
          <w:rFonts w:ascii="Times New Roman" w:hAnsi="Times New Roman"/>
          <w:sz w:val="24"/>
          <w:szCs w:val="24"/>
        </w:rPr>
        <w:lastRenderedPageBreak/>
        <w:t>slúžiace na zabezpečenie komunikácie medzi ministerstvom, oprávnenými subjektmi aj subjektmi zasielajúcimi do centrálneho registra účtov údaje. Tá je zabezpečená najmä zriadením kontaktných miest pre jednotlivé subjekty prioritne pre potreby riešenia technických požiadaviek na prevádzku systému, ako aj prípadných bezpečnostných incidentov. Za týmto účelom je dôležitou tiež kontrolná funkcia, ktorú musia zaviesť jednotlivé subjekty. Kontrolná funkcia by mala pozostávať z procesu nastaveného dovnútra danej inštitúcie s cieľom kontrolovať dodržiavanie podmienok a povinností ustanovených zákonom pre používanie centrálneho registra účtov. Nie je stanovená forma kontrolného mechanizmu. Je na jednotlivých inštitúciách, aby v súlade so zaužívanými procesmi a postupmi zabezpečili mechanizmus kontroly dodržiavania zákona. Či sa bude jednať o zriadenie samostatnej kontrolnej pozície alebo oddelenia, využitie stávajúcich kontrolných mechanizmov alebo vertikálnu procesnú kontrolu zabezpečovanú kontrolou vo vzťahu nadriadeného a podriadeného záleží od rozhodnutia konkrétnej inštitúcie.</w:t>
      </w:r>
    </w:p>
    <w:p w14:paraId="62EAD6CB" w14:textId="69B463CD" w:rsidR="0044EB2E" w:rsidRDefault="0044EB2E" w:rsidP="004E4256">
      <w:pPr>
        <w:spacing w:after="0"/>
        <w:jc w:val="both"/>
      </w:pPr>
      <w:r w:rsidRPr="004E4256">
        <w:rPr>
          <w:rFonts w:ascii="Times New Roman" w:hAnsi="Times New Roman"/>
          <w:sz w:val="24"/>
          <w:szCs w:val="24"/>
        </w:rPr>
        <w:t xml:space="preserve"> </w:t>
      </w:r>
    </w:p>
    <w:p w14:paraId="76CDF24E" w14:textId="7A771ABB" w:rsidR="0044EB2E" w:rsidRDefault="0044EB2E" w:rsidP="004E4256">
      <w:pPr>
        <w:spacing w:after="0"/>
        <w:jc w:val="both"/>
      </w:pPr>
      <w:r w:rsidRPr="004E4256">
        <w:rPr>
          <w:rFonts w:ascii="Times New Roman" w:hAnsi="Times New Roman"/>
          <w:b/>
          <w:bCs/>
          <w:sz w:val="24"/>
          <w:szCs w:val="24"/>
        </w:rPr>
        <w:t>K bodu 11</w:t>
      </w:r>
    </w:p>
    <w:p w14:paraId="55FFE6A8" w14:textId="5BFFD120" w:rsidR="0044EB2E" w:rsidRDefault="0044EB2E" w:rsidP="004E4256">
      <w:pPr>
        <w:spacing w:after="0"/>
        <w:jc w:val="both"/>
      </w:pPr>
      <w:r w:rsidRPr="004E4256">
        <w:rPr>
          <w:rFonts w:ascii="Times New Roman" w:hAnsi="Times New Roman"/>
          <w:sz w:val="24"/>
          <w:szCs w:val="24"/>
        </w:rPr>
        <w:t xml:space="preserve"> </w:t>
      </w:r>
    </w:p>
    <w:p w14:paraId="500B54CA" w14:textId="75A62E81" w:rsidR="0044EB2E" w:rsidRDefault="0044EB2E" w:rsidP="004E4256">
      <w:pPr>
        <w:spacing w:after="0"/>
        <w:jc w:val="both"/>
      </w:pPr>
      <w:r w:rsidRPr="004E4256">
        <w:rPr>
          <w:rFonts w:ascii="Times New Roman" w:hAnsi="Times New Roman"/>
          <w:sz w:val="24"/>
          <w:szCs w:val="24"/>
        </w:rPr>
        <w:t>Jedná sa o návrh precizovania textu zákona. Logy sú vytvárané a uchovávané pri prevádzke, ale najmä pri používaní centrálneho registra účtov.</w:t>
      </w:r>
    </w:p>
    <w:p w14:paraId="6E387563" w14:textId="16099E73" w:rsidR="0044EB2E" w:rsidRDefault="0044EB2E" w:rsidP="004E4256">
      <w:pPr>
        <w:spacing w:after="0"/>
        <w:jc w:val="both"/>
      </w:pPr>
      <w:r w:rsidRPr="004E4256">
        <w:rPr>
          <w:rFonts w:ascii="Times New Roman" w:hAnsi="Times New Roman"/>
          <w:sz w:val="24"/>
          <w:szCs w:val="24"/>
        </w:rPr>
        <w:t xml:space="preserve"> </w:t>
      </w:r>
    </w:p>
    <w:p w14:paraId="78EB10F3" w14:textId="615A8E54" w:rsidR="0044EB2E" w:rsidRDefault="0044EB2E" w:rsidP="004E4256">
      <w:pPr>
        <w:spacing w:after="0"/>
        <w:jc w:val="both"/>
      </w:pPr>
      <w:r w:rsidRPr="004E4256">
        <w:rPr>
          <w:rFonts w:ascii="Times New Roman" w:hAnsi="Times New Roman"/>
          <w:b/>
          <w:bCs/>
          <w:sz w:val="24"/>
          <w:szCs w:val="24"/>
        </w:rPr>
        <w:t>K bodu 12</w:t>
      </w:r>
    </w:p>
    <w:p w14:paraId="120B3BFE" w14:textId="710D8BA6" w:rsidR="0044EB2E" w:rsidRDefault="0044EB2E" w:rsidP="004E4256">
      <w:pPr>
        <w:spacing w:after="0"/>
        <w:jc w:val="both"/>
      </w:pPr>
      <w:r w:rsidRPr="004E4256">
        <w:rPr>
          <w:rFonts w:ascii="Times New Roman" w:hAnsi="Times New Roman"/>
          <w:sz w:val="24"/>
          <w:szCs w:val="24"/>
        </w:rPr>
        <w:t xml:space="preserve"> </w:t>
      </w:r>
    </w:p>
    <w:p w14:paraId="0097AABC" w14:textId="40CAF43A" w:rsidR="0044EB2E" w:rsidRDefault="0044EB2E" w:rsidP="004E4256">
      <w:pPr>
        <w:spacing w:after="0"/>
        <w:jc w:val="both"/>
      </w:pPr>
      <w:r w:rsidRPr="004E4256">
        <w:rPr>
          <w:rFonts w:ascii="Times New Roman" w:hAnsi="Times New Roman"/>
          <w:sz w:val="24"/>
          <w:szCs w:val="24"/>
        </w:rPr>
        <w:t>Návrh novely zákona dopĺňa údaje, ktoré sa majú uchovávať v logoch tak, aby bolo možné v prípade spätnej kontroly používania centrálneho registra účtov identifikovať osobu, ktorej sa predmetné vyhľadávanie týkalo.</w:t>
      </w:r>
    </w:p>
    <w:p w14:paraId="3025400E" w14:textId="2408993B" w:rsidR="0044EB2E" w:rsidRDefault="0044EB2E" w:rsidP="004E4256">
      <w:pPr>
        <w:spacing w:after="0"/>
        <w:jc w:val="both"/>
      </w:pPr>
      <w:r w:rsidRPr="004E4256">
        <w:rPr>
          <w:rFonts w:ascii="Times New Roman" w:hAnsi="Times New Roman"/>
          <w:sz w:val="24"/>
          <w:szCs w:val="24"/>
        </w:rPr>
        <w:t xml:space="preserve"> </w:t>
      </w:r>
    </w:p>
    <w:p w14:paraId="03F1611D" w14:textId="205310E0" w:rsidR="0044EB2E" w:rsidRDefault="0044EB2E" w:rsidP="004E4256">
      <w:pPr>
        <w:spacing w:after="0"/>
        <w:jc w:val="both"/>
      </w:pPr>
      <w:r w:rsidRPr="004E4256">
        <w:rPr>
          <w:rFonts w:ascii="Times New Roman" w:hAnsi="Times New Roman"/>
          <w:b/>
          <w:bCs/>
          <w:sz w:val="24"/>
          <w:szCs w:val="24"/>
        </w:rPr>
        <w:t>K bodu 13</w:t>
      </w:r>
    </w:p>
    <w:p w14:paraId="7AD71A1F" w14:textId="6A02BAAF" w:rsidR="0044EB2E" w:rsidRDefault="0044EB2E" w:rsidP="004E4256">
      <w:pPr>
        <w:spacing w:after="0"/>
        <w:jc w:val="both"/>
      </w:pPr>
      <w:r w:rsidRPr="004E4256">
        <w:rPr>
          <w:rFonts w:ascii="Times New Roman" w:hAnsi="Times New Roman"/>
          <w:sz w:val="24"/>
          <w:szCs w:val="24"/>
        </w:rPr>
        <w:t xml:space="preserve"> </w:t>
      </w:r>
    </w:p>
    <w:p w14:paraId="6AE51775" w14:textId="7F4571CE" w:rsidR="0044EB2E" w:rsidRDefault="0044EB2E" w:rsidP="004E4256">
      <w:pPr>
        <w:spacing w:after="0"/>
        <w:jc w:val="both"/>
      </w:pPr>
      <w:r w:rsidRPr="004E4256">
        <w:rPr>
          <w:rFonts w:ascii="Times New Roman" w:hAnsi="Times New Roman"/>
          <w:sz w:val="24"/>
          <w:szCs w:val="24"/>
        </w:rPr>
        <w:t>Úprava precizuje znenie existujúcich ustanovení zákona pričom pojem „jedinečný identifikátor používateľa“ sa nahrádza zrozumiteľnejším pojmom „prihlasovacie meno používateľa“.</w:t>
      </w:r>
    </w:p>
    <w:p w14:paraId="43FD2D51" w14:textId="235E7313" w:rsidR="0044EB2E" w:rsidRDefault="0044EB2E" w:rsidP="004E4256">
      <w:pPr>
        <w:spacing w:after="0"/>
        <w:jc w:val="both"/>
      </w:pPr>
      <w:r w:rsidRPr="004E4256">
        <w:rPr>
          <w:rFonts w:ascii="Times New Roman" w:hAnsi="Times New Roman"/>
          <w:sz w:val="24"/>
          <w:szCs w:val="24"/>
        </w:rPr>
        <w:t xml:space="preserve"> </w:t>
      </w:r>
    </w:p>
    <w:p w14:paraId="7F33FF0A" w14:textId="27B4AC87" w:rsidR="0044EB2E" w:rsidRDefault="0044EB2E" w:rsidP="004E4256">
      <w:pPr>
        <w:spacing w:after="0"/>
        <w:jc w:val="both"/>
      </w:pPr>
      <w:r w:rsidRPr="004E4256">
        <w:rPr>
          <w:rFonts w:ascii="Times New Roman" w:hAnsi="Times New Roman"/>
          <w:b/>
          <w:bCs/>
          <w:sz w:val="24"/>
          <w:szCs w:val="24"/>
        </w:rPr>
        <w:t>K bodu 14</w:t>
      </w:r>
    </w:p>
    <w:p w14:paraId="727CB3E8" w14:textId="46440405" w:rsidR="0044EB2E" w:rsidRDefault="0044EB2E" w:rsidP="004E4256">
      <w:pPr>
        <w:spacing w:after="0"/>
        <w:jc w:val="both"/>
      </w:pPr>
      <w:r w:rsidRPr="004E4256">
        <w:rPr>
          <w:rFonts w:ascii="Times New Roman" w:hAnsi="Times New Roman"/>
          <w:sz w:val="24"/>
          <w:szCs w:val="24"/>
        </w:rPr>
        <w:t xml:space="preserve"> </w:t>
      </w:r>
    </w:p>
    <w:p w14:paraId="279DA3D1" w14:textId="245E57A0" w:rsidR="0044EB2E" w:rsidRDefault="0044EB2E" w:rsidP="004E4256">
      <w:pPr>
        <w:spacing w:after="0"/>
        <w:jc w:val="both"/>
      </w:pPr>
      <w:r w:rsidRPr="004E4256">
        <w:rPr>
          <w:rFonts w:ascii="Times New Roman" w:hAnsi="Times New Roman"/>
          <w:sz w:val="24"/>
          <w:szCs w:val="24"/>
        </w:rPr>
        <w:t>Predmetnou úpravou sa vykonáva precizovanie existujúcich ustanovení zákona.</w:t>
      </w:r>
    </w:p>
    <w:p w14:paraId="042A28DA" w14:textId="3A4B9EC9" w:rsidR="0044EB2E" w:rsidRDefault="0044EB2E" w:rsidP="004E4256">
      <w:pPr>
        <w:spacing w:after="0"/>
        <w:jc w:val="both"/>
      </w:pPr>
      <w:r w:rsidRPr="004E4256">
        <w:rPr>
          <w:rFonts w:ascii="Times New Roman" w:hAnsi="Times New Roman"/>
          <w:sz w:val="24"/>
          <w:szCs w:val="24"/>
        </w:rPr>
        <w:t xml:space="preserve"> </w:t>
      </w:r>
    </w:p>
    <w:p w14:paraId="4F0EE6AD" w14:textId="74C7320F" w:rsidR="0044EB2E" w:rsidRDefault="0044EB2E" w:rsidP="004E4256">
      <w:pPr>
        <w:spacing w:after="0"/>
        <w:jc w:val="both"/>
      </w:pPr>
      <w:r w:rsidRPr="004E4256">
        <w:rPr>
          <w:rFonts w:ascii="Times New Roman" w:hAnsi="Times New Roman"/>
          <w:b/>
          <w:bCs/>
          <w:sz w:val="24"/>
          <w:szCs w:val="24"/>
        </w:rPr>
        <w:t>K bodu 15</w:t>
      </w:r>
    </w:p>
    <w:p w14:paraId="5403008B" w14:textId="45D04B5E" w:rsidR="0044EB2E" w:rsidRDefault="0044EB2E" w:rsidP="004E4256">
      <w:pPr>
        <w:spacing w:after="0"/>
        <w:jc w:val="both"/>
      </w:pPr>
      <w:r w:rsidRPr="004E4256">
        <w:rPr>
          <w:rFonts w:ascii="Times New Roman" w:hAnsi="Times New Roman"/>
          <w:sz w:val="24"/>
          <w:szCs w:val="24"/>
        </w:rPr>
        <w:t xml:space="preserve"> </w:t>
      </w:r>
    </w:p>
    <w:p w14:paraId="01531977" w14:textId="632E6257" w:rsidR="0044EB2E" w:rsidRDefault="0044EB2E" w:rsidP="004E4256">
      <w:pPr>
        <w:spacing w:after="0"/>
        <w:jc w:val="both"/>
      </w:pPr>
      <w:r w:rsidRPr="004E4256">
        <w:rPr>
          <w:rFonts w:ascii="Times New Roman" w:hAnsi="Times New Roman"/>
          <w:sz w:val="24"/>
          <w:szCs w:val="24"/>
        </w:rPr>
        <w:t>Návrh je precizovaním ustanovení zákona s ohľadom na prax jeho prevádzkovania. Ministerstvo nemá nástroje na kontrolu logov, avšak tieto sú v kompetencii jednotlivých oprávnených orgánov, ktoré vykonávajú kontrolu dodržiavania tohto zákona a osobitných zákonov pri používaní centrálneho registra účtov.</w:t>
      </w:r>
    </w:p>
    <w:p w14:paraId="2F0929CF" w14:textId="186490C5" w:rsidR="0044EB2E" w:rsidRDefault="0044EB2E" w:rsidP="004E4256">
      <w:pPr>
        <w:spacing w:after="0"/>
        <w:jc w:val="both"/>
      </w:pPr>
      <w:r w:rsidRPr="004E4256">
        <w:rPr>
          <w:rFonts w:ascii="Times New Roman" w:hAnsi="Times New Roman"/>
          <w:sz w:val="24"/>
          <w:szCs w:val="24"/>
        </w:rPr>
        <w:t xml:space="preserve"> </w:t>
      </w:r>
    </w:p>
    <w:p w14:paraId="4317BD02" w14:textId="60C6C5F4" w:rsidR="0044EB2E" w:rsidRDefault="0044EB2E" w:rsidP="004E4256">
      <w:pPr>
        <w:spacing w:after="0"/>
        <w:jc w:val="both"/>
      </w:pPr>
      <w:r w:rsidRPr="004E4256">
        <w:rPr>
          <w:rFonts w:ascii="Times New Roman" w:hAnsi="Times New Roman"/>
          <w:b/>
          <w:bCs/>
          <w:sz w:val="24"/>
          <w:szCs w:val="24"/>
        </w:rPr>
        <w:t>K bodu 16</w:t>
      </w:r>
    </w:p>
    <w:p w14:paraId="2C22BAB4" w14:textId="3EDDACE7" w:rsidR="0044EB2E" w:rsidRDefault="0044EB2E" w:rsidP="004E4256">
      <w:pPr>
        <w:spacing w:after="0"/>
        <w:jc w:val="both"/>
      </w:pPr>
      <w:r w:rsidRPr="004E4256">
        <w:rPr>
          <w:rFonts w:ascii="Times New Roman" w:hAnsi="Times New Roman"/>
          <w:sz w:val="24"/>
          <w:szCs w:val="24"/>
        </w:rPr>
        <w:t xml:space="preserve"> </w:t>
      </w:r>
    </w:p>
    <w:p w14:paraId="61CEF2A9" w14:textId="00A4F390" w:rsidR="0044EB2E" w:rsidRDefault="0044EB2E" w:rsidP="004E4256">
      <w:pPr>
        <w:spacing w:after="0"/>
        <w:jc w:val="both"/>
      </w:pPr>
      <w:r w:rsidRPr="004E4256">
        <w:rPr>
          <w:rFonts w:ascii="Times New Roman" w:hAnsi="Times New Roman"/>
          <w:sz w:val="24"/>
          <w:szCs w:val="24"/>
        </w:rPr>
        <w:t>Predmetnou úpravou sa vykonáva precizovanie existujúcich ustanovení zákona. V tejto súvislosti sa znemožňuje, aby Úrad na ochranu osobných údajov vedel získavať logy z operatívnej činnosti Slovenskej informačnej služby alebo Vojenského spravodajstva. Kontrola týchto úradov je primárne v kompetencii kontrolných mechanizmov daných inštitúcií.</w:t>
      </w:r>
    </w:p>
    <w:p w14:paraId="429A8196" w14:textId="072F08CF" w:rsidR="0044EB2E" w:rsidRDefault="0044EB2E" w:rsidP="004E4256">
      <w:pPr>
        <w:spacing w:after="0"/>
        <w:jc w:val="both"/>
      </w:pPr>
      <w:r w:rsidRPr="004E4256">
        <w:rPr>
          <w:rFonts w:ascii="Times New Roman" w:hAnsi="Times New Roman"/>
          <w:sz w:val="24"/>
          <w:szCs w:val="24"/>
        </w:rPr>
        <w:lastRenderedPageBreak/>
        <w:t xml:space="preserve"> </w:t>
      </w:r>
    </w:p>
    <w:p w14:paraId="38C68E80" w14:textId="4CA0A67B" w:rsidR="0044EB2E" w:rsidRDefault="0044EB2E" w:rsidP="004E4256">
      <w:pPr>
        <w:spacing w:after="0"/>
        <w:jc w:val="both"/>
      </w:pPr>
      <w:r w:rsidRPr="004E4256">
        <w:rPr>
          <w:rFonts w:ascii="Times New Roman" w:hAnsi="Times New Roman"/>
          <w:b/>
          <w:bCs/>
          <w:sz w:val="24"/>
          <w:szCs w:val="24"/>
        </w:rPr>
        <w:t>K bodu 17</w:t>
      </w:r>
    </w:p>
    <w:p w14:paraId="362892CA" w14:textId="454A2751" w:rsidR="0044EB2E" w:rsidRDefault="0044EB2E" w:rsidP="004E4256">
      <w:pPr>
        <w:spacing w:after="0"/>
        <w:jc w:val="both"/>
      </w:pPr>
      <w:r w:rsidRPr="004E4256">
        <w:rPr>
          <w:rFonts w:ascii="Times New Roman" w:hAnsi="Times New Roman"/>
          <w:sz w:val="24"/>
          <w:szCs w:val="24"/>
        </w:rPr>
        <w:t xml:space="preserve"> </w:t>
      </w:r>
    </w:p>
    <w:p w14:paraId="0BDD399E" w14:textId="2FA03CA1" w:rsidR="0044EB2E" w:rsidRDefault="0044EB2E" w:rsidP="004E4256">
      <w:pPr>
        <w:spacing w:after="0"/>
        <w:jc w:val="both"/>
      </w:pPr>
      <w:r w:rsidRPr="004E4256">
        <w:rPr>
          <w:rFonts w:ascii="Times New Roman" w:hAnsi="Times New Roman"/>
          <w:sz w:val="24"/>
          <w:szCs w:val="24"/>
        </w:rPr>
        <w:t>Návrh predstavuje legislatívne precizovanie existujúceho znenia zákona, zavádzajúce možnosť, pre Národnú banku Slovenska, sprístupniť logy pre potreby vnútornej kontroly používateľov z Národnej banky Slovenska.</w:t>
      </w:r>
    </w:p>
    <w:p w14:paraId="1648DE46" w14:textId="4879221F" w:rsidR="0044EB2E" w:rsidRDefault="0044EB2E" w:rsidP="004E4256">
      <w:pPr>
        <w:spacing w:after="0"/>
        <w:jc w:val="both"/>
      </w:pPr>
      <w:r w:rsidRPr="004E4256">
        <w:rPr>
          <w:rFonts w:ascii="Times New Roman" w:hAnsi="Times New Roman"/>
          <w:sz w:val="24"/>
          <w:szCs w:val="24"/>
        </w:rPr>
        <w:t xml:space="preserve"> </w:t>
      </w:r>
    </w:p>
    <w:p w14:paraId="26EBBEAA" w14:textId="361CE5BE" w:rsidR="0044EB2E" w:rsidRDefault="0044EB2E" w:rsidP="004E4256">
      <w:pPr>
        <w:spacing w:after="0"/>
        <w:jc w:val="both"/>
      </w:pPr>
      <w:r w:rsidRPr="004E4256">
        <w:rPr>
          <w:rFonts w:ascii="Times New Roman" w:hAnsi="Times New Roman"/>
          <w:b/>
          <w:bCs/>
          <w:sz w:val="24"/>
          <w:szCs w:val="24"/>
        </w:rPr>
        <w:t>K bodu 18</w:t>
      </w:r>
    </w:p>
    <w:p w14:paraId="0B7C7C49" w14:textId="00D42DBE" w:rsidR="0044EB2E" w:rsidRDefault="0044EB2E" w:rsidP="004E4256">
      <w:pPr>
        <w:spacing w:after="0"/>
        <w:jc w:val="both"/>
      </w:pPr>
      <w:r w:rsidRPr="004E4256">
        <w:rPr>
          <w:rFonts w:ascii="Times New Roman" w:hAnsi="Times New Roman"/>
          <w:sz w:val="24"/>
          <w:szCs w:val="24"/>
        </w:rPr>
        <w:t xml:space="preserve"> </w:t>
      </w:r>
    </w:p>
    <w:p w14:paraId="7429B497" w14:textId="54A6B2E9" w:rsidR="0044EB2E" w:rsidRDefault="0044EB2E" w:rsidP="004E4256">
      <w:pPr>
        <w:spacing w:after="0"/>
        <w:jc w:val="both"/>
      </w:pPr>
      <w:r w:rsidRPr="004E4256">
        <w:rPr>
          <w:rFonts w:ascii="Times New Roman" w:hAnsi="Times New Roman"/>
          <w:sz w:val="24"/>
          <w:szCs w:val="24"/>
        </w:rPr>
        <w:t>Navrhovaným znením sa ministerstvu umožňuje sprístupniť logy aj prostredníctvom špecifickej funkcionality prostredníctvom samotného centrálneho registra účtov, čo môže zrýchliť a teda zefektívniť výkon kontrolných opatrení.</w:t>
      </w:r>
    </w:p>
    <w:p w14:paraId="1D5DFDDC" w14:textId="5971DCBF" w:rsidR="0044EB2E" w:rsidRDefault="0044EB2E" w:rsidP="004E4256">
      <w:pPr>
        <w:spacing w:after="0"/>
        <w:jc w:val="both"/>
      </w:pPr>
      <w:r w:rsidRPr="004E4256">
        <w:rPr>
          <w:rFonts w:ascii="Times New Roman" w:hAnsi="Times New Roman"/>
          <w:sz w:val="24"/>
          <w:szCs w:val="24"/>
        </w:rPr>
        <w:t xml:space="preserve"> </w:t>
      </w:r>
    </w:p>
    <w:p w14:paraId="0ABCA34D" w14:textId="2806CD12" w:rsidR="0044EB2E" w:rsidRDefault="0044EB2E" w:rsidP="004E4256">
      <w:pPr>
        <w:spacing w:after="0"/>
        <w:jc w:val="both"/>
      </w:pPr>
      <w:r w:rsidRPr="004E4256">
        <w:rPr>
          <w:rFonts w:ascii="Times New Roman" w:hAnsi="Times New Roman"/>
          <w:b/>
          <w:bCs/>
          <w:sz w:val="24"/>
          <w:szCs w:val="24"/>
        </w:rPr>
        <w:t>K bodu 19</w:t>
      </w:r>
    </w:p>
    <w:p w14:paraId="4E81E4F8" w14:textId="3E6D8A04" w:rsidR="004E4256" w:rsidRDefault="004E4256" w:rsidP="004E4256">
      <w:pPr>
        <w:spacing w:after="0"/>
        <w:jc w:val="both"/>
        <w:rPr>
          <w:rFonts w:ascii="Times New Roman" w:hAnsi="Times New Roman"/>
          <w:sz w:val="24"/>
          <w:szCs w:val="24"/>
          <w:highlight w:val="yellow"/>
        </w:rPr>
      </w:pPr>
    </w:p>
    <w:p w14:paraId="3D497665" w14:textId="273FCD25" w:rsidR="0044EB2E" w:rsidRDefault="0044EB2E" w:rsidP="004E4256">
      <w:pPr>
        <w:spacing w:after="0"/>
        <w:jc w:val="both"/>
      </w:pPr>
      <w:r w:rsidRPr="004E4256">
        <w:rPr>
          <w:rFonts w:ascii="Times New Roman" w:hAnsi="Times New Roman"/>
          <w:sz w:val="24"/>
          <w:szCs w:val="24"/>
        </w:rPr>
        <w:t>Predmetnou úpravou sa vykonáva precizovanie existujúcich ustanovení zákona a vnútorných odkazov zákona.</w:t>
      </w:r>
    </w:p>
    <w:p w14:paraId="75A2AAB4" w14:textId="3124B39E" w:rsidR="0044EB2E" w:rsidRDefault="0044EB2E" w:rsidP="004E4256">
      <w:pPr>
        <w:spacing w:after="0"/>
        <w:jc w:val="both"/>
      </w:pPr>
      <w:r w:rsidRPr="004E4256">
        <w:rPr>
          <w:rFonts w:ascii="Times New Roman" w:hAnsi="Times New Roman"/>
          <w:sz w:val="24"/>
          <w:szCs w:val="24"/>
        </w:rPr>
        <w:t xml:space="preserve"> </w:t>
      </w:r>
    </w:p>
    <w:p w14:paraId="6648C566" w14:textId="247D1F1F" w:rsidR="0044EB2E" w:rsidRDefault="0044EB2E" w:rsidP="004E4256">
      <w:pPr>
        <w:spacing w:after="0"/>
        <w:jc w:val="both"/>
      </w:pPr>
      <w:r w:rsidRPr="004E4256">
        <w:rPr>
          <w:rFonts w:ascii="Times New Roman" w:hAnsi="Times New Roman"/>
          <w:b/>
          <w:bCs/>
          <w:sz w:val="24"/>
          <w:szCs w:val="24"/>
        </w:rPr>
        <w:t>K bodu 20</w:t>
      </w:r>
    </w:p>
    <w:p w14:paraId="187B76C3" w14:textId="13326181" w:rsidR="0044EB2E" w:rsidRDefault="0044EB2E" w:rsidP="004E4256">
      <w:pPr>
        <w:spacing w:after="0"/>
        <w:jc w:val="both"/>
      </w:pPr>
      <w:r w:rsidRPr="004E4256">
        <w:rPr>
          <w:rFonts w:ascii="Times New Roman" w:hAnsi="Times New Roman"/>
          <w:sz w:val="24"/>
          <w:szCs w:val="24"/>
        </w:rPr>
        <w:t xml:space="preserve"> </w:t>
      </w:r>
    </w:p>
    <w:p w14:paraId="18FBFE42" w14:textId="3051380F" w:rsidR="0044EB2E" w:rsidRDefault="0044EB2E" w:rsidP="004E4256">
      <w:pPr>
        <w:spacing w:after="0"/>
        <w:jc w:val="both"/>
      </w:pPr>
      <w:r w:rsidRPr="004E4256">
        <w:rPr>
          <w:rFonts w:ascii="Times New Roman" w:hAnsi="Times New Roman"/>
          <w:sz w:val="24"/>
          <w:szCs w:val="24"/>
        </w:rPr>
        <w:t xml:space="preserve">Ustanovuje sa spôsob určenia dátumu, ku ktorému bude pre finančné inštitúcie, Národnú banku Slovenska a centrálny depozitár cenných papierov potrebné prispôsobiť svoje interné systémy a integráciu na centrálny register účtov s novo navrhovanou právnou úpravou. Po skúsenosti pri tvorbe systému centrálneho registra účtov a krátkosti času na integráciu do systému navrhujeme flexibilnejší režim určenia termínu, pričom tento bude vychádzať z dohody medzi ministerstvom a zainteresovanými stranami tak, aby sa na prípravu integrácie, jej testovanie a finálne </w:t>
      </w:r>
      <w:proofErr w:type="spellStart"/>
      <w:r w:rsidRPr="004E4256">
        <w:rPr>
          <w:rFonts w:ascii="Times New Roman" w:hAnsi="Times New Roman"/>
          <w:sz w:val="24"/>
          <w:szCs w:val="24"/>
        </w:rPr>
        <w:t>naintegrovanie</w:t>
      </w:r>
      <w:proofErr w:type="spellEnd"/>
      <w:r w:rsidRPr="004E4256">
        <w:rPr>
          <w:rFonts w:ascii="Times New Roman" w:hAnsi="Times New Roman"/>
          <w:sz w:val="24"/>
          <w:szCs w:val="24"/>
        </w:rPr>
        <w:t xml:space="preserve"> do centrálneho registra účtov poskytlo finančným inštitúciám, Národnej banke Slovenska a centrálnemu depozitárovi cenných papierov dostatok času. Ministerstvo bude dostatočne vopred a to už počas prípravy návrhu zákona, diskutovať s partnermi potrebné zmeny a požiadavky úpravy integrácie a následne nastaví termín integrácie tak, aby prebehol proces prípravy a finalizácie prác pre všetky zainteresované strany čo možno najefektívnejšie.</w:t>
      </w:r>
    </w:p>
    <w:p w14:paraId="381CF2F0" w14:textId="4EAB9736" w:rsidR="0044EB2E" w:rsidRDefault="0044EB2E" w:rsidP="004E4256">
      <w:pPr>
        <w:spacing w:after="0"/>
        <w:jc w:val="both"/>
      </w:pPr>
      <w:r w:rsidRPr="004E4256">
        <w:rPr>
          <w:rFonts w:ascii="Times New Roman" w:hAnsi="Times New Roman"/>
          <w:sz w:val="24"/>
          <w:szCs w:val="24"/>
        </w:rPr>
        <w:t xml:space="preserve"> </w:t>
      </w:r>
    </w:p>
    <w:p w14:paraId="62319752" w14:textId="57B8E03E" w:rsidR="0044EB2E" w:rsidRDefault="0044EB2E" w:rsidP="004E4256">
      <w:pPr>
        <w:spacing w:after="0"/>
        <w:jc w:val="both"/>
      </w:pPr>
      <w:r w:rsidRPr="004E4256">
        <w:rPr>
          <w:rFonts w:ascii="Times New Roman" w:hAnsi="Times New Roman"/>
          <w:sz w:val="24"/>
          <w:szCs w:val="24"/>
        </w:rPr>
        <w:t xml:space="preserve">Vzhľadom na návrh zapracovania ustanovení vyhlášky Ministerstva financií Slovenskej republiky </w:t>
      </w:r>
      <w:r w:rsidRPr="004E4256">
        <w:rPr>
          <w:rFonts w:ascii="Times New Roman" w:hAnsi="Times New Roman"/>
          <w:color w:val="000000" w:themeColor="text1"/>
          <w:sz w:val="24"/>
          <w:szCs w:val="24"/>
        </w:rPr>
        <w:t>č. 15/2024 Z. z.</w:t>
      </w:r>
      <w:r w:rsidRPr="004E4256">
        <w:rPr>
          <w:rFonts w:ascii="Times New Roman" w:hAnsi="Times New Roman"/>
          <w:sz w:val="24"/>
          <w:szCs w:val="24"/>
        </w:rPr>
        <w:t>, ktorou sa vykonáva zákon o centrálnom registri účtov a o zmene a doplnení niektorých zákonov do ustanovení návrhu zákona a stanovenia nového procesu nastavenia termínu pre integráciu sa navrhuje zrušenie predmetnej vyhlášky, ktorá by sa novelizáciou zákona v navrhovanom znení stala redundantnou.</w:t>
      </w:r>
    </w:p>
    <w:p w14:paraId="35AE55EC" w14:textId="5FA5B5E4" w:rsidR="4E09FFE8" w:rsidRDefault="4E09FFE8" w:rsidP="070BDBF9">
      <w:pPr>
        <w:spacing w:after="0"/>
        <w:jc w:val="both"/>
        <w:rPr>
          <w:rFonts w:ascii="Times New Roman" w:hAnsi="Times New Roman"/>
          <w:sz w:val="24"/>
          <w:szCs w:val="24"/>
        </w:rPr>
      </w:pPr>
    </w:p>
    <w:p w14:paraId="00ACA346" w14:textId="1D0C1402" w:rsidR="42B6F981" w:rsidRDefault="42B6F981" w:rsidP="070BDBF9">
      <w:pPr>
        <w:spacing w:after="0"/>
        <w:jc w:val="both"/>
        <w:rPr>
          <w:rFonts w:ascii="Times New Roman" w:hAnsi="Times New Roman"/>
          <w:b/>
          <w:bCs/>
          <w:sz w:val="24"/>
          <w:szCs w:val="24"/>
        </w:rPr>
      </w:pPr>
    </w:p>
    <w:p w14:paraId="0C8DBB5C" w14:textId="6D5FD976" w:rsidR="1B1D1DBC" w:rsidRPr="00512478" w:rsidRDefault="2D81630B" w:rsidP="6405D0E6">
      <w:pPr>
        <w:spacing w:after="0" w:line="276" w:lineRule="auto"/>
        <w:jc w:val="center"/>
        <w:rPr>
          <w:rFonts w:ascii="Times New Roman" w:hAnsi="Times New Roman"/>
          <w:b/>
          <w:bCs/>
          <w:sz w:val="24"/>
          <w:szCs w:val="24"/>
        </w:rPr>
      </w:pPr>
      <w:r w:rsidRPr="00512478">
        <w:rPr>
          <w:rFonts w:ascii="Times New Roman" w:hAnsi="Times New Roman"/>
          <w:b/>
          <w:bCs/>
          <w:sz w:val="24"/>
          <w:szCs w:val="24"/>
        </w:rPr>
        <w:t>Čl. XXV</w:t>
      </w:r>
    </w:p>
    <w:p w14:paraId="6CB33003" w14:textId="6C27825D" w:rsidR="42B6F981" w:rsidRDefault="42B6F981" w:rsidP="070BDBF9">
      <w:pPr>
        <w:spacing w:after="0"/>
        <w:jc w:val="center"/>
        <w:rPr>
          <w:rFonts w:ascii="Times New Roman" w:hAnsi="Times New Roman"/>
          <w:b/>
          <w:bCs/>
          <w:sz w:val="24"/>
          <w:szCs w:val="24"/>
        </w:rPr>
      </w:pPr>
    </w:p>
    <w:p w14:paraId="3678D18D" w14:textId="20C149B9" w:rsidR="4E09FFE8" w:rsidRDefault="2A64DB42" w:rsidP="070BDBF9">
      <w:pPr>
        <w:spacing w:after="0"/>
        <w:jc w:val="center"/>
        <w:rPr>
          <w:rFonts w:ascii="Times New Roman" w:hAnsi="Times New Roman"/>
          <w:b/>
          <w:bCs/>
          <w:sz w:val="24"/>
          <w:szCs w:val="24"/>
        </w:rPr>
      </w:pPr>
      <w:r w:rsidRPr="070BDBF9">
        <w:rPr>
          <w:rFonts w:ascii="Times New Roman" w:hAnsi="Times New Roman"/>
          <w:b/>
          <w:bCs/>
          <w:sz w:val="24"/>
          <w:szCs w:val="24"/>
        </w:rPr>
        <w:t>Zákon č. 192/2023 Z. z. o registri trestov</w:t>
      </w:r>
    </w:p>
    <w:p w14:paraId="772793F3" w14:textId="3315611A" w:rsidR="42B6F981" w:rsidRDefault="42B6F981" w:rsidP="070BDBF9">
      <w:pPr>
        <w:spacing w:after="0"/>
        <w:jc w:val="center"/>
        <w:rPr>
          <w:rFonts w:ascii="Times New Roman" w:hAnsi="Times New Roman"/>
          <w:b/>
          <w:bCs/>
          <w:sz w:val="24"/>
          <w:szCs w:val="24"/>
        </w:rPr>
      </w:pPr>
    </w:p>
    <w:p w14:paraId="1A22F310" w14:textId="36E86111" w:rsidR="4C8AC7E2" w:rsidRDefault="7A480B75" w:rsidP="070BDBF9">
      <w:pPr>
        <w:spacing w:after="0"/>
        <w:jc w:val="both"/>
        <w:rPr>
          <w:rFonts w:ascii="Times New Roman" w:hAnsi="Times New Roman"/>
          <w:sz w:val="24"/>
          <w:szCs w:val="24"/>
          <w:highlight w:val="yellow"/>
        </w:rPr>
      </w:pPr>
      <w:r w:rsidRPr="23BE041E">
        <w:rPr>
          <w:rFonts w:ascii="Times New Roman" w:hAnsi="Times New Roman"/>
          <w:sz w:val="24"/>
          <w:szCs w:val="24"/>
        </w:rPr>
        <w:t xml:space="preserve">Navrhované ustanovenie rozširuje okruh subjektov, ktorým sa vydáva špecializovaný výpis z registra trestov </w:t>
      </w:r>
      <w:r w:rsidR="40675AD8" w:rsidRPr="23BE041E">
        <w:rPr>
          <w:rFonts w:ascii="Times New Roman" w:hAnsi="Times New Roman"/>
          <w:sz w:val="24"/>
          <w:szCs w:val="24"/>
        </w:rPr>
        <w:t xml:space="preserve">o </w:t>
      </w:r>
      <w:r w:rsidR="6615E4C5" w:rsidRPr="23BE041E">
        <w:rPr>
          <w:rFonts w:ascii="Times New Roman" w:hAnsi="Times New Roman"/>
          <w:sz w:val="24"/>
          <w:szCs w:val="24"/>
        </w:rPr>
        <w:t>Národnú banku Slovenska, FSJ a Úrad pre reguláciu hazardných hier. Uvedené orgány dohľadu budú oprávnené požadovať špecial</w:t>
      </w:r>
      <w:r w:rsidR="4E07BD7B" w:rsidRPr="23BE041E">
        <w:rPr>
          <w:rFonts w:ascii="Times New Roman" w:hAnsi="Times New Roman"/>
          <w:sz w:val="24"/>
          <w:szCs w:val="24"/>
        </w:rPr>
        <w:t>i</w:t>
      </w:r>
      <w:r w:rsidR="6615E4C5" w:rsidRPr="23BE041E">
        <w:rPr>
          <w:rFonts w:ascii="Times New Roman" w:hAnsi="Times New Roman"/>
          <w:sz w:val="24"/>
          <w:szCs w:val="24"/>
        </w:rPr>
        <w:t>zovaný výpis z registra tr</w:t>
      </w:r>
      <w:r w:rsidR="2DEB82DA" w:rsidRPr="23BE041E">
        <w:rPr>
          <w:rFonts w:ascii="Times New Roman" w:hAnsi="Times New Roman"/>
          <w:sz w:val="24"/>
          <w:szCs w:val="24"/>
        </w:rPr>
        <w:t xml:space="preserve">estov na účely plnenia povinností, ktoré súvisia s § 4 a </w:t>
      </w:r>
      <w:r w:rsidR="697D7A1E" w:rsidRPr="23BE041E">
        <w:rPr>
          <w:rFonts w:ascii="Times New Roman" w:hAnsi="Times New Roman"/>
          <w:sz w:val="24"/>
          <w:szCs w:val="24"/>
        </w:rPr>
        <w:t xml:space="preserve">§ </w:t>
      </w:r>
      <w:r w:rsidR="7E21733F" w:rsidRPr="23BE041E">
        <w:rPr>
          <w:rFonts w:ascii="Times New Roman" w:hAnsi="Times New Roman"/>
          <w:sz w:val="24"/>
          <w:szCs w:val="24"/>
        </w:rPr>
        <w:t>51</w:t>
      </w:r>
      <w:r w:rsidR="697D7A1E" w:rsidRPr="23BE041E">
        <w:rPr>
          <w:rFonts w:ascii="Times New Roman" w:hAnsi="Times New Roman"/>
          <w:sz w:val="24"/>
          <w:szCs w:val="24"/>
        </w:rPr>
        <w:t xml:space="preserve"> návrhu zákona</w:t>
      </w:r>
      <w:r w:rsidR="22571BE6" w:rsidRPr="23BE041E">
        <w:rPr>
          <w:rFonts w:ascii="Times New Roman" w:hAnsi="Times New Roman"/>
          <w:sz w:val="24"/>
          <w:szCs w:val="24"/>
        </w:rPr>
        <w:t xml:space="preserve"> a to overenie bezúhonnosti </w:t>
      </w:r>
      <w:r w:rsidR="22571BE6" w:rsidRPr="23BE041E">
        <w:rPr>
          <w:rFonts w:ascii="Times New Roman" w:hAnsi="Times New Roman"/>
          <w:sz w:val="24"/>
          <w:szCs w:val="24"/>
        </w:rPr>
        <w:lastRenderedPageBreak/>
        <w:t>člena vrcholového manažmentu</w:t>
      </w:r>
      <w:r w:rsidR="2A33321E" w:rsidRPr="23BE041E">
        <w:rPr>
          <w:rFonts w:ascii="Times New Roman" w:hAnsi="Times New Roman"/>
          <w:sz w:val="24"/>
          <w:szCs w:val="24"/>
        </w:rPr>
        <w:t xml:space="preserve"> a</w:t>
      </w:r>
      <w:r w:rsidR="22571BE6" w:rsidRPr="23BE041E">
        <w:rPr>
          <w:rFonts w:ascii="Times New Roman" w:hAnsi="Times New Roman"/>
          <w:sz w:val="24"/>
          <w:szCs w:val="24"/>
        </w:rPr>
        <w:t xml:space="preserve"> konečného užívateľa výhod vybraných povinných osôb a</w:t>
      </w:r>
      <w:r w:rsidR="0EBF4B69" w:rsidRPr="23BE041E">
        <w:rPr>
          <w:rFonts w:ascii="Times New Roman" w:hAnsi="Times New Roman"/>
          <w:sz w:val="24"/>
          <w:szCs w:val="24"/>
        </w:rPr>
        <w:t>ko aj člena štatutárneho orgánu a osoby zabezpečujúcej plnenie úloh pri ochrane pred legalizáciou a financovaním terorizmu vo finančnej hold</w:t>
      </w:r>
      <w:r w:rsidR="6625B536" w:rsidRPr="23BE041E">
        <w:rPr>
          <w:rFonts w:ascii="Times New Roman" w:hAnsi="Times New Roman"/>
          <w:sz w:val="24"/>
          <w:szCs w:val="24"/>
        </w:rPr>
        <w:t>ingovej spoločnosti so zmiešanou činnosťou.</w:t>
      </w:r>
      <w:r w:rsidR="5F48CE09" w:rsidRPr="23BE041E">
        <w:rPr>
          <w:rFonts w:ascii="Times New Roman" w:hAnsi="Times New Roman"/>
          <w:sz w:val="24"/>
          <w:szCs w:val="24"/>
        </w:rPr>
        <w:t xml:space="preserve"> </w:t>
      </w:r>
      <w:r w:rsidR="5742103B" w:rsidRPr="23BE041E">
        <w:rPr>
          <w:rFonts w:ascii="Times New Roman" w:hAnsi="Times New Roman"/>
          <w:sz w:val="24"/>
          <w:szCs w:val="24"/>
        </w:rPr>
        <w:t>Návrh ustanovenia je transpozíciou čl. 6 smernice (EÚ) 2024/1640.</w:t>
      </w:r>
    </w:p>
    <w:p w14:paraId="0F448407" w14:textId="1AEA62F3" w:rsidR="6405D0E6" w:rsidRDefault="6405D0E6" w:rsidP="6405D0E6">
      <w:pPr>
        <w:spacing w:after="0"/>
        <w:ind w:left="426" w:hanging="426"/>
        <w:jc w:val="center"/>
        <w:rPr>
          <w:rFonts w:ascii="Times New Roman" w:hAnsi="Times New Roman"/>
          <w:b/>
          <w:bCs/>
          <w:sz w:val="24"/>
          <w:szCs w:val="24"/>
          <w:u w:val="single"/>
        </w:rPr>
      </w:pPr>
    </w:p>
    <w:p w14:paraId="6329C034" w14:textId="51D45B5B" w:rsidR="6405D0E6" w:rsidRDefault="6405D0E6" w:rsidP="6405D0E6">
      <w:pPr>
        <w:spacing w:after="0"/>
        <w:ind w:left="426" w:hanging="426"/>
        <w:jc w:val="center"/>
        <w:rPr>
          <w:rFonts w:ascii="Times New Roman" w:hAnsi="Times New Roman"/>
          <w:b/>
          <w:bCs/>
          <w:sz w:val="24"/>
          <w:szCs w:val="24"/>
          <w:u w:val="single"/>
        </w:rPr>
      </w:pPr>
    </w:p>
    <w:p w14:paraId="3E434525" w14:textId="4EB50FB4" w:rsidR="2ED50EDE" w:rsidRPr="00512478" w:rsidRDefault="154176D7" w:rsidP="070BDBF9">
      <w:pPr>
        <w:spacing w:after="0"/>
        <w:ind w:left="426" w:hanging="426"/>
        <w:jc w:val="center"/>
        <w:rPr>
          <w:rFonts w:ascii="Times New Roman" w:hAnsi="Times New Roman"/>
          <w:b/>
          <w:bCs/>
          <w:sz w:val="24"/>
          <w:szCs w:val="24"/>
        </w:rPr>
      </w:pPr>
      <w:r w:rsidRPr="00512478">
        <w:rPr>
          <w:rFonts w:ascii="Times New Roman" w:hAnsi="Times New Roman"/>
          <w:b/>
          <w:bCs/>
          <w:sz w:val="24"/>
          <w:szCs w:val="24"/>
        </w:rPr>
        <w:t>Čl. XXV</w:t>
      </w:r>
      <w:r w:rsidR="24E95941" w:rsidRPr="00512478">
        <w:rPr>
          <w:rFonts w:ascii="Times New Roman" w:hAnsi="Times New Roman"/>
          <w:b/>
          <w:bCs/>
          <w:sz w:val="24"/>
          <w:szCs w:val="24"/>
        </w:rPr>
        <w:t>I</w:t>
      </w:r>
    </w:p>
    <w:p w14:paraId="5B2B3829" w14:textId="2281F0AA" w:rsidR="6405D0E6" w:rsidRDefault="6405D0E6" w:rsidP="070BDBF9">
      <w:pPr>
        <w:spacing w:after="0"/>
        <w:jc w:val="center"/>
        <w:rPr>
          <w:rFonts w:ascii="Times New Roman" w:hAnsi="Times New Roman"/>
          <w:b/>
          <w:bCs/>
          <w:sz w:val="24"/>
          <w:szCs w:val="24"/>
          <w:u w:val="single"/>
        </w:rPr>
      </w:pPr>
    </w:p>
    <w:p w14:paraId="6C0A9940" w14:textId="1932B4B5" w:rsidR="2ED50EDE" w:rsidRDefault="64A1AE3D" w:rsidP="070BDBF9">
      <w:pPr>
        <w:spacing w:after="0"/>
        <w:jc w:val="center"/>
        <w:rPr>
          <w:rFonts w:ascii="Times New Roman" w:hAnsi="Times New Roman"/>
          <w:b/>
          <w:bCs/>
          <w:sz w:val="24"/>
          <w:szCs w:val="24"/>
        </w:rPr>
      </w:pPr>
      <w:r w:rsidRPr="070BDBF9">
        <w:rPr>
          <w:rFonts w:ascii="Times New Roman" w:hAnsi="Times New Roman"/>
          <w:b/>
          <w:bCs/>
          <w:sz w:val="24"/>
          <w:szCs w:val="24"/>
        </w:rPr>
        <w:t>Zákon č. 106/2024 Z. z. o správcoch úverov a nákupcoch úverov</w:t>
      </w:r>
    </w:p>
    <w:p w14:paraId="749D94D6" w14:textId="47E091B0" w:rsidR="6405D0E6" w:rsidRDefault="6405D0E6" w:rsidP="070BDBF9">
      <w:pPr>
        <w:spacing w:after="0"/>
        <w:jc w:val="center"/>
        <w:rPr>
          <w:rFonts w:ascii="Times New Roman" w:hAnsi="Times New Roman"/>
          <w:b/>
          <w:bCs/>
          <w:sz w:val="24"/>
          <w:szCs w:val="24"/>
          <w:u w:val="single"/>
        </w:rPr>
      </w:pPr>
    </w:p>
    <w:p w14:paraId="633096BA" w14:textId="721B59D0" w:rsidR="2ED50EDE" w:rsidRDefault="154176D7" w:rsidP="070BDBF9">
      <w:pPr>
        <w:spacing w:after="0"/>
        <w:jc w:val="both"/>
        <w:rPr>
          <w:rFonts w:ascii="Times New Roman" w:hAnsi="Times New Roman"/>
          <w:b/>
          <w:bCs/>
          <w:sz w:val="24"/>
          <w:szCs w:val="24"/>
        </w:rPr>
      </w:pPr>
      <w:r w:rsidRPr="004E4256">
        <w:rPr>
          <w:rFonts w:ascii="Times New Roman" w:hAnsi="Times New Roman"/>
          <w:b/>
          <w:bCs/>
          <w:sz w:val="24"/>
          <w:szCs w:val="24"/>
        </w:rPr>
        <w:t>K bodom 1 až 15</w:t>
      </w:r>
    </w:p>
    <w:p w14:paraId="69FB820A" w14:textId="3C99BAA7" w:rsidR="65CCCFCE" w:rsidRDefault="13CBDFFB" w:rsidP="23BE041E">
      <w:pPr>
        <w:spacing w:after="240"/>
        <w:ind w:left="-11"/>
        <w:jc w:val="both"/>
        <w:rPr>
          <w:rFonts w:ascii="Times New Roman" w:hAnsi="Times New Roman"/>
          <w:sz w:val="24"/>
          <w:szCs w:val="24"/>
        </w:rPr>
      </w:pPr>
      <w:r w:rsidRPr="00512478">
        <w:rPr>
          <w:rFonts w:ascii="Times New Roman" w:hAnsi="Times New Roman"/>
          <w:sz w:val="24"/>
          <w:szCs w:val="24"/>
        </w:rPr>
        <w:t xml:space="preserve">Správcovia a nákupcovia úverov nie sú podľa čl. 3 nariadenia </w:t>
      </w:r>
      <w:r w:rsidR="69072C7D" w:rsidRPr="00512478">
        <w:rPr>
          <w:rFonts w:ascii="Times New Roman" w:hAnsi="Times New Roman"/>
          <w:sz w:val="24"/>
          <w:szCs w:val="24"/>
        </w:rPr>
        <w:t xml:space="preserve">(EÚ) </w:t>
      </w:r>
      <w:r w:rsidRPr="00512478">
        <w:rPr>
          <w:rFonts w:ascii="Times New Roman" w:hAnsi="Times New Roman"/>
          <w:sz w:val="24"/>
          <w:szCs w:val="24"/>
        </w:rPr>
        <w:t>2024/1624 zaradení medzi povinné osoby, tak ako ich za povinné osoby považovala doterajšia slovenská právna úprava na základe národnej voľby realizovanej pri transpozícii čl. 5 bod 1 písm. h) smernice 2021/2167 o správcoch úverov a nákupcoch úverov.</w:t>
      </w:r>
    </w:p>
    <w:p w14:paraId="68D52DEE" w14:textId="27D521A6" w:rsidR="65CCCFCE" w:rsidRDefault="13CBDFFB" w:rsidP="23BE041E">
      <w:pPr>
        <w:spacing w:after="240"/>
        <w:ind w:left="-11"/>
        <w:jc w:val="both"/>
        <w:rPr>
          <w:rFonts w:ascii="Times New Roman" w:hAnsi="Times New Roman"/>
          <w:sz w:val="24"/>
          <w:szCs w:val="24"/>
        </w:rPr>
      </w:pPr>
      <w:r w:rsidRPr="00512478">
        <w:rPr>
          <w:rFonts w:ascii="Times New Roman" w:hAnsi="Times New Roman"/>
          <w:sz w:val="24"/>
          <w:szCs w:val="24"/>
        </w:rPr>
        <w:t xml:space="preserve">Národná banka Slovenska vypracovala podľa čl. 7 smernice </w:t>
      </w:r>
      <w:r w:rsidR="08816825" w:rsidRPr="00512478">
        <w:rPr>
          <w:rFonts w:ascii="Times New Roman" w:hAnsi="Times New Roman"/>
          <w:sz w:val="24"/>
          <w:szCs w:val="24"/>
        </w:rPr>
        <w:t xml:space="preserve"> (EÚ) </w:t>
      </w:r>
      <w:r w:rsidRPr="00512478">
        <w:rPr>
          <w:rFonts w:ascii="Times New Roman" w:hAnsi="Times New Roman"/>
          <w:sz w:val="24"/>
          <w:szCs w:val="24"/>
        </w:rPr>
        <w:t xml:space="preserve">2024/1640, analýzu rizikovosti sektora správcov úverov.  Podľa vykonanej analýzy je celková rizikovosť tohto sektora hodnotená ako nízka, a preto nie je dôvod klasifikovať správcov úverov ako povinné subjekty podľa novej európskej legislatívy </w:t>
      </w:r>
      <w:r w:rsidR="4E939894" w:rsidRPr="00512478">
        <w:rPr>
          <w:rFonts w:ascii="Times New Roman" w:hAnsi="Times New Roman"/>
          <w:sz w:val="24"/>
          <w:szCs w:val="24"/>
        </w:rPr>
        <w:t>v AML/CFT oblasti</w:t>
      </w:r>
      <w:r w:rsidRPr="00512478">
        <w:rPr>
          <w:rFonts w:ascii="Times New Roman" w:hAnsi="Times New Roman"/>
          <w:sz w:val="24"/>
          <w:szCs w:val="24"/>
        </w:rPr>
        <w:t xml:space="preserve">. </w:t>
      </w:r>
    </w:p>
    <w:p w14:paraId="11B7A7C5" w14:textId="6967DCCE" w:rsidR="65CCCFCE" w:rsidRDefault="13CBDFFB" w:rsidP="23BE041E">
      <w:pPr>
        <w:spacing w:after="240"/>
        <w:ind w:left="-11"/>
        <w:jc w:val="both"/>
        <w:rPr>
          <w:rFonts w:ascii="Times New Roman" w:hAnsi="Times New Roman"/>
          <w:sz w:val="24"/>
          <w:szCs w:val="24"/>
        </w:rPr>
      </w:pPr>
      <w:r w:rsidRPr="00512478">
        <w:rPr>
          <w:rFonts w:ascii="Times New Roman" w:hAnsi="Times New Roman"/>
          <w:sz w:val="24"/>
          <w:szCs w:val="24"/>
        </w:rPr>
        <w:t>Vzhľadom na uvedené je potrebné pristúpiť k zmene zákona č. 106/2024 Z. z. o správcoch úveroch a nákupcoch úverov a o zmene a doplnení niektorých zákonov v znení neskorších predpisov, ktorá reflektuje, že správcovia úverov sa už nebudú považovať za povinné osoby v oblasti AML</w:t>
      </w:r>
      <w:r w:rsidR="643F7A29" w:rsidRPr="00512478">
        <w:rPr>
          <w:rFonts w:ascii="Times New Roman" w:hAnsi="Times New Roman"/>
          <w:sz w:val="24"/>
          <w:szCs w:val="24"/>
        </w:rPr>
        <w:t>/CFT</w:t>
      </w:r>
      <w:r w:rsidRPr="00512478">
        <w:rPr>
          <w:rFonts w:ascii="Times New Roman" w:hAnsi="Times New Roman"/>
          <w:sz w:val="24"/>
          <w:szCs w:val="24"/>
        </w:rPr>
        <w:t>. Ustanovenia týkajúce sa povinností v oblasti AML</w:t>
      </w:r>
      <w:r w:rsidR="0A47A1E5" w:rsidRPr="00512478">
        <w:rPr>
          <w:rFonts w:ascii="Times New Roman" w:hAnsi="Times New Roman"/>
          <w:sz w:val="24"/>
          <w:szCs w:val="24"/>
        </w:rPr>
        <w:t>/CFT</w:t>
      </w:r>
      <w:r w:rsidRPr="00512478">
        <w:rPr>
          <w:rFonts w:ascii="Times New Roman" w:hAnsi="Times New Roman"/>
          <w:sz w:val="24"/>
          <w:szCs w:val="24"/>
        </w:rPr>
        <w:t xml:space="preserve"> je preto potrebné zo zákona vypustiť.</w:t>
      </w:r>
    </w:p>
    <w:p w14:paraId="45A3A7C5" w14:textId="413C812C" w:rsidR="65CCCFCE" w:rsidRDefault="13CBDFFB" w:rsidP="23BE041E">
      <w:pPr>
        <w:spacing w:after="240"/>
        <w:ind w:left="-11"/>
        <w:jc w:val="both"/>
        <w:rPr>
          <w:rFonts w:ascii="Times New Roman" w:hAnsi="Times New Roman"/>
          <w:sz w:val="24"/>
          <w:szCs w:val="24"/>
        </w:rPr>
      </w:pPr>
      <w:r w:rsidRPr="00512478">
        <w:rPr>
          <w:rFonts w:ascii="Times New Roman" w:hAnsi="Times New Roman"/>
          <w:sz w:val="24"/>
          <w:szCs w:val="24"/>
        </w:rPr>
        <w:t>V tejto súvislosti je potrebné dodať, že táto zmena sa nedotkne ustanovení o dôveryhodnosti (§ 6 ods. 8 predmetného zákona), keďže v iných oblastiach finančného trhu (napr. nebankoví veritelia) zostali povinnosti v oblasti AML</w:t>
      </w:r>
      <w:r w:rsidR="7509E1B2" w:rsidRPr="00512478">
        <w:rPr>
          <w:rFonts w:ascii="Times New Roman" w:hAnsi="Times New Roman"/>
          <w:sz w:val="24"/>
          <w:szCs w:val="24"/>
        </w:rPr>
        <w:t>/CFT</w:t>
      </w:r>
      <w:r w:rsidRPr="00512478">
        <w:rPr>
          <w:rFonts w:ascii="Times New Roman" w:hAnsi="Times New Roman"/>
          <w:sz w:val="24"/>
          <w:szCs w:val="24"/>
        </w:rPr>
        <w:t xml:space="preserve"> zachované, t. j. aj povinnosť ustanoviť osobu zodpovednú za AML</w:t>
      </w:r>
      <w:r w:rsidR="3B1D56DA" w:rsidRPr="00512478">
        <w:rPr>
          <w:rFonts w:ascii="Times New Roman" w:hAnsi="Times New Roman"/>
          <w:sz w:val="24"/>
          <w:szCs w:val="24"/>
        </w:rPr>
        <w:t>/CFT oblasť</w:t>
      </w:r>
      <w:r w:rsidRPr="00512478">
        <w:rPr>
          <w:rFonts w:ascii="Times New Roman" w:hAnsi="Times New Roman"/>
          <w:sz w:val="24"/>
          <w:szCs w:val="24"/>
        </w:rPr>
        <w:t>, resp. podľa novej európskej legislatívy „pracovníka pre dodržiavanie súladu“.</w:t>
      </w:r>
    </w:p>
    <w:p w14:paraId="2ECA6E60" w14:textId="4DB63F3D" w:rsidR="65CCCFCE" w:rsidRDefault="13CBDFFB" w:rsidP="23BE041E">
      <w:pPr>
        <w:spacing w:after="240"/>
        <w:ind w:left="-11"/>
        <w:jc w:val="both"/>
        <w:rPr>
          <w:rFonts w:ascii="Times New Roman" w:hAnsi="Times New Roman"/>
          <w:sz w:val="24"/>
          <w:szCs w:val="24"/>
        </w:rPr>
      </w:pPr>
      <w:r w:rsidRPr="00512478">
        <w:rPr>
          <w:rFonts w:ascii="Times New Roman" w:hAnsi="Times New Roman"/>
          <w:sz w:val="24"/>
          <w:szCs w:val="24"/>
        </w:rPr>
        <w:t>Pre úplnosť je potrebné dodať, že v súlade s čl. 30 ods. 1 písm. c) smernice 2021/2167 o správcoch úverov a nákupcoch úverov, Komisia EÚ do 29. decembra 2026 vykoná hodnotenie tejto smernice, ktorej obsahom bude aj posúdenie existujúceho rizika prania špinavých peňazí a financovania terorizmu spojeného s činnosťami, ktoré vykonávajú správcovia úverov a nákupcovia úverov. Komisia teda najneskôr do konca roka 2026 posúdi rizikovosť daného sektora z hľadiska ML</w:t>
      </w:r>
      <w:r w:rsidR="3B54C615" w:rsidRPr="00512478">
        <w:rPr>
          <w:rFonts w:ascii="Times New Roman" w:hAnsi="Times New Roman"/>
          <w:sz w:val="24"/>
          <w:szCs w:val="24"/>
        </w:rPr>
        <w:t>/TF</w:t>
      </w:r>
      <w:r w:rsidRPr="00512478">
        <w:rPr>
          <w:rFonts w:ascii="Times New Roman" w:hAnsi="Times New Roman"/>
          <w:sz w:val="24"/>
          <w:szCs w:val="24"/>
        </w:rPr>
        <w:t>.</w:t>
      </w:r>
    </w:p>
    <w:p w14:paraId="028BD7AB" w14:textId="69CCC6D1" w:rsidR="6405D0E6" w:rsidRDefault="6405D0E6" w:rsidP="6405D0E6">
      <w:pPr>
        <w:spacing w:after="0"/>
        <w:ind w:left="426" w:hanging="426"/>
        <w:jc w:val="center"/>
        <w:rPr>
          <w:rFonts w:ascii="Times New Roman" w:hAnsi="Times New Roman"/>
          <w:b/>
          <w:bCs/>
          <w:sz w:val="24"/>
          <w:szCs w:val="24"/>
        </w:rPr>
      </w:pPr>
    </w:p>
    <w:p w14:paraId="3496CDA1" w14:textId="686D85CE" w:rsidR="542B69F4" w:rsidRPr="00512478" w:rsidRDefault="175ADB55" w:rsidP="070BDBF9">
      <w:pPr>
        <w:spacing w:after="0"/>
        <w:ind w:left="426" w:hanging="426"/>
        <w:jc w:val="center"/>
        <w:rPr>
          <w:rFonts w:ascii="Times New Roman" w:hAnsi="Times New Roman"/>
          <w:b/>
          <w:bCs/>
          <w:sz w:val="24"/>
          <w:szCs w:val="24"/>
        </w:rPr>
      </w:pPr>
      <w:r w:rsidRPr="00512478">
        <w:rPr>
          <w:rFonts w:ascii="Times New Roman" w:hAnsi="Times New Roman"/>
          <w:b/>
          <w:bCs/>
          <w:sz w:val="24"/>
          <w:szCs w:val="24"/>
        </w:rPr>
        <w:t>Čl. XXVI</w:t>
      </w:r>
      <w:r w:rsidR="6153A09B" w:rsidRPr="00512478">
        <w:rPr>
          <w:rFonts w:ascii="Times New Roman" w:hAnsi="Times New Roman"/>
          <w:b/>
          <w:bCs/>
          <w:sz w:val="24"/>
          <w:szCs w:val="24"/>
        </w:rPr>
        <w:t>I</w:t>
      </w:r>
    </w:p>
    <w:p w14:paraId="34554CEF" w14:textId="1A2BD545" w:rsidR="6405D0E6" w:rsidRDefault="6405D0E6" w:rsidP="070BDBF9">
      <w:pPr>
        <w:spacing w:after="0"/>
        <w:jc w:val="center"/>
        <w:rPr>
          <w:rFonts w:ascii="Times New Roman" w:hAnsi="Times New Roman"/>
          <w:b/>
          <w:bCs/>
          <w:sz w:val="24"/>
          <w:szCs w:val="24"/>
          <w:u w:val="single"/>
        </w:rPr>
      </w:pPr>
    </w:p>
    <w:p w14:paraId="7749311E" w14:textId="04CDBF7E" w:rsidR="542B69F4" w:rsidRDefault="4E387A99" w:rsidP="070BDBF9">
      <w:pPr>
        <w:spacing w:after="0"/>
        <w:jc w:val="center"/>
        <w:rPr>
          <w:rFonts w:ascii="Times New Roman" w:hAnsi="Times New Roman"/>
          <w:b/>
          <w:bCs/>
          <w:sz w:val="24"/>
          <w:szCs w:val="24"/>
        </w:rPr>
      </w:pPr>
      <w:r w:rsidRPr="070BDBF9">
        <w:rPr>
          <w:rFonts w:ascii="Times New Roman" w:hAnsi="Times New Roman"/>
          <w:b/>
          <w:bCs/>
          <w:sz w:val="24"/>
          <w:szCs w:val="24"/>
        </w:rPr>
        <w:t>Zákon č. 312/2025 Z. z. o spotrebiteľských úveroch a o iných úveroch a pôžičkách pre spotrebiteľov</w:t>
      </w:r>
    </w:p>
    <w:p w14:paraId="01DAD00C" w14:textId="36C8D166" w:rsidR="6405D0E6" w:rsidRDefault="6405D0E6" w:rsidP="070BDBF9">
      <w:pPr>
        <w:spacing w:after="0"/>
        <w:jc w:val="center"/>
        <w:rPr>
          <w:rFonts w:ascii="Times New Roman" w:hAnsi="Times New Roman"/>
          <w:b/>
          <w:bCs/>
          <w:sz w:val="24"/>
          <w:szCs w:val="24"/>
          <w:u w:val="single"/>
        </w:rPr>
      </w:pPr>
    </w:p>
    <w:p w14:paraId="32BA3A44" w14:textId="6059D6AF" w:rsidR="542B69F4" w:rsidRDefault="175ADB55" w:rsidP="070BDBF9">
      <w:pPr>
        <w:spacing w:after="0"/>
        <w:jc w:val="both"/>
      </w:pPr>
      <w:r w:rsidRPr="004E4256">
        <w:rPr>
          <w:rFonts w:ascii="Times New Roman" w:hAnsi="Times New Roman"/>
          <w:b/>
          <w:bCs/>
          <w:sz w:val="24"/>
          <w:szCs w:val="24"/>
        </w:rPr>
        <w:t xml:space="preserve">K bodom 1 až </w:t>
      </w:r>
      <w:r w:rsidR="68B7D9A3" w:rsidRPr="004E4256">
        <w:rPr>
          <w:rFonts w:ascii="Times New Roman" w:hAnsi="Times New Roman"/>
          <w:b/>
          <w:bCs/>
          <w:sz w:val="24"/>
          <w:szCs w:val="24"/>
        </w:rPr>
        <w:t>8</w:t>
      </w:r>
    </w:p>
    <w:p w14:paraId="08EB11E4" w14:textId="64DFD17A" w:rsidR="542B69F4" w:rsidRPr="00512478" w:rsidRDefault="2ECE83C1" w:rsidP="23BE041E">
      <w:pPr>
        <w:ind w:left="-11"/>
        <w:jc w:val="both"/>
        <w:rPr>
          <w:rFonts w:ascii="Times New Roman" w:hAnsi="Times New Roman"/>
          <w:sz w:val="24"/>
          <w:szCs w:val="24"/>
        </w:rPr>
      </w:pPr>
      <w:r w:rsidRPr="00512478">
        <w:rPr>
          <w:rFonts w:ascii="Times New Roman" w:hAnsi="Times New Roman"/>
          <w:sz w:val="24"/>
          <w:szCs w:val="24"/>
        </w:rPr>
        <w:lastRenderedPageBreak/>
        <w:t xml:space="preserve">Z dôvodu transpozície smernice </w:t>
      </w:r>
      <w:r w:rsidR="71B7D6CC" w:rsidRPr="00512478">
        <w:rPr>
          <w:rFonts w:ascii="Times New Roman" w:hAnsi="Times New Roman"/>
          <w:sz w:val="24"/>
          <w:szCs w:val="24"/>
        </w:rPr>
        <w:t>(</w:t>
      </w:r>
      <w:r w:rsidRPr="00512478">
        <w:rPr>
          <w:rFonts w:ascii="Times New Roman" w:hAnsi="Times New Roman"/>
          <w:sz w:val="24"/>
          <w:szCs w:val="24"/>
        </w:rPr>
        <w:t>EÚ</w:t>
      </w:r>
      <w:r w:rsidR="70AF0EB1" w:rsidRPr="00512478">
        <w:rPr>
          <w:rFonts w:ascii="Times New Roman" w:hAnsi="Times New Roman"/>
          <w:sz w:val="24"/>
          <w:szCs w:val="24"/>
        </w:rPr>
        <w:t>)</w:t>
      </w:r>
      <w:r w:rsidRPr="00512478">
        <w:rPr>
          <w:rFonts w:ascii="Times New Roman" w:hAnsi="Times New Roman"/>
          <w:sz w:val="24"/>
          <w:szCs w:val="24"/>
        </w:rPr>
        <w:t xml:space="preserve"> 2024/1640 do slovenského právneho poriadku, bolo potrebné do zákona č. 312/2025 Z. z. o spotrebiteľských úveroch a o iných úveroch a pôžičkách pre spotrebiteľov a o zmene a doplnení niektorých zákonov zapracovať požiadavku čl. 4 bod 3 smernice</w:t>
      </w:r>
      <w:r w:rsidR="3373107C" w:rsidRPr="00512478">
        <w:rPr>
          <w:rFonts w:ascii="Times New Roman" w:hAnsi="Times New Roman"/>
          <w:sz w:val="24"/>
          <w:szCs w:val="24"/>
        </w:rPr>
        <w:t xml:space="preserve"> (EÚ) 2024/1640</w:t>
      </w:r>
      <w:r w:rsidRPr="00512478">
        <w:rPr>
          <w:rFonts w:ascii="Times New Roman" w:hAnsi="Times New Roman"/>
          <w:sz w:val="24"/>
          <w:szCs w:val="24"/>
        </w:rPr>
        <w:t xml:space="preserve"> na minimálne registračné požiadavky zavedením „zoznamu veriteľov bez požiadavky na udelenie povolenia“.</w:t>
      </w:r>
    </w:p>
    <w:p w14:paraId="2A118B00" w14:textId="6F34E018" w:rsidR="542B69F4" w:rsidRPr="00512478" w:rsidRDefault="2ECE83C1" w:rsidP="23BE041E">
      <w:pPr>
        <w:ind w:left="-11"/>
        <w:jc w:val="both"/>
        <w:rPr>
          <w:rFonts w:ascii="Times New Roman" w:hAnsi="Times New Roman"/>
          <w:sz w:val="24"/>
          <w:szCs w:val="24"/>
        </w:rPr>
      </w:pPr>
      <w:r w:rsidRPr="00512478">
        <w:rPr>
          <w:rFonts w:ascii="Times New Roman" w:hAnsi="Times New Roman"/>
          <w:sz w:val="24"/>
          <w:szCs w:val="24"/>
        </w:rPr>
        <w:t>Zoznam veriteľov oprávnených poskytovať spotrebiteľské úvery bez povolenia podľa § 25 ods. 3 písm. a) predmetného zákona bude na základe zásady publicity zverejňovaný aj na webovej stránke Národnej banky Slovenska v zozname veriteľov podľa § 19 tohto zákona.</w:t>
      </w:r>
    </w:p>
    <w:p w14:paraId="6C03BECC" w14:textId="4975F54A" w:rsidR="542B69F4" w:rsidRPr="00512478" w:rsidRDefault="2ECE83C1" w:rsidP="23BE041E">
      <w:pPr>
        <w:ind w:left="-11"/>
        <w:jc w:val="both"/>
        <w:rPr>
          <w:rFonts w:ascii="Times New Roman" w:hAnsi="Times New Roman"/>
          <w:sz w:val="24"/>
          <w:szCs w:val="24"/>
        </w:rPr>
      </w:pPr>
      <w:r w:rsidRPr="00512478">
        <w:rPr>
          <w:rFonts w:ascii="Times New Roman" w:hAnsi="Times New Roman"/>
          <w:sz w:val="24"/>
          <w:szCs w:val="24"/>
        </w:rPr>
        <w:t xml:space="preserve">Vzhľadom na novú európsku legislatívu sa zároveň upravujú odkazy na právne záväzné akty Európskej únie a iné všeobecne závažné právne predpisy upravujúce  mechanizmy </w:t>
      </w:r>
      <w:r w:rsidR="48644665" w:rsidRPr="00512478">
        <w:rPr>
          <w:rFonts w:ascii="Times New Roman" w:hAnsi="Times New Roman"/>
          <w:sz w:val="24"/>
          <w:szCs w:val="24"/>
        </w:rPr>
        <w:t xml:space="preserve">v </w:t>
      </w:r>
      <w:r w:rsidRPr="00512478">
        <w:rPr>
          <w:rFonts w:ascii="Times New Roman" w:hAnsi="Times New Roman"/>
          <w:sz w:val="24"/>
          <w:szCs w:val="24"/>
        </w:rPr>
        <w:t>AML</w:t>
      </w:r>
      <w:r w:rsidR="37D0524E" w:rsidRPr="00512478">
        <w:rPr>
          <w:rFonts w:ascii="Times New Roman" w:hAnsi="Times New Roman"/>
          <w:sz w:val="24"/>
          <w:szCs w:val="24"/>
        </w:rPr>
        <w:t>/CFT oblasti</w:t>
      </w:r>
      <w:r w:rsidRPr="00512478">
        <w:rPr>
          <w:rFonts w:ascii="Times New Roman" w:hAnsi="Times New Roman"/>
          <w:sz w:val="24"/>
          <w:szCs w:val="24"/>
        </w:rPr>
        <w:t xml:space="preserve">. </w:t>
      </w:r>
    </w:p>
    <w:p w14:paraId="21C612CC" w14:textId="4EC1AA89" w:rsidR="542B69F4" w:rsidRPr="00512478" w:rsidRDefault="2ECE83C1" w:rsidP="070BDBF9">
      <w:pPr>
        <w:ind w:left="-11"/>
        <w:jc w:val="both"/>
        <w:rPr>
          <w:rFonts w:ascii="Times New Roman" w:hAnsi="Times New Roman"/>
          <w:sz w:val="24"/>
          <w:szCs w:val="24"/>
        </w:rPr>
      </w:pPr>
      <w:r w:rsidRPr="00512478">
        <w:rPr>
          <w:rFonts w:ascii="Times New Roman" w:hAnsi="Times New Roman"/>
          <w:sz w:val="24"/>
          <w:szCs w:val="24"/>
        </w:rPr>
        <w:t>Doterajšia právna úprava (zákon č. 297/2008 Z. z.) používala pojem Program vlastnej činnosti. Články 9 a 10 nariadenia (EÚ) 2024/1624, ktoré nahrádzajú § 20 zákona č. 297/2008 Z. z.  nepomenovávajú dokument, resp. dokumenty, ktoré je subjekt povinný mať vypracované.  Keďže je pojem Program vlastnej činnosti ustáleným pojmom a medzi dotknutými subjektmi rokmi zaužívaný, ponecháva sa v textácii zákona avšak už v nadväznosti na dotknuté články nariadenia.</w:t>
      </w:r>
    </w:p>
    <w:p w14:paraId="562D9E6A" w14:textId="71FB26E0" w:rsidR="6405D0E6" w:rsidRDefault="6405D0E6" w:rsidP="070BDBF9">
      <w:pPr>
        <w:spacing w:after="0"/>
        <w:jc w:val="center"/>
        <w:rPr>
          <w:rFonts w:ascii="Times New Roman" w:hAnsi="Times New Roman"/>
          <w:b/>
          <w:bCs/>
          <w:sz w:val="24"/>
          <w:szCs w:val="24"/>
          <w:u w:val="single"/>
        </w:rPr>
      </w:pPr>
    </w:p>
    <w:p w14:paraId="5C8DCA4C" w14:textId="2B2E08B0" w:rsidR="21BAF62A" w:rsidRPr="00512478" w:rsidRDefault="65C6BC24" w:rsidP="070BDBF9">
      <w:pPr>
        <w:spacing w:after="0"/>
        <w:jc w:val="center"/>
        <w:rPr>
          <w:rFonts w:ascii="Times New Roman" w:hAnsi="Times New Roman"/>
          <w:b/>
          <w:bCs/>
          <w:sz w:val="24"/>
          <w:szCs w:val="24"/>
        </w:rPr>
      </w:pPr>
      <w:r w:rsidRPr="00512478">
        <w:rPr>
          <w:rFonts w:ascii="Times New Roman" w:hAnsi="Times New Roman"/>
          <w:b/>
          <w:bCs/>
          <w:sz w:val="24"/>
          <w:szCs w:val="24"/>
        </w:rPr>
        <w:t xml:space="preserve">Čl. </w:t>
      </w:r>
      <w:r w:rsidR="67CA9DED" w:rsidRPr="00512478">
        <w:rPr>
          <w:rFonts w:ascii="Times New Roman" w:hAnsi="Times New Roman"/>
          <w:b/>
          <w:bCs/>
          <w:sz w:val="24"/>
          <w:szCs w:val="24"/>
        </w:rPr>
        <w:t>XXVII</w:t>
      </w:r>
      <w:r w:rsidR="3B3BB490" w:rsidRPr="00512478">
        <w:rPr>
          <w:rFonts w:ascii="Times New Roman" w:hAnsi="Times New Roman"/>
          <w:b/>
          <w:bCs/>
          <w:sz w:val="24"/>
          <w:szCs w:val="24"/>
        </w:rPr>
        <w:t>I</w:t>
      </w:r>
    </w:p>
    <w:p w14:paraId="43C8D91F" w14:textId="6A2525BB" w:rsidR="42B6F981" w:rsidRDefault="42B6F981" w:rsidP="070BDBF9">
      <w:pPr>
        <w:spacing w:after="0"/>
        <w:jc w:val="both"/>
        <w:rPr>
          <w:rFonts w:ascii="Times New Roman" w:hAnsi="Times New Roman"/>
          <w:sz w:val="24"/>
          <w:szCs w:val="24"/>
        </w:rPr>
      </w:pPr>
    </w:p>
    <w:p w14:paraId="72E325F9" w14:textId="370C89C0" w:rsidR="00FD13AA" w:rsidRDefault="4B7FB290" w:rsidP="070BDBF9">
      <w:pPr>
        <w:spacing w:after="0"/>
        <w:jc w:val="both"/>
        <w:rPr>
          <w:rFonts w:ascii="Times New Roman" w:hAnsi="Times New Roman"/>
          <w:sz w:val="24"/>
          <w:szCs w:val="24"/>
        </w:rPr>
      </w:pPr>
      <w:r w:rsidRPr="004E4256">
        <w:rPr>
          <w:rFonts w:ascii="Times New Roman" w:hAnsi="Times New Roman"/>
          <w:sz w:val="24"/>
          <w:szCs w:val="24"/>
        </w:rPr>
        <w:t>Navrhovaná účinnosť zákona od 10. júla 2027 zohľadňuje termín transpozície smernice (EÚ) 2024/1640 a dátum uplatňovania nariadenia (EÚ) 2024/1624.</w:t>
      </w:r>
    </w:p>
    <w:sectPr w:rsidR="00FD13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UAlbertina-Regu">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B03B4"/>
    <w:multiLevelType w:val="multilevel"/>
    <w:tmpl w:val="76840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C86847"/>
    <w:multiLevelType w:val="multilevel"/>
    <w:tmpl w:val="8042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D370F"/>
    <w:multiLevelType w:val="multilevel"/>
    <w:tmpl w:val="23105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B4659"/>
    <w:multiLevelType w:val="hybridMultilevel"/>
    <w:tmpl w:val="F568421A"/>
    <w:lvl w:ilvl="0" w:tplc="041B0015">
      <w:start w:val="1"/>
      <w:numFmt w:val="upperLetter"/>
      <w:lvlText w:val="%1."/>
      <w:lvlJc w:val="left"/>
      <w:pPr>
        <w:ind w:left="1429" w:hanging="360"/>
      </w:pPr>
      <w:rPr>
        <w:rFonts w:cs="Times New Roman"/>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4" w15:restartNumberingAfterBreak="0">
    <w:nsid w:val="20B73F90"/>
    <w:multiLevelType w:val="hybridMultilevel"/>
    <w:tmpl w:val="A3B848F4"/>
    <w:lvl w:ilvl="0" w:tplc="27F8A9D2">
      <w:start w:val="1"/>
      <w:numFmt w:val="bullet"/>
      <w:lvlText w:val="·"/>
      <w:lvlJc w:val="left"/>
      <w:pPr>
        <w:ind w:left="720" w:hanging="360"/>
      </w:pPr>
      <w:rPr>
        <w:rFonts w:ascii="Symbol" w:hAnsi="Symbol" w:hint="default"/>
      </w:rPr>
    </w:lvl>
    <w:lvl w:ilvl="1" w:tplc="6A524F0A">
      <w:start w:val="1"/>
      <w:numFmt w:val="bullet"/>
      <w:lvlText w:val="o"/>
      <w:lvlJc w:val="left"/>
      <w:pPr>
        <w:ind w:left="1440" w:hanging="360"/>
      </w:pPr>
      <w:rPr>
        <w:rFonts w:ascii="Courier New" w:hAnsi="Courier New" w:hint="default"/>
      </w:rPr>
    </w:lvl>
    <w:lvl w:ilvl="2" w:tplc="96F26114">
      <w:start w:val="1"/>
      <w:numFmt w:val="bullet"/>
      <w:lvlText w:val=""/>
      <w:lvlJc w:val="left"/>
      <w:pPr>
        <w:ind w:left="2160" w:hanging="360"/>
      </w:pPr>
      <w:rPr>
        <w:rFonts w:ascii="Wingdings" w:hAnsi="Wingdings" w:hint="default"/>
      </w:rPr>
    </w:lvl>
    <w:lvl w:ilvl="3" w:tplc="A15252EE">
      <w:start w:val="1"/>
      <w:numFmt w:val="bullet"/>
      <w:lvlText w:val=""/>
      <w:lvlJc w:val="left"/>
      <w:pPr>
        <w:ind w:left="2880" w:hanging="360"/>
      </w:pPr>
      <w:rPr>
        <w:rFonts w:ascii="Symbol" w:hAnsi="Symbol" w:hint="default"/>
      </w:rPr>
    </w:lvl>
    <w:lvl w:ilvl="4" w:tplc="E9806E24">
      <w:start w:val="1"/>
      <w:numFmt w:val="bullet"/>
      <w:lvlText w:val="o"/>
      <w:lvlJc w:val="left"/>
      <w:pPr>
        <w:ind w:left="3600" w:hanging="360"/>
      </w:pPr>
      <w:rPr>
        <w:rFonts w:ascii="Courier New" w:hAnsi="Courier New" w:hint="default"/>
      </w:rPr>
    </w:lvl>
    <w:lvl w:ilvl="5" w:tplc="D2FCBA7A">
      <w:start w:val="1"/>
      <w:numFmt w:val="bullet"/>
      <w:lvlText w:val=""/>
      <w:lvlJc w:val="left"/>
      <w:pPr>
        <w:ind w:left="4320" w:hanging="360"/>
      </w:pPr>
      <w:rPr>
        <w:rFonts w:ascii="Wingdings" w:hAnsi="Wingdings" w:hint="default"/>
      </w:rPr>
    </w:lvl>
    <w:lvl w:ilvl="6" w:tplc="8D8EF2D6">
      <w:start w:val="1"/>
      <w:numFmt w:val="bullet"/>
      <w:lvlText w:val=""/>
      <w:lvlJc w:val="left"/>
      <w:pPr>
        <w:ind w:left="5040" w:hanging="360"/>
      </w:pPr>
      <w:rPr>
        <w:rFonts w:ascii="Symbol" w:hAnsi="Symbol" w:hint="default"/>
      </w:rPr>
    </w:lvl>
    <w:lvl w:ilvl="7" w:tplc="A45CCB0C">
      <w:start w:val="1"/>
      <w:numFmt w:val="bullet"/>
      <w:lvlText w:val="o"/>
      <w:lvlJc w:val="left"/>
      <w:pPr>
        <w:ind w:left="5760" w:hanging="360"/>
      </w:pPr>
      <w:rPr>
        <w:rFonts w:ascii="Courier New" w:hAnsi="Courier New" w:hint="default"/>
      </w:rPr>
    </w:lvl>
    <w:lvl w:ilvl="8" w:tplc="0C3CDF10">
      <w:start w:val="1"/>
      <w:numFmt w:val="bullet"/>
      <w:lvlText w:val=""/>
      <w:lvlJc w:val="left"/>
      <w:pPr>
        <w:ind w:left="6480" w:hanging="360"/>
      </w:pPr>
      <w:rPr>
        <w:rFonts w:ascii="Wingdings" w:hAnsi="Wingdings" w:hint="default"/>
      </w:rPr>
    </w:lvl>
  </w:abstractNum>
  <w:abstractNum w:abstractNumId="5" w15:restartNumberingAfterBreak="0">
    <w:nsid w:val="234C7A07"/>
    <w:multiLevelType w:val="hybridMultilevel"/>
    <w:tmpl w:val="DBAE6352"/>
    <w:lvl w:ilvl="0" w:tplc="9606E926">
      <w:start w:val="1"/>
      <w:numFmt w:val="bullet"/>
      <w:lvlText w:val="·"/>
      <w:lvlJc w:val="left"/>
      <w:pPr>
        <w:ind w:left="720" w:hanging="360"/>
      </w:pPr>
      <w:rPr>
        <w:rFonts w:ascii="Symbol" w:hAnsi="Symbol" w:hint="default"/>
      </w:rPr>
    </w:lvl>
    <w:lvl w:ilvl="1" w:tplc="D9682E5C">
      <w:start w:val="1"/>
      <w:numFmt w:val="bullet"/>
      <w:lvlText w:val="o"/>
      <w:lvlJc w:val="left"/>
      <w:pPr>
        <w:ind w:left="1440" w:hanging="360"/>
      </w:pPr>
      <w:rPr>
        <w:rFonts w:ascii="Courier New" w:hAnsi="Courier New" w:hint="default"/>
      </w:rPr>
    </w:lvl>
    <w:lvl w:ilvl="2" w:tplc="DAAED984">
      <w:start w:val="1"/>
      <w:numFmt w:val="bullet"/>
      <w:lvlText w:val=""/>
      <w:lvlJc w:val="left"/>
      <w:pPr>
        <w:ind w:left="2160" w:hanging="360"/>
      </w:pPr>
      <w:rPr>
        <w:rFonts w:ascii="Wingdings" w:hAnsi="Wingdings" w:hint="default"/>
      </w:rPr>
    </w:lvl>
    <w:lvl w:ilvl="3" w:tplc="526661E0">
      <w:start w:val="1"/>
      <w:numFmt w:val="bullet"/>
      <w:lvlText w:val=""/>
      <w:lvlJc w:val="left"/>
      <w:pPr>
        <w:ind w:left="2880" w:hanging="360"/>
      </w:pPr>
      <w:rPr>
        <w:rFonts w:ascii="Symbol" w:hAnsi="Symbol" w:hint="default"/>
      </w:rPr>
    </w:lvl>
    <w:lvl w:ilvl="4" w:tplc="4468D638">
      <w:start w:val="1"/>
      <w:numFmt w:val="bullet"/>
      <w:lvlText w:val="o"/>
      <w:lvlJc w:val="left"/>
      <w:pPr>
        <w:ind w:left="3600" w:hanging="360"/>
      </w:pPr>
      <w:rPr>
        <w:rFonts w:ascii="Courier New" w:hAnsi="Courier New" w:hint="default"/>
      </w:rPr>
    </w:lvl>
    <w:lvl w:ilvl="5" w:tplc="C9AC4224">
      <w:start w:val="1"/>
      <w:numFmt w:val="bullet"/>
      <w:lvlText w:val=""/>
      <w:lvlJc w:val="left"/>
      <w:pPr>
        <w:ind w:left="4320" w:hanging="360"/>
      </w:pPr>
      <w:rPr>
        <w:rFonts w:ascii="Wingdings" w:hAnsi="Wingdings" w:hint="default"/>
      </w:rPr>
    </w:lvl>
    <w:lvl w:ilvl="6" w:tplc="C9C4E95C">
      <w:start w:val="1"/>
      <w:numFmt w:val="bullet"/>
      <w:lvlText w:val=""/>
      <w:lvlJc w:val="left"/>
      <w:pPr>
        <w:ind w:left="5040" w:hanging="360"/>
      </w:pPr>
      <w:rPr>
        <w:rFonts w:ascii="Symbol" w:hAnsi="Symbol" w:hint="default"/>
      </w:rPr>
    </w:lvl>
    <w:lvl w:ilvl="7" w:tplc="071ABD74">
      <w:start w:val="1"/>
      <w:numFmt w:val="bullet"/>
      <w:lvlText w:val="o"/>
      <w:lvlJc w:val="left"/>
      <w:pPr>
        <w:ind w:left="5760" w:hanging="360"/>
      </w:pPr>
      <w:rPr>
        <w:rFonts w:ascii="Courier New" w:hAnsi="Courier New" w:hint="default"/>
      </w:rPr>
    </w:lvl>
    <w:lvl w:ilvl="8" w:tplc="A9D8777E">
      <w:start w:val="1"/>
      <w:numFmt w:val="bullet"/>
      <w:lvlText w:val=""/>
      <w:lvlJc w:val="left"/>
      <w:pPr>
        <w:ind w:left="6480" w:hanging="360"/>
      </w:pPr>
      <w:rPr>
        <w:rFonts w:ascii="Wingdings" w:hAnsi="Wingdings" w:hint="default"/>
      </w:rPr>
    </w:lvl>
  </w:abstractNum>
  <w:abstractNum w:abstractNumId="6" w15:restartNumberingAfterBreak="0">
    <w:nsid w:val="276DF5FB"/>
    <w:multiLevelType w:val="hybridMultilevel"/>
    <w:tmpl w:val="33907E9C"/>
    <w:lvl w:ilvl="0" w:tplc="96F811A8">
      <w:start w:val="1"/>
      <w:numFmt w:val="decimal"/>
      <w:lvlText w:val="(%1)"/>
      <w:lvlJc w:val="left"/>
      <w:pPr>
        <w:ind w:left="720" w:hanging="360"/>
      </w:pPr>
    </w:lvl>
    <w:lvl w:ilvl="1" w:tplc="AE22C258">
      <w:start w:val="1"/>
      <w:numFmt w:val="lowerLetter"/>
      <w:lvlText w:val="%2."/>
      <w:lvlJc w:val="left"/>
      <w:pPr>
        <w:ind w:left="1440" w:hanging="360"/>
      </w:pPr>
    </w:lvl>
    <w:lvl w:ilvl="2" w:tplc="2E98C760">
      <w:start w:val="1"/>
      <w:numFmt w:val="lowerRoman"/>
      <w:lvlText w:val="%3."/>
      <w:lvlJc w:val="right"/>
      <w:pPr>
        <w:ind w:left="2160" w:hanging="180"/>
      </w:pPr>
    </w:lvl>
    <w:lvl w:ilvl="3" w:tplc="5B7ACA60">
      <w:start w:val="1"/>
      <w:numFmt w:val="decimal"/>
      <w:lvlText w:val="%4."/>
      <w:lvlJc w:val="left"/>
      <w:pPr>
        <w:ind w:left="2880" w:hanging="360"/>
      </w:pPr>
    </w:lvl>
    <w:lvl w:ilvl="4" w:tplc="714AA59C">
      <w:start w:val="1"/>
      <w:numFmt w:val="lowerLetter"/>
      <w:lvlText w:val="%5."/>
      <w:lvlJc w:val="left"/>
      <w:pPr>
        <w:ind w:left="3600" w:hanging="360"/>
      </w:pPr>
    </w:lvl>
    <w:lvl w:ilvl="5" w:tplc="EC88D6CE">
      <w:start w:val="1"/>
      <w:numFmt w:val="lowerRoman"/>
      <w:lvlText w:val="%6."/>
      <w:lvlJc w:val="right"/>
      <w:pPr>
        <w:ind w:left="4320" w:hanging="180"/>
      </w:pPr>
    </w:lvl>
    <w:lvl w:ilvl="6" w:tplc="29109BA4">
      <w:start w:val="1"/>
      <w:numFmt w:val="decimal"/>
      <w:lvlText w:val="%7."/>
      <w:lvlJc w:val="left"/>
      <w:pPr>
        <w:ind w:left="5040" w:hanging="360"/>
      </w:pPr>
    </w:lvl>
    <w:lvl w:ilvl="7" w:tplc="5CEA0F02">
      <w:start w:val="1"/>
      <w:numFmt w:val="lowerLetter"/>
      <w:lvlText w:val="%8."/>
      <w:lvlJc w:val="left"/>
      <w:pPr>
        <w:ind w:left="5760" w:hanging="360"/>
      </w:pPr>
    </w:lvl>
    <w:lvl w:ilvl="8" w:tplc="FBC41868">
      <w:start w:val="1"/>
      <w:numFmt w:val="lowerRoman"/>
      <w:lvlText w:val="%9."/>
      <w:lvlJc w:val="right"/>
      <w:pPr>
        <w:ind w:left="6480" w:hanging="180"/>
      </w:pPr>
    </w:lvl>
  </w:abstractNum>
  <w:abstractNum w:abstractNumId="7" w15:restartNumberingAfterBreak="0">
    <w:nsid w:val="2F9A688C"/>
    <w:multiLevelType w:val="multilevel"/>
    <w:tmpl w:val="AB160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A78AB0"/>
    <w:multiLevelType w:val="hybridMultilevel"/>
    <w:tmpl w:val="931C0296"/>
    <w:lvl w:ilvl="0" w:tplc="A0EC04A6">
      <w:start w:val="1"/>
      <w:numFmt w:val="decimal"/>
      <w:lvlText w:val="(%1)"/>
      <w:lvlJc w:val="left"/>
      <w:pPr>
        <w:ind w:left="720" w:hanging="360"/>
      </w:pPr>
    </w:lvl>
    <w:lvl w:ilvl="1" w:tplc="CB7E369C">
      <w:start w:val="1"/>
      <w:numFmt w:val="lowerLetter"/>
      <w:lvlText w:val="%2."/>
      <w:lvlJc w:val="left"/>
      <w:pPr>
        <w:ind w:left="1440" w:hanging="360"/>
      </w:pPr>
    </w:lvl>
    <w:lvl w:ilvl="2" w:tplc="56B49160">
      <w:start w:val="1"/>
      <w:numFmt w:val="lowerRoman"/>
      <w:lvlText w:val="%3."/>
      <w:lvlJc w:val="right"/>
      <w:pPr>
        <w:ind w:left="2160" w:hanging="180"/>
      </w:pPr>
    </w:lvl>
    <w:lvl w:ilvl="3" w:tplc="B3E61F90">
      <w:start w:val="1"/>
      <w:numFmt w:val="decimal"/>
      <w:lvlText w:val="%4."/>
      <w:lvlJc w:val="left"/>
      <w:pPr>
        <w:ind w:left="2880" w:hanging="360"/>
      </w:pPr>
    </w:lvl>
    <w:lvl w:ilvl="4" w:tplc="4CFE3B92">
      <w:start w:val="1"/>
      <w:numFmt w:val="lowerLetter"/>
      <w:lvlText w:val="%5."/>
      <w:lvlJc w:val="left"/>
      <w:pPr>
        <w:ind w:left="3600" w:hanging="360"/>
      </w:pPr>
    </w:lvl>
    <w:lvl w:ilvl="5" w:tplc="B2BEB2F4">
      <w:start w:val="1"/>
      <w:numFmt w:val="lowerRoman"/>
      <w:lvlText w:val="%6."/>
      <w:lvlJc w:val="right"/>
      <w:pPr>
        <w:ind w:left="4320" w:hanging="180"/>
      </w:pPr>
    </w:lvl>
    <w:lvl w:ilvl="6" w:tplc="AB08C5F2">
      <w:start w:val="1"/>
      <w:numFmt w:val="decimal"/>
      <w:lvlText w:val="%7."/>
      <w:lvlJc w:val="left"/>
      <w:pPr>
        <w:ind w:left="5040" w:hanging="360"/>
      </w:pPr>
    </w:lvl>
    <w:lvl w:ilvl="7" w:tplc="6692541E">
      <w:start w:val="1"/>
      <w:numFmt w:val="lowerLetter"/>
      <w:lvlText w:val="%8."/>
      <w:lvlJc w:val="left"/>
      <w:pPr>
        <w:ind w:left="5760" w:hanging="360"/>
      </w:pPr>
    </w:lvl>
    <w:lvl w:ilvl="8" w:tplc="85186BDC">
      <w:start w:val="1"/>
      <w:numFmt w:val="lowerRoman"/>
      <w:lvlText w:val="%9."/>
      <w:lvlJc w:val="right"/>
      <w:pPr>
        <w:ind w:left="6480" w:hanging="180"/>
      </w:pPr>
    </w:lvl>
  </w:abstractNum>
  <w:abstractNum w:abstractNumId="9" w15:restartNumberingAfterBreak="0">
    <w:nsid w:val="3FDC28DF"/>
    <w:multiLevelType w:val="multilevel"/>
    <w:tmpl w:val="EACC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E61803"/>
    <w:multiLevelType w:val="hybridMultilevel"/>
    <w:tmpl w:val="4CFE0AD0"/>
    <w:lvl w:ilvl="0" w:tplc="C310BF90">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4642C733"/>
    <w:multiLevelType w:val="hybridMultilevel"/>
    <w:tmpl w:val="D7E87EA6"/>
    <w:lvl w:ilvl="0" w:tplc="3F563BC4">
      <w:start w:val="1"/>
      <w:numFmt w:val="decimal"/>
      <w:lvlText w:val="(%1)"/>
      <w:lvlJc w:val="left"/>
      <w:pPr>
        <w:ind w:left="720" w:hanging="360"/>
      </w:pPr>
    </w:lvl>
    <w:lvl w:ilvl="1" w:tplc="49EA1C0A">
      <w:start w:val="1"/>
      <w:numFmt w:val="lowerLetter"/>
      <w:lvlText w:val="%2."/>
      <w:lvlJc w:val="left"/>
      <w:pPr>
        <w:ind w:left="1440" w:hanging="360"/>
      </w:pPr>
    </w:lvl>
    <w:lvl w:ilvl="2" w:tplc="2A58DD7C">
      <w:start w:val="1"/>
      <w:numFmt w:val="lowerRoman"/>
      <w:lvlText w:val="%3."/>
      <w:lvlJc w:val="right"/>
      <w:pPr>
        <w:ind w:left="2160" w:hanging="180"/>
      </w:pPr>
    </w:lvl>
    <w:lvl w:ilvl="3" w:tplc="880A90DE">
      <w:start w:val="1"/>
      <w:numFmt w:val="decimal"/>
      <w:lvlText w:val="%4."/>
      <w:lvlJc w:val="left"/>
      <w:pPr>
        <w:ind w:left="2880" w:hanging="360"/>
      </w:pPr>
    </w:lvl>
    <w:lvl w:ilvl="4" w:tplc="0C9E83A2">
      <w:start w:val="1"/>
      <w:numFmt w:val="lowerLetter"/>
      <w:lvlText w:val="%5."/>
      <w:lvlJc w:val="left"/>
      <w:pPr>
        <w:ind w:left="3600" w:hanging="360"/>
      </w:pPr>
    </w:lvl>
    <w:lvl w:ilvl="5" w:tplc="411C3A5A">
      <w:start w:val="1"/>
      <w:numFmt w:val="lowerRoman"/>
      <w:lvlText w:val="%6."/>
      <w:lvlJc w:val="right"/>
      <w:pPr>
        <w:ind w:left="4320" w:hanging="180"/>
      </w:pPr>
    </w:lvl>
    <w:lvl w:ilvl="6" w:tplc="DB1C400E">
      <w:start w:val="1"/>
      <w:numFmt w:val="decimal"/>
      <w:lvlText w:val="%7."/>
      <w:lvlJc w:val="left"/>
      <w:pPr>
        <w:ind w:left="5040" w:hanging="360"/>
      </w:pPr>
    </w:lvl>
    <w:lvl w:ilvl="7" w:tplc="AE7A2A52">
      <w:start w:val="1"/>
      <w:numFmt w:val="lowerLetter"/>
      <w:lvlText w:val="%8."/>
      <w:lvlJc w:val="left"/>
      <w:pPr>
        <w:ind w:left="5760" w:hanging="360"/>
      </w:pPr>
    </w:lvl>
    <w:lvl w:ilvl="8" w:tplc="030E7B68">
      <w:start w:val="1"/>
      <w:numFmt w:val="lowerRoman"/>
      <w:lvlText w:val="%9."/>
      <w:lvlJc w:val="right"/>
      <w:pPr>
        <w:ind w:left="6480" w:hanging="180"/>
      </w:pPr>
    </w:lvl>
  </w:abstractNum>
  <w:abstractNum w:abstractNumId="12" w15:restartNumberingAfterBreak="0">
    <w:nsid w:val="471E1BCD"/>
    <w:multiLevelType w:val="hybridMultilevel"/>
    <w:tmpl w:val="E76A7B32"/>
    <w:lvl w:ilvl="0" w:tplc="548611DE">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493075F6"/>
    <w:multiLevelType w:val="hybridMultilevel"/>
    <w:tmpl w:val="620E440E"/>
    <w:lvl w:ilvl="0" w:tplc="B0D42246">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495A40B5"/>
    <w:multiLevelType w:val="hybridMultilevel"/>
    <w:tmpl w:val="25266660"/>
    <w:lvl w:ilvl="0" w:tplc="54C44F36">
      <w:start w:val="1"/>
      <w:numFmt w:val="lowerLetter"/>
      <w:lvlText w:val="%1)"/>
      <w:lvlJc w:val="left"/>
      <w:pPr>
        <w:ind w:left="720" w:hanging="360"/>
      </w:pPr>
      <w:rPr>
        <w:rFonts w:ascii="Times New Roman" w:eastAsia="Times New Roman" w:hAnsi="Times New Roman" w:cs="Times New Roman" w:hint="default"/>
        <w:color w:val="auto"/>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43364A3"/>
    <w:multiLevelType w:val="hybridMultilevel"/>
    <w:tmpl w:val="E646B748"/>
    <w:lvl w:ilvl="0" w:tplc="C50616F6">
      <w:start w:val="1"/>
      <w:numFmt w:val="decimal"/>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F921CD6"/>
    <w:multiLevelType w:val="hybridMultilevel"/>
    <w:tmpl w:val="E4ECC244"/>
    <w:lvl w:ilvl="0" w:tplc="041B000F">
      <w:start w:val="1"/>
      <w:numFmt w:val="decimal"/>
      <w:lvlText w:val="%1."/>
      <w:lvlJc w:val="left"/>
      <w:pPr>
        <w:ind w:left="50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73931D6F"/>
    <w:multiLevelType w:val="multilevel"/>
    <w:tmpl w:val="A878B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A26946"/>
    <w:multiLevelType w:val="multilevel"/>
    <w:tmpl w:val="041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14"/>
  </w:num>
  <w:num w:numId="4">
    <w:abstractNumId w:val="3"/>
  </w:num>
  <w:num w:numId="5">
    <w:abstractNumId w:val="16"/>
  </w:num>
  <w:num w:numId="6">
    <w:abstractNumId w:val="10"/>
  </w:num>
  <w:num w:numId="7">
    <w:abstractNumId w:val="12"/>
  </w:num>
  <w:num w:numId="8">
    <w:abstractNumId w:val="13"/>
  </w:num>
  <w:num w:numId="9">
    <w:abstractNumId w:val="7"/>
  </w:num>
  <w:num w:numId="10">
    <w:abstractNumId w:val="1"/>
  </w:num>
  <w:num w:numId="11">
    <w:abstractNumId w:val="17"/>
  </w:num>
  <w:num w:numId="12">
    <w:abstractNumId w:val="0"/>
  </w:num>
  <w:num w:numId="13">
    <w:abstractNumId w:val="9"/>
  </w:num>
  <w:num w:numId="14">
    <w:abstractNumId w:val="2"/>
  </w:num>
  <w:num w:numId="15">
    <w:abstractNumId w:val="8"/>
  </w:num>
  <w:num w:numId="16">
    <w:abstractNumId w:val="6"/>
  </w:num>
  <w:num w:numId="17">
    <w:abstractNumId w:val="11"/>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724"/>
    <w:rsid w:val="000043B4"/>
    <w:rsid w:val="000047F8"/>
    <w:rsid w:val="00006B63"/>
    <w:rsid w:val="00010225"/>
    <w:rsid w:val="00011D0D"/>
    <w:rsid w:val="000124A7"/>
    <w:rsid w:val="00016E30"/>
    <w:rsid w:val="0002074E"/>
    <w:rsid w:val="00022808"/>
    <w:rsid w:val="000243A0"/>
    <w:rsid w:val="00026A22"/>
    <w:rsid w:val="00030974"/>
    <w:rsid w:val="00031ECF"/>
    <w:rsid w:val="00036271"/>
    <w:rsid w:val="0004301E"/>
    <w:rsid w:val="0005568B"/>
    <w:rsid w:val="000618F7"/>
    <w:rsid w:val="00074205"/>
    <w:rsid w:val="00081DC4"/>
    <w:rsid w:val="00093503"/>
    <w:rsid w:val="000A2760"/>
    <w:rsid w:val="000A5758"/>
    <w:rsid w:val="000A5D6F"/>
    <w:rsid w:val="000A7123"/>
    <w:rsid w:val="000B317D"/>
    <w:rsid w:val="000B342C"/>
    <w:rsid w:val="000C1727"/>
    <w:rsid w:val="000D0B46"/>
    <w:rsid w:val="000D131D"/>
    <w:rsid w:val="000D205E"/>
    <w:rsid w:val="000D50A4"/>
    <w:rsid w:val="000D5CA2"/>
    <w:rsid w:val="000E065A"/>
    <w:rsid w:val="000E39F3"/>
    <w:rsid w:val="000F5202"/>
    <w:rsid w:val="000F53C1"/>
    <w:rsid w:val="000F703D"/>
    <w:rsid w:val="0010005F"/>
    <w:rsid w:val="00102E95"/>
    <w:rsid w:val="00105503"/>
    <w:rsid w:val="001071CF"/>
    <w:rsid w:val="00110DCE"/>
    <w:rsid w:val="00111A3C"/>
    <w:rsid w:val="001162FA"/>
    <w:rsid w:val="00122BE7"/>
    <w:rsid w:val="001247EA"/>
    <w:rsid w:val="0012B64A"/>
    <w:rsid w:val="001418E2"/>
    <w:rsid w:val="00141C4E"/>
    <w:rsid w:val="00146994"/>
    <w:rsid w:val="00150D10"/>
    <w:rsid w:val="00151E85"/>
    <w:rsid w:val="0015452E"/>
    <w:rsid w:val="00155961"/>
    <w:rsid w:val="00156679"/>
    <w:rsid w:val="00163F96"/>
    <w:rsid w:val="001644F9"/>
    <w:rsid w:val="00165C55"/>
    <w:rsid w:val="0017524B"/>
    <w:rsid w:val="00176D90"/>
    <w:rsid w:val="00178999"/>
    <w:rsid w:val="00180064"/>
    <w:rsid w:val="00182438"/>
    <w:rsid w:val="00192D0F"/>
    <w:rsid w:val="00193F5E"/>
    <w:rsid w:val="001A32E4"/>
    <w:rsid w:val="001B432C"/>
    <w:rsid w:val="001B6438"/>
    <w:rsid w:val="001C17CF"/>
    <w:rsid w:val="001C2967"/>
    <w:rsid w:val="001C5747"/>
    <w:rsid w:val="001C5DFE"/>
    <w:rsid w:val="001D251A"/>
    <w:rsid w:val="001D31C1"/>
    <w:rsid w:val="001D5197"/>
    <w:rsid w:val="001E0A1D"/>
    <w:rsid w:val="001E5D93"/>
    <w:rsid w:val="001E6306"/>
    <w:rsid w:val="001E6BF3"/>
    <w:rsid w:val="001F6C04"/>
    <w:rsid w:val="00201DB9"/>
    <w:rsid w:val="002030EC"/>
    <w:rsid w:val="00204086"/>
    <w:rsid w:val="00204B10"/>
    <w:rsid w:val="0020505B"/>
    <w:rsid w:val="0021429A"/>
    <w:rsid w:val="002210FB"/>
    <w:rsid w:val="00221F3A"/>
    <w:rsid w:val="00223612"/>
    <w:rsid w:val="0022401B"/>
    <w:rsid w:val="00227A73"/>
    <w:rsid w:val="00232C84"/>
    <w:rsid w:val="00233F63"/>
    <w:rsid w:val="00234E09"/>
    <w:rsid w:val="00236192"/>
    <w:rsid w:val="0024290E"/>
    <w:rsid w:val="00244556"/>
    <w:rsid w:val="00246FC6"/>
    <w:rsid w:val="00247BA2"/>
    <w:rsid w:val="0025639F"/>
    <w:rsid w:val="00256441"/>
    <w:rsid w:val="00264611"/>
    <w:rsid w:val="00270AC9"/>
    <w:rsid w:val="002711A2"/>
    <w:rsid w:val="002748A0"/>
    <w:rsid w:val="00275E0B"/>
    <w:rsid w:val="00276ED3"/>
    <w:rsid w:val="00280DDB"/>
    <w:rsid w:val="002843DD"/>
    <w:rsid w:val="002869CE"/>
    <w:rsid w:val="002877FE"/>
    <w:rsid w:val="00293B3F"/>
    <w:rsid w:val="002A6231"/>
    <w:rsid w:val="002B344B"/>
    <w:rsid w:val="002C07CA"/>
    <w:rsid w:val="002C32CE"/>
    <w:rsid w:val="002C3CE0"/>
    <w:rsid w:val="002D05E4"/>
    <w:rsid w:val="002D069A"/>
    <w:rsid w:val="002D2B48"/>
    <w:rsid w:val="002D3BF3"/>
    <w:rsid w:val="002E2A46"/>
    <w:rsid w:val="002E44C5"/>
    <w:rsid w:val="002F0630"/>
    <w:rsid w:val="002F091F"/>
    <w:rsid w:val="002F1DBF"/>
    <w:rsid w:val="002F2A3E"/>
    <w:rsid w:val="002F4D1F"/>
    <w:rsid w:val="002F5F1B"/>
    <w:rsid w:val="00301A12"/>
    <w:rsid w:val="00304D40"/>
    <w:rsid w:val="00321425"/>
    <w:rsid w:val="003310A3"/>
    <w:rsid w:val="00331304"/>
    <w:rsid w:val="00334A96"/>
    <w:rsid w:val="00337161"/>
    <w:rsid w:val="0034667D"/>
    <w:rsid w:val="00347E3F"/>
    <w:rsid w:val="00352F6A"/>
    <w:rsid w:val="00354EC4"/>
    <w:rsid w:val="00360903"/>
    <w:rsid w:val="003622CC"/>
    <w:rsid w:val="003650D2"/>
    <w:rsid w:val="0037265C"/>
    <w:rsid w:val="00372896"/>
    <w:rsid w:val="00376151"/>
    <w:rsid w:val="003834DA"/>
    <w:rsid w:val="00391D83"/>
    <w:rsid w:val="003A1E69"/>
    <w:rsid w:val="003A2EEA"/>
    <w:rsid w:val="003B0817"/>
    <w:rsid w:val="003B419D"/>
    <w:rsid w:val="003B6A89"/>
    <w:rsid w:val="003C3C6D"/>
    <w:rsid w:val="003C4C11"/>
    <w:rsid w:val="003C7BE6"/>
    <w:rsid w:val="003D1C6B"/>
    <w:rsid w:val="003E88DC"/>
    <w:rsid w:val="003F0A5B"/>
    <w:rsid w:val="003F1A31"/>
    <w:rsid w:val="004024E7"/>
    <w:rsid w:val="004061B1"/>
    <w:rsid w:val="004077B6"/>
    <w:rsid w:val="00412756"/>
    <w:rsid w:val="00412AB5"/>
    <w:rsid w:val="004133D1"/>
    <w:rsid w:val="0041445D"/>
    <w:rsid w:val="00415AD1"/>
    <w:rsid w:val="00415B23"/>
    <w:rsid w:val="004169B7"/>
    <w:rsid w:val="00416E95"/>
    <w:rsid w:val="00421EB9"/>
    <w:rsid w:val="004315E2"/>
    <w:rsid w:val="004337EE"/>
    <w:rsid w:val="00436172"/>
    <w:rsid w:val="00444B27"/>
    <w:rsid w:val="0044EB2E"/>
    <w:rsid w:val="00457631"/>
    <w:rsid w:val="004622B8"/>
    <w:rsid w:val="00463D96"/>
    <w:rsid w:val="004667D9"/>
    <w:rsid w:val="004802B4"/>
    <w:rsid w:val="00483C60"/>
    <w:rsid w:val="004851FB"/>
    <w:rsid w:val="004867B9"/>
    <w:rsid w:val="004870F5"/>
    <w:rsid w:val="00491993"/>
    <w:rsid w:val="00491D44"/>
    <w:rsid w:val="00492F44"/>
    <w:rsid w:val="0049662D"/>
    <w:rsid w:val="004972BB"/>
    <w:rsid w:val="004A00E7"/>
    <w:rsid w:val="004A3E40"/>
    <w:rsid w:val="004ABE20"/>
    <w:rsid w:val="004B31C6"/>
    <w:rsid w:val="004B38AC"/>
    <w:rsid w:val="004B6CFB"/>
    <w:rsid w:val="004C0C90"/>
    <w:rsid w:val="004C25D9"/>
    <w:rsid w:val="004D1E6F"/>
    <w:rsid w:val="004D3FE1"/>
    <w:rsid w:val="004D457C"/>
    <w:rsid w:val="004E4256"/>
    <w:rsid w:val="004F069B"/>
    <w:rsid w:val="004F72CE"/>
    <w:rsid w:val="00510150"/>
    <w:rsid w:val="00512478"/>
    <w:rsid w:val="00512624"/>
    <w:rsid w:val="00512914"/>
    <w:rsid w:val="0052233B"/>
    <w:rsid w:val="005253EA"/>
    <w:rsid w:val="005268E8"/>
    <w:rsid w:val="00530498"/>
    <w:rsid w:val="00540525"/>
    <w:rsid w:val="005416B3"/>
    <w:rsid w:val="0054501B"/>
    <w:rsid w:val="0055469F"/>
    <w:rsid w:val="00555049"/>
    <w:rsid w:val="00556084"/>
    <w:rsid w:val="0055644D"/>
    <w:rsid w:val="00562AFB"/>
    <w:rsid w:val="00566E4D"/>
    <w:rsid w:val="00570507"/>
    <w:rsid w:val="005761C8"/>
    <w:rsid w:val="00576F6E"/>
    <w:rsid w:val="00581243"/>
    <w:rsid w:val="005845BB"/>
    <w:rsid w:val="00587778"/>
    <w:rsid w:val="0058E25D"/>
    <w:rsid w:val="00592610"/>
    <w:rsid w:val="00593B47"/>
    <w:rsid w:val="00594EC5"/>
    <w:rsid w:val="00596F96"/>
    <w:rsid w:val="005A13B6"/>
    <w:rsid w:val="005A6D3C"/>
    <w:rsid w:val="005C3AA5"/>
    <w:rsid w:val="005C5727"/>
    <w:rsid w:val="005D19FA"/>
    <w:rsid w:val="005D1D9B"/>
    <w:rsid w:val="005D23D0"/>
    <w:rsid w:val="005D3A88"/>
    <w:rsid w:val="005D738F"/>
    <w:rsid w:val="005D7779"/>
    <w:rsid w:val="005F322F"/>
    <w:rsid w:val="005F3806"/>
    <w:rsid w:val="006035D4"/>
    <w:rsid w:val="00606EC1"/>
    <w:rsid w:val="0061162C"/>
    <w:rsid w:val="006147C6"/>
    <w:rsid w:val="006214EC"/>
    <w:rsid w:val="00623388"/>
    <w:rsid w:val="00623619"/>
    <w:rsid w:val="006244CD"/>
    <w:rsid w:val="00626ADF"/>
    <w:rsid w:val="00626D50"/>
    <w:rsid w:val="00631AEC"/>
    <w:rsid w:val="00633216"/>
    <w:rsid w:val="00634B17"/>
    <w:rsid w:val="00634D5B"/>
    <w:rsid w:val="00643325"/>
    <w:rsid w:val="0064503E"/>
    <w:rsid w:val="00645D76"/>
    <w:rsid w:val="00647615"/>
    <w:rsid w:val="00654BB5"/>
    <w:rsid w:val="006570D0"/>
    <w:rsid w:val="00672044"/>
    <w:rsid w:val="006743C8"/>
    <w:rsid w:val="006749D5"/>
    <w:rsid w:val="00675208"/>
    <w:rsid w:val="00677733"/>
    <w:rsid w:val="00677B06"/>
    <w:rsid w:val="006824D7"/>
    <w:rsid w:val="00684BDF"/>
    <w:rsid w:val="00685A07"/>
    <w:rsid w:val="006905FC"/>
    <w:rsid w:val="00695EE7"/>
    <w:rsid w:val="006977D4"/>
    <w:rsid w:val="006A64ED"/>
    <w:rsid w:val="006B197A"/>
    <w:rsid w:val="006B4256"/>
    <w:rsid w:val="006B5DA9"/>
    <w:rsid w:val="006C6A3D"/>
    <w:rsid w:val="006D2197"/>
    <w:rsid w:val="006E61BC"/>
    <w:rsid w:val="006F3670"/>
    <w:rsid w:val="006F626F"/>
    <w:rsid w:val="007014DB"/>
    <w:rsid w:val="00701BC7"/>
    <w:rsid w:val="00702C3E"/>
    <w:rsid w:val="00705AF9"/>
    <w:rsid w:val="007076C1"/>
    <w:rsid w:val="0071045E"/>
    <w:rsid w:val="00711B21"/>
    <w:rsid w:val="00712003"/>
    <w:rsid w:val="00713ADB"/>
    <w:rsid w:val="007251CF"/>
    <w:rsid w:val="00725ABB"/>
    <w:rsid w:val="0073155A"/>
    <w:rsid w:val="00731C1C"/>
    <w:rsid w:val="00735B24"/>
    <w:rsid w:val="00736716"/>
    <w:rsid w:val="00744F9B"/>
    <w:rsid w:val="00747373"/>
    <w:rsid w:val="007526B4"/>
    <w:rsid w:val="007549DA"/>
    <w:rsid w:val="00755D10"/>
    <w:rsid w:val="007567EA"/>
    <w:rsid w:val="00756D04"/>
    <w:rsid w:val="0075756A"/>
    <w:rsid w:val="0076025A"/>
    <w:rsid w:val="00760691"/>
    <w:rsid w:val="0076166D"/>
    <w:rsid w:val="00761806"/>
    <w:rsid w:val="00761ABB"/>
    <w:rsid w:val="00762ECA"/>
    <w:rsid w:val="0076359A"/>
    <w:rsid w:val="00770CF8"/>
    <w:rsid w:val="00774729"/>
    <w:rsid w:val="007841D4"/>
    <w:rsid w:val="007854B3"/>
    <w:rsid w:val="00793DFD"/>
    <w:rsid w:val="00795C2A"/>
    <w:rsid w:val="00796485"/>
    <w:rsid w:val="007A1286"/>
    <w:rsid w:val="007A2482"/>
    <w:rsid w:val="007B0046"/>
    <w:rsid w:val="007B1153"/>
    <w:rsid w:val="007B219A"/>
    <w:rsid w:val="007B2990"/>
    <w:rsid w:val="007B2CFD"/>
    <w:rsid w:val="007B4113"/>
    <w:rsid w:val="007C5D04"/>
    <w:rsid w:val="007C7020"/>
    <w:rsid w:val="007D345A"/>
    <w:rsid w:val="007D4037"/>
    <w:rsid w:val="007D5BAA"/>
    <w:rsid w:val="007D7B19"/>
    <w:rsid w:val="007E03F2"/>
    <w:rsid w:val="007E082D"/>
    <w:rsid w:val="007E25B4"/>
    <w:rsid w:val="007E38D6"/>
    <w:rsid w:val="007E46F0"/>
    <w:rsid w:val="007F32D1"/>
    <w:rsid w:val="007F606D"/>
    <w:rsid w:val="007F6A5C"/>
    <w:rsid w:val="007F79EA"/>
    <w:rsid w:val="00803BFD"/>
    <w:rsid w:val="008102A7"/>
    <w:rsid w:val="00811D4D"/>
    <w:rsid w:val="008137FC"/>
    <w:rsid w:val="00816C20"/>
    <w:rsid w:val="008203F6"/>
    <w:rsid w:val="0082414B"/>
    <w:rsid w:val="00827CF3"/>
    <w:rsid w:val="00832875"/>
    <w:rsid w:val="00835F80"/>
    <w:rsid w:val="00836240"/>
    <w:rsid w:val="00846F71"/>
    <w:rsid w:val="00864EE3"/>
    <w:rsid w:val="008700A2"/>
    <w:rsid w:val="00870B40"/>
    <w:rsid w:val="0087113F"/>
    <w:rsid w:val="00873452"/>
    <w:rsid w:val="008802B3"/>
    <w:rsid w:val="00881727"/>
    <w:rsid w:val="00882976"/>
    <w:rsid w:val="00883519"/>
    <w:rsid w:val="00883551"/>
    <w:rsid w:val="008839D0"/>
    <w:rsid w:val="00886F0D"/>
    <w:rsid w:val="0089110A"/>
    <w:rsid w:val="00893538"/>
    <w:rsid w:val="00896FBE"/>
    <w:rsid w:val="008A50FB"/>
    <w:rsid w:val="008B51AD"/>
    <w:rsid w:val="008B6AF9"/>
    <w:rsid w:val="008B72E6"/>
    <w:rsid w:val="008C1C2C"/>
    <w:rsid w:val="008C3EC3"/>
    <w:rsid w:val="008C4D80"/>
    <w:rsid w:val="008C70B1"/>
    <w:rsid w:val="008D0E9A"/>
    <w:rsid w:val="008D46E7"/>
    <w:rsid w:val="008D48A6"/>
    <w:rsid w:val="008D59F6"/>
    <w:rsid w:val="008E1724"/>
    <w:rsid w:val="008E71EF"/>
    <w:rsid w:val="008F3461"/>
    <w:rsid w:val="009018E2"/>
    <w:rsid w:val="00904FA4"/>
    <w:rsid w:val="0090776B"/>
    <w:rsid w:val="0091279D"/>
    <w:rsid w:val="00912E5C"/>
    <w:rsid w:val="0092055A"/>
    <w:rsid w:val="009210BE"/>
    <w:rsid w:val="009225A1"/>
    <w:rsid w:val="00925865"/>
    <w:rsid w:val="00931100"/>
    <w:rsid w:val="009343BA"/>
    <w:rsid w:val="009416C5"/>
    <w:rsid w:val="0094776D"/>
    <w:rsid w:val="009549B3"/>
    <w:rsid w:val="00956787"/>
    <w:rsid w:val="00960605"/>
    <w:rsid w:val="00962985"/>
    <w:rsid w:val="00971587"/>
    <w:rsid w:val="00972608"/>
    <w:rsid w:val="00972DEA"/>
    <w:rsid w:val="00976B2C"/>
    <w:rsid w:val="00976BCA"/>
    <w:rsid w:val="00977D09"/>
    <w:rsid w:val="0098043F"/>
    <w:rsid w:val="009806A2"/>
    <w:rsid w:val="0098218B"/>
    <w:rsid w:val="00990772"/>
    <w:rsid w:val="00991819"/>
    <w:rsid w:val="009925D2"/>
    <w:rsid w:val="00994A8D"/>
    <w:rsid w:val="00994F33"/>
    <w:rsid w:val="0099602D"/>
    <w:rsid w:val="009A5514"/>
    <w:rsid w:val="009B799A"/>
    <w:rsid w:val="009C4D59"/>
    <w:rsid w:val="009C54C0"/>
    <w:rsid w:val="009C6787"/>
    <w:rsid w:val="009E693B"/>
    <w:rsid w:val="009E6AAB"/>
    <w:rsid w:val="009F0656"/>
    <w:rsid w:val="00A016F9"/>
    <w:rsid w:val="00A02D21"/>
    <w:rsid w:val="00A03E07"/>
    <w:rsid w:val="00A05ADA"/>
    <w:rsid w:val="00A071D5"/>
    <w:rsid w:val="00A17CF3"/>
    <w:rsid w:val="00A222A5"/>
    <w:rsid w:val="00A35F6D"/>
    <w:rsid w:val="00A35FF8"/>
    <w:rsid w:val="00A41671"/>
    <w:rsid w:val="00A4765B"/>
    <w:rsid w:val="00A5F1EE"/>
    <w:rsid w:val="00A62CD6"/>
    <w:rsid w:val="00A642DD"/>
    <w:rsid w:val="00A6615E"/>
    <w:rsid w:val="00A67449"/>
    <w:rsid w:val="00A6FC8C"/>
    <w:rsid w:val="00A77986"/>
    <w:rsid w:val="00A86F6F"/>
    <w:rsid w:val="00A914DE"/>
    <w:rsid w:val="00A922BC"/>
    <w:rsid w:val="00AA2123"/>
    <w:rsid w:val="00AA4FE8"/>
    <w:rsid w:val="00AA5126"/>
    <w:rsid w:val="00AB236D"/>
    <w:rsid w:val="00AB6CEB"/>
    <w:rsid w:val="00AC5950"/>
    <w:rsid w:val="00AC5A3A"/>
    <w:rsid w:val="00AC711C"/>
    <w:rsid w:val="00AD25FE"/>
    <w:rsid w:val="00AD3023"/>
    <w:rsid w:val="00AD3A5D"/>
    <w:rsid w:val="00AD42F8"/>
    <w:rsid w:val="00AD781C"/>
    <w:rsid w:val="00AE31E0"/>
    <w:rsid w:val="00AF6980"/>
    <w:rsid w:val="00B02811"/>
    <w:rsid w:val="00B059C4"/>
    <w:rsid w:val="00B11AE5"/>
    <w:rsid w:val="00B17624"/>
    <w:rsid w:val="00B17759"/>
    <w:rsid w:val="00B216EF"/>
    <w:rsid w:val="00B246B5"/>
    <w:rsid w:val="00B2609F"/>
    <w:rsid w:val="00B31BD2"/>
    <w:rsid w:val="00B320CD"/>
    <w:rsid w:val="00B33AFB"/>
    <w:rsid w:val="00B415C4"/>
    <w:rsid w:val="00B422C5"/>
    <w:rsid w:val="00B45D10"/>
    <w:rsid w:val="00B62570"/>
    <w:rsid w:val="00B6361D"/>
    <w:rsid w:val="00B6625D"/>
    <w:rsid w:val="00B71C8A"/>
    <w:rsid w:val="00B74A55"/>
    <w:rsid w:val="00B74FAF"/>
    <w:rsid w:val="00B778FA"/>
    <w:rsid w:val="00B77E59"/>
    <w:rsid w:val="00B7C497"/>
    <w:rsid w:val="00B80868"/>
    <w:rsid w:val="00B86510"/>
    <w:rsid w:val="00B9454F"/>
    <w:rsid w:val="00B950B7"/>
    <w:rsid w:val="00BA1432"/>
    <w:rsid w:val="00BA148A"/>
    <w:rsid w:val="00BA5CFF"/>
    <w:rsid w:val="00BB2733"/>
    <w:rsid w:val="00BB6BF5"/>
    <w:rsid w:val="00BC12C9"/>
    <w:rsid w:val="00BE2CEA"/>
    <w:rsid w:val="00BE4296"/>
    <w:rsid w:val="00BE5C2D"/>
    <w:rsid w:val="00BF347C"/>
    <w:rsid w:val="00BF3F58"/>
    <w:rsid w:val="00BF4F5B"/>
    <w:rsid w:val="00C03002"/>
    <w:rsid w:val="00C04957"/>
    <w:rsid w:val="00C05E55"/>
    <w:rsid w:val="00C125C3"/>
    <w:rsid w:val="00C17F28"/>
    <w:rsid w:val="00C22C91"/>
    <w:rsid w:val="00C23AAB"/>
    <w:rsid w:val="00C245B1"/>
    <w:rsid w:val="00C26DF4"/>
    <w:rsid w:val="00C316C2"/>
    <w:rsid w:val="00C4764D"/>
    <w:rsid w:val="00C50F15"/>
    <w:rsid w:val="00C517B5"/>
    <w:rsid w:val="00C52F75"/>
    <w:rsid w:val="00C53A3F"/>
    <w:rsid w:val="00C561FD"/>
    <w:rsid w:val="00C6378C"/>
    <w:rsid w:val="00C64E90"/>
    <w:rsid w:val="00C64F5A"/>
    <w:rsid w:val="00C74E66"/>
    <w:rsid w:val="00C75580"/>
    <w:rsid w:val="00C757BB"/>
    <w:rsid w:val="00C75D0D"/>
    <w:rsid w:val="00C80AB8"/>
    <w:rsid w:val="00C82C0E"/>
    <w:rsid w:val="00C84BB8"/>
    <w:rsid w:val="00C92AB7"/>
    <w:rsid w:val="00C975D3"/>
    <w:rsid w:val="00CA2AA6"/>
    <w:rsid w:val="00CA3905"/>
    <w:rsid w:val="00CA9F8E"/>
    <w:rsid w:val="00CB0239"/>
    <w:rsid w:val="00CC244C"/>
    <w:rsid w:val="00CC3B3F"/>
    <w:rsid w:val="00CD50A6"/>
    <w:rsid w:val="00CD5F23"/>
    <w:rsid w:val="00CD79D8"/>
    <w:rsid w:val="00CE33A9"/>
    <w:rsid w:val="00CE387E"/>
    <w:rsid w:val="00CE72D2"/>
    <w:rsid w:val="00CF0D13"/>
    <w:rsid w:val="00CF305A"/>
    <w:rsid w:val="00CF3BDE"/>
    <w:rsid w:val="00CF6847"/>
    <w:rsid w:val="00CFFB34"/>
    <w:rsid w:val="00D02F1F"/>
    <w:rsid w:val="00D034D4"/>
    <w:rsid w:val="00D07504"/>
    <w:rsid w:val="00D100F3"/>
    <w:rsid w:val="00D14CA5"/>
    <w:rsid w:val="00D25578"/>
    <w:rsid w:val="00D30073"/>
    <w:rsid w:val="00D3193F"/>
    <w:rsid w:val="00D426C7"/>
    <w:rsid w:val="00D43A8D"/>
    <w:rsid w:val="00D469AC"/>
    <w:rsid w:val="00D503E7"/>
    <w:rsid w:val="00D6165D"/>
    <w:rsid w:val="00D73472"/>
    <w:rsid w:val="00D7559E"/>
    <w:rsid w:val="00D849AD"/>
    <w:rsid w:val="00D904E2"/>
    <w:rsid w:val="00D953C9"/>
    <w:rsid w:val="00D96B41"/>
    <w:rsid w:val="00DA1228"/>
    <w:rsid w:val="00DA3417"/>
    <w:rsid w:val="00DA6F71"/>
    <w:rsid w:val="00DC611B"/>
    <w:rsid w:val="00DC6806"/>
    <w:rsid w:val="00DD095F"/>
    <w:rsid w:val="00DD0FB2"/>
    <w:rsid w:val="00DD2AAB"/>
    <w:rsid w:val="00DE4A32"/>
    <w:rsid w:val="00DE72B1"/>
    <w:rsid w:val="00DF1AD7"/>
    <w:rsid w:val="00DF614C"/>
    <w:rsid w:val="00DF698A"/>
    <w:rsid w:val="00DF70F7"/>
    <w:rsid w:val="00E02CB6"/>
    <w:rsid w:val="00E04715"/>
    <w:rsid w:val="00E056D4"/>
    <w:rsid w:val="00E1424E"/>
    <w:rsid w:val="00E16489"/>
    <w:rsid w:val="00E21C43"/>
    <w:rsid w:val="00E23307"/>
    <w:rsid w:val="00E25696"/>
    <w:rsid w:val="00E264A1"/>
    <w:rsid w:val="00E30D7D"/>
    <w:rsid w:val="00E32430"/>
    <w:rsid w:val="00E33D41"/>
    <w:rsid w:val="00E35B3E"/>
    <w:rsid w:val="00E3765C"/>
    <w:rsid w:val="00E42B3E"/>
    <w:rsid w:val="00E448F4"/>
    <w:rsid w:val="00E601F1"/>
    <w:rsid w:val="00E602ED"/>
    <w:rsid w:val="00E609D5"/>
    <w:rsid w:val="00E657D4"/>
    <w:rsid w:val="00E65FC2"/>
    <w:rsid w:val="00E65FE9"/>
    <w:rsid w:val="00E752E4"/>
    <w:rsid w:val="00E76B75"/>
    <w:rsid w:val="00E853F2"/>
    <w:rsid w:val="00E869AB"/>
    <w:rsid w:val="00E90D53"/>
    <w:rsid w:val="00E91B73"/>
    <w:rsid w:val="00E91E56"/>
    <w:rsid w:val="00EA2914"/>
    <w:rsid w:val="00EA59B8"/>
    <w:rsid w:val="00EC45DF"/>
    <w:rsid w:val="00EC6B3B"/>
    <w:rsid w:val="00EC769B"/>
    <w:rsid w:val="00EE4052"/>
    <w:rsid w:val="00EE5E12"/>
    <w:rsid w:val="00EE6887"/>
    <w:rsid w:val="00F020B1"/>
    <w:rsid w:val="00F03A7D"/>
    <w:rsid w:val="00F11A59"/>
    <w:rsid w:val="00F12E78"/>
    <w:rsid w:val="00F158C6"/>
    <w:rsid w:val="00F21FBA"/>
    <w:rsid w:val="00F27207"/>
    <w:rsid w:val="00F35F49"/>
    <w:rsid w:val="00F409A4"/>
    <w:rsid w:val="00F42BE2"/>
    <w:rsid w:val="00F43EF7"/>
    <w:rsid w:val="00F554B3"/>
    <w:rsid w:val="00F558B2"/>
    <w:rsid w:val="00F56178"/>
    <w:rsid w:val="00F73601"/>
    <w:rsid w:val="00F9757F"/>
    <w:rsid w:val="00FA23FA"/>
    <w:rsid w:val="00FA66EA"/>
    <w:rsid w:val="00FA6F89"/>
    <w:rsid w:val="00FB08F8"/>
    <w:rsid w:val="00FC04F9"/>
    <w:rsid w:val="00FC0E6E"/>
    <w:rsid w:val="00FD009F"/>
    <w:rsid w:val="00FD0EF4"/>
    <w:rsid w:val="00FD13AA"/>
    <w:rsid w:val="00FD28C3"/>
    <w:rsid w:val="00FD6CE9"/>
    <w:rsid w:val="00FEB226"/>
    <w:rsid w:val="00FF6BD9"/>
    <w:rsid w:val="0105FEDF"/>
    <w:rsid w:val="013287C9"/>
    <w:rsid w:val="016672E1"/>
    <w:rsid w:val="018DF461"/>
    <w:rsid w:val="019F7D62"/>
    <w:rsid w:val="01A7DCB2"/>
    <w:rsid w:val="01B8F957"/>
    <w:rsid w:val="01BC903A"/>
    <w:rsid w:val="01D716E9"/>
    <w:rsid w:val="01D7A43C"/>
    <w:rsid w:val="02046A67"/>
    <w:rsid w:val="02084F39"/>
    <w:rsid w:val="02158296"/>
    <w:rsid w:val="021EC398"/>
    <w:rsid w:val="02275177"/>
    <w:rsid w:val="0232720D"/>
    <w:rsid w:val="0238516A"/>
    <w:rsid w:val="023AD121"/>
    <w:rsid w:val="02479E4B"/>
    <w:rsid w:val="0257FEB9"/>
    <w:rsid w:val="025A8766"/>
    <w:rsid w:val="025BE6BC"/>
    <w:rsid w:val="0260C019"/>
    <w:rsid w:val="02621FAF"/>
    <w:rsid w:val="026AD803"/>
    <w:rsid w:val="0274ED3E"/>
    <w:rsid w:val="027B65D7"/>
    <w:rsid w:val="02833EC4"/>
    <w:rsid w:val="0294F8DF"/>
    <w:rsid w:val="029A9378"/>
    <w:rsid w:val="02CB8E0F"/>
    <w:rsid w:val="02D37D3C"/>
    <w:rsid w:val="02E55A25"/>
    <w:rsid w:val="02F65B1F"/>
    <w:rsid w:val="02F7D93E"/>
    <w:rsid w:val="02FD9DDE"/>
    <w:rsid w:val="02FF0126"/>
    <w:rsid w:val="034933E9"/>
    <w:rsid w:val="035BE980"/>
    <w:rsid w:val="035F5E18"/>
    <w:rsid w:val="037CCA72"/>
    <w:rsid w:val="038F173E"/>
    <w:rsid w:val="03AC7C8B"/>
    <w:rsid w:val="03BDF09C"/>
    <w:rsid w:val="03C1664A"/>
    <w:rsid w:val="03C6FF8F"/>
    <w:rsid w:val="03DB456E"/>
    <w:rsid w:val="03ED4F3B"/>
    <w:rsid w:val="03ED5534"/>
    <w:rsid w:val="03F30C67"/>
    <w:rsid w:val="041022AF"/>
    <w:rsid w:val="04207F9C"/>
    <w:rsid w:val="0429EF31"/>
    <w:rsid w:val="0432E894"/>
    <w:rsid w:val="0447C1FF"/>
    <w:rsid w:val="045A6BC2"/>
    <w:rsid w:val="045AA08E"/>
    <w:rsid w:val="0467F995"/>
    <w:rsid w:val="0474905B"/>
    <w:rsid w:val="048DD0C6"/>
    <w:rsid w:val="049024D8"/>
    <w:rsid w:val="04AA5825"/>
    <w:rsid w:val="04B12DC7"/>
    <w:rsid w:val="04C19A21"/>
    <w:rsid w:val="04C564B7"/>
    <w:rsid w:val="04F05295"/>
    <w:rsid w:val="04F1B91E"/>
    <w:rsid w:val="04F7BA5C"/>
    <w:rsid w:val="04FB15FA"/>
    <w:rsid w:val="0505AE92"/>
    <w:rsid w:val="051AAA74"/>
    <w:rsid w:val="052AFF8E"/>
    <w:rsid w:val="052DED39"/>
    <w:rsid w:val="05324374"/>
    <w:rsid w:val="053D0C9A"/>
    <w:rsid w:val="055CB843"/>
    <w:rsid w:val="05654EF9"/>
    <w:rsid w:val="0577C2AD"/>
    <w:rsid w:val="057C3F3B"/>
    <w:rsid w:val="05AC6E2B"/>
    <w:rsid w:val="05AF2B29"/>
    <w:rsid w:val="05B38190"/>
    <w:rsid w:val="05BBE758"/>
    <w:rsid w:val="05C90E5B"/>
    <w:rsid w:val="05CBFF90"/>
    <w:rsid w:val="05EB7F1D"/>
    <w:rsid w:val="06109194"/>
    <w:rsid w:val="06143B02"/>
    <w:rsid w:val="06143D20"/>
    <w:rsid w:val="0622FB08"/>
    <w:rsid w:val="0628BAD9"/>
    <w:rsid w:val="0629DBF1"/>
    <w:rsid w:val="062CE6C4"/>
    <w:rsid w:val="0632854A"/>
    <w:rsid w:val="064EAF47"/>
    <w:rsid w:val="066937C2"/>
    <w:rsid w:val="068477B2"/>
    <w:rsid w:val="069074BC"/>
    <w:rsid w:val="0692829A"/>
    <w:rsid w:val="069C9EDA"/>
    <w:rsid w:val="06A6DF98"/>
    <w:rsid w:val="06B0A5F3"/>
    <w:rsid w:val="06B3B256"/>
    <w:rsid w:val="06DB3BD6"/>
    <w:rsid w:val="06E17BFC"/>
    <w:rsid w:val="06E1E8DB"/>
    <w:rsid w:val="06FFADA5"/>
    <w:rsid w:val="07027913"/>
    <w:rsid w:val="0702D64D"/>
    <w:rsid w:val="070BDBF9"/>
    <w:rsid w:val="0712F8D3"/>
    <w:rsid w:val="071C596E"/>
    <w:rsid w:val="0721C422"/>
    <w:rsid w:val="072FE2E1"/>
    <w:rsid w:val="073B6104"/>
    <w:rsid w:val="073C3A82"/>
    <w:rsid w:val="074375E8"/>
    <w:rsid w:val="0744CC47"/>
    <w:rsid w:val="0759D251"/>
    <w:rsid w:val="0768EC84"/>
    <w:rsid w:val="07694B8A"/>
    <w:rsid w:val="07694D1A"/>
    <w:rsid w:val="07C0B88B"/>
    <w:rsid w:val="07DB963F"/>
    <w:rsid w:val="07DC49ED"/>
    <w:rsid w:val="07E2792F"/>
    <w:rsid w:val="07E73A5C"/>
    <w:rsid w:val="07F89080"/>
    <w:rsid w:val="0806394E"/>
    <w:rsid w:val="0815E9F6"/>
    <w:rsid w:val="083FA5A1"/>
    <w:rsid w:val="0876F2F0"/>
    <w:rsid w:val="087BF30D"/>
    <w:rsid w:val="08816825"/>
    <w:rsid w:val="089A6F0A"/>
    <w:rsid w:val="08BA0BC4"/>
    <w:rsid w:val="08C0CFD1"/>
    <w:rsid w:val="08C4BCA9"/>
    <w:rsid w:val="08CD2D46"/>
    <w:rsid w:val="08D91E96"/>
    <w:rsid w:val="08EE8E20"/>
    <w:rsid w:val="08F16933"/>
    <w:rsid w:val="08F5D7B0"/>
    <w:rsid w:val="090DB716"/>
    <w:rsid w:val="09143A2E"/>
    <w:rsid w:val="091B4CE0"/>
    <w:rsid w:val="091B739B"/>
    <w:rsid w:val="091F490D"/>
    <w:rsid w:val="092C260A"/>
    <w:rsid w:val="092C5169"/>
    <w:rsid w:val="0941A8CB"/>
    <w:rsid w:val="0957C727"/>
    <w:rsid w:val="096CF738"/>
    <w:rsid w:val="09878CC8"/>
    <w:rsid w:val="098CF95B"/>
    <w:rsid w:val="09B82B98"/>
    <w:rsid w:val="09D4F04B"/>
    <w:rsid w:val="09E10C6F"/>
    <w:rsid w:val="09ED4953"/>
    <w:rsid w:val="0A26DE2F"/>
    <w:rsid w:val="0A34B007"/>
    <w:rsid w:val="0A36AF65"/>
    <w:rsid w:val="0A3CAAFD"/>
    <w:rsid w:val="0A4634C9"/>
    <w:rsid w:val="0A47A1E5"/>
    <w:rsid w:val="0A4DA5AE"/>
    <w:rsid w:val="0A50B2D0"/>
    <w:rsid w:val="0A658060"/>
    <w:rsid w:val="0A6BD91F"/>
    <w:rsid w:val="0A6F3C0A"/>
    <w:rsid w:val="0A92BF9E"/>
    <w:rsid w:val="0A99109F"/>
    <w:rsid w:val="0A9E259F"/>
    <w:rsid w:val="0AA57D0E"/>
    <w:rsid w:val="0AA75B20"/>
    <w:rsid w:val="0AB93E0C"/>
    <w:rsid w:val="0ACEB378"/>
    <w:rsid w:val="0AE10674"/>
    <w:rsid w:val="0AED24F8"/>
    <w:rsid w:val="0B0E235B"/>
    <w:rsid w:val="0B18BEEA"/>
    <w:rsid w:val="0B3410BE"/>
    <w:rsid w:val="0B465216"/>
    <w:rsid w:val="0B4B57D4"/>
    <w:rsid w:val="0B4DA2BD"/>
    <w:rsid w:val="0B53B507"/>
    <w:rsid w:val="0B5EF0E7"/>
    <w:rsid w:val="0B63C524"/>
    <w:rsid w:val="0B9A2976"/>
    <w:rsid w:val="0B9DA9F6"/>
    <w:rsid w:val="0BA39E29"/>
    <w:rsid w:val="0BAAAB4A"/>
    <w:rsid w:val="0BABE81D"/>
    <w:rsid w:val="0BBE4885"/>
    <w:rsid w:val="0BBF0FB4"/>
    <w:rsid w:val="0BC1CB60"/>
    <w:rsid w:val="0BCAFEBE"/>
    <w:rsid w:val="0BE33B84"/>
    <w:rsid w:val="0BED5CFA"/>
    <w:rsid w:val="0BEDD59C"/>
    <w:rsid w:val="0BF6C08B"/>
    <w:rsid w:val="0BF91A75"/>
    <w:rsid w:val="0C07659F"/>
    <w:rsid w:val="0C424A63"/>
    <w:rsid w:val="0C56D76B"/>
    <w:rsid w:val="0C6E3556"/>
    <w:rsid w:val="0C7FB8C7"/>
    <w:rsid w:val="0CA21D7C"/>
    <w:rsid w:val="0CAC2AC3"/>
    <w:rsid w:val="0CB84D60"/>
    <w:rsid w:val="0CC0245C"/>
    <w:rsid w:val="0CD2CFC0"/>
    <w:rsid w:val="0CDDDA3B"/>
    <w:rsid w:val="0CEBB29B"/>
    <w:rsid w:val="0CF47F01"/>
    <w:rsid w:val="0D02829A"/>
    <w:rsid w:val="0D06831B"/>
    <w:rsid w:val="0D2866E4"/>
    <w:rsid w:val="0D39F387"/>
    <w:rsid w:val="0D481B33"/>
    <w:rsid w:val="0D4CC236"/>
    <w:rsid w:val="0D58AC71"/>
    <w:rsid w:val="0D68A981"/>
    <w:rsid w:val="0D6AA2E4"/>
    <w:rsid w:val="0D7B2777"/>
    <w:rsid w:val="0D7FCB7E"/>
    <w:rsid w:val="0D82F7AD"/>
    <w:rsid w:val="0D842BF7"/>
    <w:rsid w:val="0D8765B6"/>
    <w:rsid w:val="0D94B26A"/>
    <w:rsid w:val="0DA363DE"/>
    <w:rsid w:val="0DA8A365"/>
    <w:rsid w:val="0DD41525"/>
    <w:rsid w:val="0DD910EA"/>
    <w:rsid w:val="0DE08BCC"/>
    <w:rsid w:val="0DF09ED1"/>
    <w:rsid w:val="0DF273C8"/>
    <w:rsid w:val="0E2228F8"/>
    <w:rsid w:val="0E2257B6"/>
    <w:rsid w:val="0E31C969"/>
    <w:rsid w:val="0E4E766E"/>
    <w:rsid w:val="0E54C4D4"/>
    <w:rsid w:val="0E59B3CC"/>
    <w:rsid w:val="0E59B61A"/>
    <w:rsid w:val="0E5A7B58"/>
    <w:rsid w:val="0E5EC424"/>
    <w:rsid w:val="0E735331"/>
    <w:rsid w:val="0E848918"/>
    <w:rsid w:val="0E8823F5"/>
    <w:rsid w:val="0E907A7E"/>
    <w:rsid w:val="0EBBD3A4"/>
    <w:rsid w:val="0EBF4B69"/>
    <w:rsid w:val="0EFE90E1"/>
    <w:rsid w:val="0F051F72"/>
    <w:rsid w:val="0F0DF8DD"/>
    <w:rsid w:val="0F1D0DFB"/>
    <w:rsid w:val="0F294D51"/>
    <w:rsid w:val="0F4D5B94"/>
    <w:rsid w:val="0F554F9C"/>
    <w:rsid w:val="0F59075D"/>
    <w:rsid w:val="0F659A97"/>
    <w:rsid w:val="0F6FE794"/>
    <w:rsid w:val="0F71FB96"/>
    <w:rsid w:val="0F764584"/>
    <w:rsid w:val="0F76EC61"/>
    <w:rsid w:val="0F815C62"/>
    <w:rsid w:val="0FA4CE66"/>
    <w:rsid w:val="0FBD60F1"/>
    <w:rsid w:val="0FC51674"/>
    <w:rsid w:val="0FDFF5C8"/>
    <w:rsid w:val="0FFAA240"/>
    <w:rsid w:val="100866DF"/>
    <w:rsid w:val="100DEFEB"/>
    <w:rsid w:val="10177032"/>
    <w:rsid w:val="1035D89D"/>
    <w:rsid w:val="103D1E8B"/>
    <w:rsid w:val="104686B1"/>
    <w:rsid w:val="104BFE09"/>
    <w:rsid w:val="10604071"/>
    <w:rsid w:val="10611767"/>
    <w:rsid w:val="106A6E93"/>
    <w:rsid w:val="106F643F"/>
    <w:rsid w:val="107D725B"/>
    <w:rsid w:val="107FCBF1"/>
    <w:rsid w:val="109348EC"/>
    <w:rsid w:val="10AEE35D"/>
    <w:rsid w:val="10CA5C11"/>
    <w:rsid w:val="10CB5C31"/>
    <w:rsid w:val="10CEBECA"/>
    <w:rsid w:val="10CFFB13"/>
    <w:rsid w:val="10DD1776"/>
    <w:rsid w:val="10E9EC2D"/>
    <w:rsid w:val="10EFCE1B"/>
    <w:rsid w:val="10F00EA6"/>
    <w:rsid w:val="1118DB4A"/>
    <w:rsid w:val="112DF2DD"/>
    <w:rsid w:val="114B0DB2"/>
    <w:rsid w:val="1157E98B"/>
    <w:rsid w:val="116209E2"/>
    <w:rsid w:val="1181B698"/>
    <w:rsid w:val="11908251"/>
    <w:rsid w:val="11A06BF6"/>
    <w:rsid w:val="11B4D04B"/>
    <w:rsid w:val="11B6914C"/>
    <w:rsid w:val="11C1808F"/>
    <w:rsid w:val="11CC4885"/>
    <w:rsid w:val="11D873D6"/>
    <w:rsid w:val="11DDDA6B"/>
    <w:rsid w:val="12257117"/>
    <w:rsid w:val="122AF394"/>
    <w:rsid w:val="1236352A"/>
    <w:rsid w:val="123AD2CD"/>
    <w:rsid w:val="1248AFEC"/>
    <w:rsid w:val="125E7455"/>
    <w:rsid w:val="1277744B"/>
    <w:rsid w:val="1287A167"/>
    <w:rsid w:val="128C7BB7"/>
    <w:rsid w:val="129F8D1A"/>
    <w:rsid w:val="12B758C6"/>
    <w:rsid w:val="12B77F3D"/>
    <w:rsid w:val="12BB3CDE"/>
    <w:rsid w:val="12C66522"/>
    <w:rsid w:val="12D6C2C4"/>
    <w:rsid w:val="12DDA824"/>
    <w:rsid w:val="12ECA753"/>
    <w:rsid w:val="130314F8"/>
    <w:rsid w:val="130536A2"/>
    <w:rsid w:val="131D1578"/>
    <w:rsid w:val="132F3749"/>
    <w:rsid w:val="13420586"/>
    <w:rsid w:val="134B2C66"/>
    <w:rsid w:val="1355C95E"/>
    <w:rsid w:val="135E0846"/>
    <w:rsid w:val="135EED0E"/>
    <w:rsid w:val="137D66F9"/>
    <w:rsid w:val="1381E935"/>
    <w:rsid w:val="1394E240"/>
    <w:rsid w:val="13B13548"/>
    <w:rsid w:val="13C88BAF"/>
    <w:rsid w:val="13CBDFFB"/>
    <w:rsid w:val="13D0BBF9"/>
    <w:rsid w:val="13E458AD"/>
    <w:rsid w:val="13FF4D92"/>
    <w:rsid w:val="140D85C8"/>
    <w:rsid w:val="1429A277"/>
    <w:rsid w:val="142BD2BF"/>
    <w:rsid w:val="143E67AC"/>
    <w:rsid w:val="143E873C"/>
    <w:rsid w:val="1443C5F4"/>
    <w:rsid w:val="144712CD"/>
    <w:rsid w:val="145C6A6E"/>
    <w:rsid w:val="14632B0A"/>
    <w:rsid w:val="146AD63D"/>
    <w:rsid w:val="14738318"/>
    <w:rsid w:val="147DD438"/>
    <w:rsid w:val="1483C9DA"/>
    <w:rsid w:val="14872B9E"/>
    <w:rsid w:val="148F74A5"/>
    <w:rsid w:val="14961FF8"/>
    <w:rsid w:val="14CCFE9B"/>
    <w:rsid w:val="14D2C3FF"/>
    <w:rsid w:val="14E00022"/>
    <w:rsid w:val="15075148"/>
    <w:rsid w:val="15109F38"/>
    <w:rsid w:val="151E6A83"/>
    <w:rsid w:val="1527A00F"/>
    <w:rsid w:val="153B0F9B"/>
    <w:rsid w:val="154176D7"/>
    <w:rsid w:val="156439DB"/>
    <w:rsid w:val="15793B2B"/>
    <w:rsid w:val="1582516A"/>
    <w:rsid w:val="15837B36"/>
    <w:rsid w:val="15885945"/>
    <w:rsid w:val="15977A88"/>
    <w:rsid w:val="15A70D04"/>
    <w:rsid w:val="15A7D698"/>
    <w:rsid w:val="15AD6049"/>
    <w:rsid w:val="15C11D59"/>
    <w:rsid w:val="15D7A54A"/>
    <w:rsid w:val="15DD7545"/>
    <w:rsid w:val="15DF3C16"/>
    <w:rsid w:val="15E878DB"/>
    <w:rsid w:val="15FD5BF0"/>
    <w:rsid w:val="160C70BD"/>
    <w:rsid w:val="160CB4B1"/>
    <w:rsid w:val="16201C91"/>
    <w:rsid w:val="1628BE9A"/>
    <w:rsid w:val="16356402"/>
    <w:rsid w:val="167206E3"/>
    <w:rsid w:val="16AC3F00"/>
    <w:rsid w:val="16B6631A"/>
    <w:rsid w:val="16D37253"/>
    <w:rsid w:val="16D6D48F"/>
    <w:rsid w:val="16D9111A"/>
    <w:rsid w:val="16DA3BBC"/>
    <w:rsid w:val="16FA0625"/>
    <w:rsid w:val="16FE7B1F"/>
    <w:rsid w:val="170268E1"/>
    <w:rsid w:val="170B1CAA"/>
    <w:rsid w:val="170C2BA7"/>
    <w:rsid w:val="170CB2FA"/>
    <w:rsid w:val="171788AD"/>
    <w:rsid w:val="171CE7C2"/>
    <w:rsid w:val="17417DEF"/>
    <w:rsid w:val="174DD45B"/>
    <w:rsid w:val="175ADB55"/>
    <w:rsid w:val="17603472"/>
    <w:rsid w:val="17621583"/>
    <w:rsid w:val="17660606"/>
    <w:rsid w:val="1781F950"/>
    <w:rsid w:val="1784E9EE"/>
    <w:rsid w:val="17943F83"/>
    <w:rsid w:val="1796C946"/>
    <w:rsid w:val="17BB80ED"/>
    <w:rsid w:val="17C1A5F1"/>
    <w:rsid w:val="17DDED8A"/>
    <w:rsid w:val="17E302DF"/>
    <w:rsid w:val="17EA8D90"/>
    <w:rsid w:val="1817E7AF"/>
    <w:rsid w:val="1819A9C4"/>
    <w:rsid w:val="1839DA22"/>
    <w:rsid w:val="185C62C5"/>
    <w:rsid w:val="18642395"/>
    <w:rsid w:val="186BF9BA"/>
    <w:rsid w:val="18866598"/>
    <w:rsid w:val="18964FB9"/>
    <w:rsid w:val="189E8256"/>
    <w:rsid w:val="18A1B373"/>
    <w:rsid w:val="18A29B3F"/>
    <w:rsid w:val="18B1F89E"/>
    <w:rsid w:val="18BA7327"/>
    <w:rsid w:val="18C84A7D"/>
    <w:rsid w:val="18CCD769"/>
    <w:rsid w:val="18D40A1D"/>
    <w:rsid w:val="18D5AED8"/>
    <w:rsid w:val="19008D60"/>
    <w:rsid w:val="190E390F"/>
    <w:rsid w:val="19224F02"/>
    <w:rsid w:val="192ED9BB"/>
    <w:rsid w:val="193E0CBC"/>
    <w:rsid w:val="1948000A"/>
    <w:rsid w:val="1949042B"/>
    <w:rsid w:val="1949E83D"/>
    <w:rsid w:val="195E95D7"/>
    <w:rsid w:val="1962BBF1"/>
    <w:rsid w:val="196D6A70"/>
    <w:rsid w:val="19B7D876"/>
    <w:rsid w:val="19B8B6FF"/>
    <w:rsid w:val="19C6B895"/>
    <w:rsid w:val="19C8D4F6"/>
    <w:rsid w:val="19D6DC2B"/>
    <w:rsid w:val="19E62B38"/>
    <w:rsid w:val="19F9BE89"/>
    <w:rsid w:val="1A0C1F06"/>
    <w:rsid w:val="1A0F6C25"/>
    <w:rsid w:val="1A18D5DF"/>
    <w:rsid w:val="1A3B7D50"/>
    <w:rsid w:val="1A3CDDE3"/>
    <w:rsid w:val="1A49082C"/>
    <w:rsid w:val="1A563F12"/>
    <w:rsid w:val="1A6E323E"/>
    <w:rsid w:val="1A7C6DE9"/>
    <w:rsid w:val="1A86D181"/>
    <w:rsid w:val="1A8E267D"/>
    <w:rsid w:val="1A972D9A"/>
    <w:rsid w:val="1A9A2BEE"/>
    <w:rsid w:val="1AA581E4"/>
    <w:rsid w:val="1AADB061"/>
    <w:rsid w:val="1AB50F45"/>
    <w:rsid w:val="1AD2B57D"/>
    <w:rsid w:val="1ADCAFD1"/>
    <w:rsid w:val="1AE197B0"/>
    <w:rsid w:val="1AE324BC"/>
    <w:rsid w:val="1AE73351"/>
    <w:rsid w:val="1B05332B"/>
    <w:rsid w:val="1B0599E2"/>
    <w:rsid w:val="1B0E99E9"/>
    <w:rsid w:val="1B1D1DBC"/>
    <w:rsid w:val="1B2565A9"/>
    <w:rsid w:val="1B3949C2"/>
    <w:rsid w:val="1B3981CE"/>
    <w:rsid w:val="1B3C72D4"/>
    <w:rsid w:val="1B41B959"/>
    <w:rsid w:val="1B44B4DF"/>
    <w:rsid w:val="1B4B5C7D"/>
    <w:rsid w:val="1B4CBBD1"/>
    <w:rsid w:val="1B4FCF47"/>
    <w:rsid w:val="1B5B9C84"/>
    <w:rsid w:val="1B62CFBC"/>
    <w:rsid w:val="1B703F5E"/>
    <w:rsid w:val="1B869DFB"/>
    <w:rsid w:val="1B88A92B"/>
    <w:rsid w:val="1B924FC8"/>
    <w:rsid w:val="1BA1A671"/>
    <w:rsid w:val="1BB31E23"/>
    <w:rsid w:val="1BBC0556"/>
    <w:rsid w:val="1BC61B8D"/>
    <w:rsid w:val="1BE59E23"/>
    <w:rsid w:val="1BF2307B"/>
    <w:rsid w:val="1BF308E5"/>
    <w:rsid w:val="1C1F1D35"/>
    <w:rsid w:val="1C2BB28C"/>
    <w:rsid w:val="1C354FF4"/>
    <w:rsid w:val="1C432F78"/>
    <w:rsid w:val="1C4A8C73"/>
    <w:rsid w:val="1C5DED9A"/>
    <w:rsid w:val="1C67664C"/>
    <w:rsid w:val="1C910147"/>
    <w:rsid w:val="1CA3D198"/>
    <w:rsid w:val="1CA57C77"/>
    <w:rsid w:val="1CC36C56"/>
    <w:rsid w:val="1CD4C2EC"/>
    <w:rsid w:val="1CEF8C8A"/>
    <w:rsid w:val="1CF44FD5"/>
    <w:rsid w:val="1CF7D82F"/>
    <w:rsid w:val="1CF971C2"/>
    <w:rsid w:val="1D02E391"/>
    <w:rsid w:val="1D04B13B"/>
    <w:rsid w:val="1D0AD7A8"/>
    <w:rsid w:val="1D0C979D"/>
    <w:rsid w:val="1D20B4C2"/>
    <w:rsid w:val="1D26E99A"/>
    <w:rsid w:val="1D4E2975"/>
    <w:rsid w:val="1D639BD0"/>
    <w:rsid w:val="1D798A96"/>
    <w:rsid w:val="1D7FC6A1"/>
    <w:rsid w:val="1D825A90"/>
    <w:rsid w:val="1D8BC13C"/>
    <w:rsid w:val="1D9225E4"/>
    <w:rsid w:val="1DB5191E"/>
    <w:rsid w:val="1DBC2164"/>
    <w:rsid w:val="1DBFD84F"/>
    <w:rsid w:val="1DD9A45C"/>
    <w:rsid w:val="1DEF66E8"/>
    <w:rsid w:val="1E13FE55"/>
    <w:rsid w:val="1E1560A4"/>
    <w:rsid w:val="1E191FAC"/>
    <w:rsid w:val="1E362F54"/>
    <w:rsid w:val="1E3739B4"/>
    <w:rsid w:val="1E3C5C81"/>
    <w:rsid w:val="1E44B852"/>
    <w:rsid w:val="1E5754EF"/>
    <w:rsid w:val="1E6F174A"/>
    <w:rsid w:val="1E79FE42"/>
    <w:rsid w:val="1E7B018B"/>
    <w:rsid w:val="1E7B0602"/>
    <w:rsid w:val="1E829B21"/>
    <w:rsid w:val="1E868867"/>
    <w:rsid w:val="1EAA6779"/>
    <w:rsid w:val="1EABB5D5"/>
    <w:rsid w:val="1EB11ACC"/>
    <w:rsid w:val="1EC40C8A"/>
    <w:rsid w:val="1EC75432"/>
    <w:rsid w:val="1EEB4123"/>
    <w:rsid w:val="1EF3BD00"/>
    <w:rsid w:val="1EF4DEC5"/>
    <w:rsid w:val="1EFDDADD"/>
    <w:rsid w:val="1F031B93"/>
    <w:rsid w:val="1F2F7E40"/>
    <w:rsid w:val="1F3377E1"/>
    <w:rsid w:val="1F3E3D08"/>
    <w:rsid w:val="1F4632B0"/>
    <w:rsid w:val="1F6DF81A"/>
    <w:rsid w:val="1F6E511C"/>
    <w:rsid w:val="1F774912"/>
    <w:rsid w:val="1F85A329"/>
    <w:rsid w:val="1F949B75"/>
    <w:rsid w:val="1F9F2A50"/>
    <w:rsid w:val="1FB09E8B"/>
    <w:rsid w:val="1FB544D2"/>
    <w:rsid w:val="1FBCB85D"/>
    <w:rsid w:val="1FC6028B"/>
    <w:rsid w:val="1FCF9F91"/>
    <w:rsid w:val="20069EA2"/>
    <w:rsid w:val="2007F222"/>
    <w:rsid w:val="20300195"/>
    <w:rsid w:val="2042B567"/>
    <w:rsid w:val="20650BE5"/>
    <w:rsid w:val="20727DE3"/>
    <w:rsid w:val="20774159"/>
    <w:rsid w:val="20794200"/>
    <w:rsid w:val="208F8CA5"/>
    <w:rsid w:val="2092E443"/>
    <w:rsid w:val="20AE1275"/>
    <w:rsid w:val="20C53A65"/>
    <w:rsid w:val="20D70DCB"/>
    <w:rsid w:val="20DDC594"/>
    <w:rsid w:val="20E04C87"/>
    <w:rsid w:val="20E8F969"/>
    <w:rsid w:val="20F3D2A9"/>
    <w:rsid w:val="210B5581"/>
    <w:rsid w:val="211F23F8"/>
    <w:rsid w:val="212CE87F"/>
    <w:rsid w:val="213D2604"/>
    <w:rsid w:val="213E89A7"/>
    <w:rsid w:val="2150D974"/>
    <w:rsid w:val="21524B91"/>
    <w:rsid w:val="2169A2F2"/>
    <w:rsid w:val="216E5795"/>
    <w:rsid w:val="216F1D14"/>
    <w:rsid w:val="219F11B5"/>
    <w:rsid w:val="21A8EECD"/>
    <w:rsid w:val="21B4B5DA"/>
    <w:rsid w:val="21BAF62A"/>
    <w:rsid w:val="21C2219C"/>
    <w:rsid w:val="22080EE7"/>
    <w:rsid w:val="22095916"/>
    <w:rsid w:val="2209B093"/>
    <w:rsid w:val="222E66E5"/>
    <w:rsid w:val="223480E7"/>
    <w:rsid w:val="22349EB2"/>
    <w:rsid w:val="22381B14"/>
    <w:rsid w:val="2239F40D"/>
    <w:rsid w:val="223D2799"/>
    <w:rsid w:val="223E72C0"/>
    <w:rsid w:val="22541B3B"/>
    <w:rsid w:val="225462B8"/>
    <w:rsid w:val="22571BE6"/>
    <w:rsid w:val="2276E881"/>
    <w:rsid w:val="2289B34B"/>
    <w:rsid w:val="2289B3D0"/>
    <w:rsid w:val="228B171A"/>
    <w:rsid w:val="228D8207"/>
    <w:rsid w:val="2299E58E"/>
    <w:rsid w:val="229E78E9"/>
    <w:rsid w:val="22B00CBE"/>
    <w:rsid w:val="22BC0672"/>
    <w:rsid w:val="22BEBEF1"/>
    <w:rsid w:val="22DC082D"/>
    <w:rsid w:val="22EF00D3"/>
    <w:rsid w:val="22F4482C"/>
    <w:rsid w:val="22FA34FF"/>
    <w:rsid w:val="22FC3372"/>
    <w:rsid w:val="22FCC5F6"/>
    <w:rsid w:val="23003F77"/>
    <w:rsid w:val="23075DF6"/>
    <w:rsid w:val="2323B7E3"/>
    <w:rsid w:val="233C5AE3"/>
    <w:rsid w:val="233D30C8"/>
    <w:rsid w:val="234DB75F"/>
    <w:rsid w:val="2350B415"/>
    <w:rsid w:val="23567C3A"/>
    <w:rsid w:val="2359AE76"/>
    <w:rsid w:val="2380CFBC"/>
    <w:rsid w:val="23A06D3B"/>
    <w:rsid w:val="23A7DD94"/>
    <w:rsid w:val="23BE041E"/>
    <w:rsid w:val="23D7EADF"/>
    <w:rsid w:val="23DA3CD6"/>
    <w:rsid w:val="23E7F52F"/>
    <w:rsid w:val="23E82025"/>
    <w:rsid w:val="23E922B3"/>
    <w:rsid w:val="23FCA1F0"/>
    <w:rsid w:val="240749F5"/>
    <w:rsid w:val="24118F27"/>
    <w:rsid w:val="2412235A"/>
    <w:rsid w:val="242BE987"/>
    <w:rsid w:val="243AC1A4"/>
    <w:rsid w:val="24453DB4"/>
    <w:rsid w:val="2451E581"/>
    <w:rsid w:val="24539427"/>
    <w:rsid w:val="246B99BD"/>
    <w:rsid w:val="2486E91C"/>
    <w:rsid w:val="248C5688"/>
    <w:rsid w:val="248CA628"/>
    <w:rsid w:val="24C774AD"/>
    <w:rsid w:val="24E3DC15"/>
    <w:rsid w:val="24E95941"/>
    <w:rsid w:val="24FF6E9C"/>
    <w:rsid w:val="250D3C28"/>
    <w:rsid w:val="25289DF3"/>
    <w:rsid w:val="255167FE"/>
    <w:rsid w:val="2556C92F"/>
    <w:rsid w:val="255BAEF7"/>
    <w:rsid w:val="257942BB"/>
    <w:rsid w:val="25849C6F"/>
    <w:rsid w:val="25896778"/>
    <w:rsid w:val="258BCF9A"/>
    <w:rsid w:val="25BC4345"/>
    <w:rsid w:val="25C5FF1B"/>
    <w:rsid w:val="25CFB2CF"/>
    <w:rsid w:val="25D44CF8"/>
    <w:rsid w:val="25E61D13"/>
    <w:rsid w:val="26001913"/>
    <w:rsid w:val="2608CCEE"/>
    <w:rsid w:val="262BD549"/>
    <w:rsid w:val="26404A71"/>
    <w:rsid w:val="26548857"/>
    <w:rsid w:val="2666B2E3"/>
    <w:rsid w:val="26716AE1"/>
    <w:rsid w:val="267FA53F"/>
    <w:rsid w:val="2685DF29"/>
    <w:rsid w:val="26A5167F"/>
    <w:rsid w:val="26B7B01F"/>
    <w:rsid w:val="26BA4AEF"/>
    <w:rsid w:val="26C87EE0"/>
    <w:rsid w:val="26E6684E"/>
    <w:rsid w:val="26F2181B"/>
    <w:rsid w:val="27037546"/>
    <w:rsid w:val="270B400C"/>
    <w:rsid w:val="2711A9C3"/>
    <w:rsid w:val="271E3E11"/>
    <w:rsid w:val="272B485B"/>
    <w:rsid w:val="272CC5AC"/>
    <w:rsid w:val="273A6914"/>
    <w:rsid w:val="2743FBD9"/>
    <w:rsid w:val="2745DD63"/>
    <w:rsid w:val="2760E155"/>
    <w:rsid w:val="2766B133"/>
    <w:rsid w:val="27707D5E"/>
    <w:rsid w:val="277AB740"/>
    <w:rsid w:val="2783D586"/>
    <w:rsid w:val="278625F9"/>
    <w:rsid w:val="27B61935"/>
    <w:rsid w:val="27BC960A"/>
    <w:rsid w:val="27C4C0AA"/>
    <w:rsid w:val="27C5E8B0"/>
    <w:rsid w:val="27D2BC56"/>
    <w:rsid w:val="27D3989F"/>
    <w:rsid w:val="27D9D6D7"/>
    <w:rsid w:val="27E9D558"/>
    <w:rsid w:val="28070A64"/>
    <w:rsid w:val="280A5360"/>
    <w:rsid w:val="282EA7C8"/>
    <w:rsid w:val="28334FE9"/>
    <w:rsid w:val="28398B31"/>
    <w:rsid w:val="2840A0B5"/>
    <w:rsid w:val="2855A0A3"/>
    <w:rsid w:val="286BEDC5"/>
    <w:rsid w:val="286D89F8"/>
    <w:rsid w:val="2884E06C"/>
    <w:rsid w:val="289E3C3D"/>
    <w:rsid w:val="289F9103"/>
    <w:rsid w:val="28A19F49"/>
    <w:rsid w:val="28A30AF2"/>
    <w:rsid w:val="28B1A16D"/>
    <w:rsid w:val="28B66CAD"/>
    <w:rsid w:val="28B9C69E"/>
    <w:rsid w:val="28CA60A6"/>
    <w:rsid w:val="28E9B112"/>
    <w:rsid w:val="28F5B7C0"/>
    <w:rsid w:val="28FD8644"/>
    <w:rsid w:val="2904B1DC"/>
    <w:rsid w:val="290A9884"/>
    <w:rsid w:val="29140506"/>
    <w:rsid w:val="2920358E"/>
    <w:rsid w:val="292E1FCA"/>
    <w:rsid w:val="2930FBD5"/>
    <w:rsid w:val="29357F39"/>
    <w:rsid w:val="293D3AFB"/>
    <w:rsid w:val="2943F88B"/>
    <w:rsid w:val="2961B7A7"/>
    <w:rsid w:val="296D86EB"/>
    <w:rsid w:val="2970F18C"/>
    <w:rsid w:val="2982E960"/>
    <w:rsid w:val="29866A63"/>
    <w:rsid w:val="298BC72B"/>
    <w:rsid w:val="299DC82C"/>
    <w:rsid w:val="29A1E440"/>
    <w:rsid w:val="29A47801"/>
    <w:rsid w:val="29E66F35"/>
    <w:rsid w:val="29F4C77E"/>
    <w:rsid w:val="29F95449"/>
    <w:rsid w:val="2A03E5EF"/>
    <w:rsid w:val="2A21FC55"/>
    <w:rsid w:val="2A24A899"/>
    <w:rsid w:val="2A285C8D"/>
    <w:rsid w:val="2A33321E"/>
    <w:rsid w:val="2A4AE917"/>
    <w:rsid w:val="2A5103CA"/>
    <w:rsid w:val="2A53A2AF"/>
    <w:rsid w:val="2A61FFAA"/>
    <w:rsid w:val="2A64DB42"/>
    <w:rsid w:val="2A68C269"/>
    <w:rsid w:val="2A7064E2"/>
    <w:rsid w:val="2A70D148"/>
    <w:rsid w:val="2A717049"/>
    <w:rsid w:val="2A7AC9A4"/>
    <w:rsid w:val="2AA5733B"/>
    <w:rsid w:val="2AC2D44F"/>
    <w:rsid w:val="2ACD5F4E"/>
    <w:rsid w:val="2ADDA9C0"/>
    <w:rsid w:val="2AE7AA74"/>
    <w:rsid w:val="2AE9D824"/>
    <w:rsid w:val="2AFAB0AB"/>
    <w:rsid w:val="2AFF4BE1"/>
    <w:rsid w:val="2B023D02"/>
    <w:rsid w:val="2B08F0DB"/>
    <w:rsid w:val="2B0A7AE3"/>
    <w:rsid w:val="2B1FD207"/>
    <w:rsid w:val="2B61362A"/>
    <w:rsid w:val="2B7D7D42"/>
    <w:rsid w:val="2B7E0971"/>
    <w:rsid w:val="2B7F52A0"/>
    <w:rsid w:val="2B7F9762"/>
    <w:rsid w:val="2BA6B573"/>
    <w:rsid w:val="2BB2ED3B"/>
    <w:rsid w:val="2BC1452E"/>
    <w:rsid w:val="2BC8E858"/>
    <w:rsid w:val="2BDCCCF7"/>
    <w:rsid w:val="2BEDC07B"/>
    <w:rsid w:val="2BF06245"/>
    <w:rsid w:val="2BFCC55E"/>
    <w:rsid w:val="2C113696"/>
    <w:rsid w:val="2C115C33"/>
    <w:rsid w:val="2C116B5E"/>
    <w:rsid w:val="2C1C73A5"/>
    <w:rsid w:val="2C225A47"/>
    <w:rsid w:val="2C266B4F"/>
    <w:rsid w:val="2C39DDC2"/>
    <w:rsid w:val="2C3EEF9A"/>
    <w:rsid w:val="2C47005C"/>
    <w:rsid w:val="2C5DF905"/>
    <w:rsid w:val="2C6A7C67"/>
    <w:rsid w:val="2C730623"/>
    <w:rsid w:val="2C7430ED"/>
    <w:rsid w:val="2C77AAE5"/>
    <w:rsid w:val="2C7A4081"/>
    <w:rsid w:val="2C7C5DBD"/>
    <w:rsid w:val="2C8607D2"/>
    <w:rsid w:val="2C8F644C"/>
    <w:rsid w:val="2C91503A"/>
    <w:rsid w:val="2C9419CD"/>
    <w:rsid w:val="2C9DB161"/>
    <w:rsid w:val="2CD0635C"/>
    <w:rsid w:val="2CD2805C"/>
    <w:rsid w:val="2CD2E328"/>
    <w:rsid w:val="2CEA4527"/>
    <w:rsid w:val="2CEE0654"/>
    <w:rsid w:val="2CF2C5B5"/>
    <w:rsid w:val="2CF86C3A"/>
    <w:rsid w:val="2D05EA41"/>
    <w:rsid w:val="2D06EF21"/>
    <w:rsid w:val="2D399AAD"/>
    <w:rsid w:val="2D3E08FE"/>
    <w:rsid w:val="2D56EEEC"/>
    <w:rsid w:val="2D58FABB"/>
    <w:rsid w:val="2D5E5120"/>
    <w:rsid w:val="2D637D6F"/>
    <w:rsid w:val="2D81630B"/>
    <w:rsid w:val="2D832DB3"/>
    <w:rsid w:val="2D88509C"/>
    <w:rsid w:val="2D9DBB06"/>
    <w:rsid w:val="2DA081E1"/>
    <w:rsid w:val="2DAFAB65"/>
    <w:rsid w:val="2DBA4AF0"/>
    <w:rsid w:val="2DC73A49"/>
    <w:rsid w:val="2DCDDF93"/>
    <w:rsid w:val="2DD318BC"/>
    <w:rsid w:val="2DEB82DA"/>
    <w:rsid w:val="2DFCC4B3"/>
    <w:rsid w:val="2E01293C"/>
    <w:rsid w:val="2E3279F1"/>
    <w:rsid w:val="2E35851B"/>
    <w:rsid w:val="2E3C76E4"/>
    <w:rsid w:val="2E3D41F7"/>
    <w:rsid w:val="2E5EC7DF"/>
    <w:rsid w:val="2E642C3B"/>
    <w:rsid w:val="2E6AAE24"/>
    <w:rsid w:val="2E6E7BBE"/>
    <w:rsid w:val="2E7725F1"/>
    <w:rsid w:val="2E778C8D"/>
    <w:rsid w:val="2E7A8B26"/>
    <w:rsid w:val="2E80ECA9"/>
    <w:rsid w:val="2E81CF58"/>
    <w:rsid w:val="2E907187"/>
    <w:rsid w:val="2E995C15"/>
    <w:rsid w:val="2E99C4D9"/>
    <w:rsid w:val="2E9CB2C5"/>
    <w:rsid w:val="2E9E62C7"/>
    <w:rsid w:val="2EB8F825"/>
    <w:rsid w:val="2EBDEF7B"/>
    <w:rsid w:val="2EC2E147"/>
    <w:rsid w:val="2ECE83C1"/>
    <w:rsid w:val="2ED50EDE"/>
    <w:rsid w:val="2EE655A7"/>
    <w:rsid w:val="2EE991B1"/>
    <w:rsid w:val="2EF24B47"/>
    <w:rsid w:val="2EF52011"/>
    <w:rsid w:val="2EFF7AE5"/>
    <w:rsid w:val="2F062A8C"/>
    <w:rsid w:val="2F07F4AE"/>
    <w:rsid w:val="2F0E61AD"/>
    <w:rsid w:val="2F11CACA"/>
    <w:rsid w:val="2F1BF74F"/>
    <w:rsid w:val="2F218976"/>
    <w:rsid w:val="2F23E7E7"/>
    <w:rsid w:val="2F2EB26F"/>
    <w:rsid w:val="2F37D0A1"/>
    <w:rsid w:val="2F3E21D8"/>
    <w:rsid w:val="2F420AC3"/>
    <w:rsid w:val="2F595A39"/>
    <w:rsid w:val="2F6E7092"/>
    <w:rsid w:val="2F730E2F"/>
    <w:rsid w:val="2F75C919"/>
    <w:rsid w:val="2F7B4A9B"/>
    <w:rsid w:val="2F7F9D9F"/>
    <w:rsid w:val="2FC073CE"/>
    <w:rsid w:val="2FCF9F4E"/>
    <w:rsid w:val="2FD1BA02"/>
    <w:rsid w:val="2FDCA2DF"/>
    <w:rsid w:val="2FF18681"/>
    <w:rsid w:val="2FFE28CE"/>
    <w:rsid w:val="3006CF8B"/>
    <w:rsid w:val="300C0F36"/>
    <w:rsid w:val="3028FEA6"/>
    <w:rsid w:val="303183C2"/>
    <w:rsid w:val="3032A145"/>
    <w:rsid w:val="30359F85"/>
    <w:rsid w:val="303DFE1A"/>
    <w:rsid w:val="3054F336"/>
    <w:rsid w:val="305B4FDA"/>
    <w:rsid w:val="3065468F"/>
    <w:rsid w:val="30690251"/>
    <w:rsid w:val="306B806C"/>
    <w:rsid w:val="3077C05A"/>
    <w:rsid w:val="3081A0BF"/>
    <w:rsid w:val="3097D1BD"/>
    <w:rsid w:val="30A0E717"/>
    <w:rsid w:val="30A9AF87"/>
    <w:rsid w:val="30AD2E63"/>
    <w:rsid w:val="30D5D9EB"/>
    <w:rsid w:val="31000B4D"/>
    <w:rsid w:val="311A45E6"/>
    <w:rsid w:val="311E9D87"/>
    <w:rsid w:val="3129F336"/>
    <w:rsid w:val="312DFE12"/>
    <w:rsid w:val="31336E44"/>
    <w:rsid w:val="313E2301"/>
    <w:rsid w:val="314A1E0B"/>
    <w:rsid w:val="31826D08"/>
    <w:rsid w:val="318D8A4F"/>
    <w:rsid w:val="3195F386"/>
    <w:rsid w:val="31A7C6E0"/>
    <w:rsid w:val="31B7E977"/>
    <w:rsid w:val="31B97552"/>
    <w:rsid w:val="31BE1180"/>
    <w:rsid w:val="31C9704E"/>
    <w:rsid w:val="31CCFF5D"/>
    <w:rsid w:val="31E8A7F5"/>
    <w:rsid w:val="31EA64BF"/>
    <w:rsid w:val="32165FE0"/>
    <w:rsid w:val="3217B76D"/>
    <w:rsid w:val="3239F8F4"/>
    <w:rsid w:val="32437D30"/>
    <w:rsid w:val="325EF737"/>
    <w:rsid w:val="3272222F"/>
    <w:rsid w:val="327C6E71"/>
    <w:rsid w:val="328490F0"/>
    <w:rsid w:val="3295C674"/>
    <w:rsid w:val="32B6978C"/>
    <w:rsid w:val="32D33C6A"/>
    <w:rsid w:val="32E8EB03"/>
    <w:rsid w:val="32F628BD"/>
    <w:rsid w:val="32F8E4A5"/>
    <w:rsid w:val="33104015"/>
    <w:rsid w:val="33105707"/>
    <w:rsid w:val="3319E7FE"/>
    <w:rsid w:val="332197AC"/>
    <w:rsid w:val="3332458E"/>
    <w:rsid w:val="33468B7A"/>
    <w:rsid w:val="33532568"/>
    <w:rsid w:val="33534633"/>
    <w:rsid w:val="336C829B"/>
    <w:rsid w:val="33723156"/>
    <w:rsid w:val="3373107C"/>
    <w:rsid w:val="33846472"/>
    <w:rsid w:val="3395E5B2"/>
    <w:rsid w:val="33970C47"/>
    <w:rsid w:val="339F7789"/>
    <w:rsid w:val="33A2AD0A"/>
    <w:rsid w:val="33BDEAB5"/>
    <w:rsid w:val="33BF5664"/>
    <w:rsid w:val="33C025C1"/>
    <w:rsid w:val="33CB4FDB"/>
    <w:rsid w:val="33DE7DE7"/>
    <w:rsid w:val="3403138C"/>
    <w:rsid w:val="340625C0"/>
    <w:rsid w:val="34094E06"/>
    <w:rsid w:val="3428865F"/>
    <w:rsid w:val="342DB943"/>
    <w:rsid w:val="3430919E"/>
    <w:rsid w:val="343A4A0A"/>
    <w:rsid w:val="343C1F43"/>
    <w:rsid w:val="345CE414"/>
    <w:rsid w:val="34843E03"/>
    <w:rsid w:val="34942FA5"/>
    <w:rsid w:val="349B93A8"/>
    <w:rsid w:val="349EF630"/>
    <w:rsid w:val="34A83F28"/>
    <w:rsid w:val="34B12841"/>
    <w:rsid w:val="34D91FDE"/>
    <w:rsid w:val="34E74A44"/>
    <w:rsid w:val="34F283D5"/>
    <w:rsid w:val="34F8F591"/>
    <w:rsid w:val="34FA8252"/>
    <w:rsid w:val="34FEE646"/>
    <w:rsid w:val="3508F4F3"/>
    <w:rsid w:val="35109BB2"/>
    <w:rsid w:val="351451EB"/>
    <w:rsid w:val="3518169F"/>
    <w:rsid w:val="3518F6F1"/>
    <w:rsid w:val="351CB09F"/>
    <w:rsid w:val="35200B0C"/>
    <w:rsid w:val="3532D5E7"/>
    <w:rsid w:val="354E9938"/>
    <w:rsid w:val="3551BB50"/>
    <w:rsid w:val="355472CF"/>
    <w:rsid w:val="356A11FB"/>
    <w:rsid w:val="356EC10D"/>
    <w:rsid w:val="358A4699"/>
    <w:rsid w:val="35957A91"/>
    <w:rsid w:val="35AC1173"/>
    <w:rsid w:val="35AC8D74"/>
    <w:rsid w:val="35C3D4ED"/>
    <w:rsid w:val="35CF26B8"/>
    <w:rsid w:val="35DFE848"/>
    <w:rsid w:val="35EE2A99"/>
    <w:rsid w:val="35EF1760"/>
    <w:rsid w:val="35F17412"/>
    <w:rsid w:val="35F5810A"/>
    <w:rsid w:val="35F69BE2"/>
    <w:rsid w:val="3602F980"/>
    <w:rsid w:val="36277836"/>
    <w:rsid w:val="36350791"/>
    <w:rsid w:val="36364D3A"/>
    <w:rsid w:val="3650CACC"/>
    <w:rsid w:val="365491BB"/>
    <w:rsid w:val="36A792A3"/>
    <w:rsid w:val="36ACDCE5"/>
    <w:rsid w:val="36DA8AF3"/>
    <w:rsid w:val="372373D3"/>
    <w:rsid w:val="3725256F"/>
    <w:rsid w:val="373E9176"/>
    <w:rsid w:val="373F1A12"/>
    <w:rsid w:val="37407A65"/>
    <w:rsid w:val="374FC860"/>
    <w:rsid w:val="3762C91C"/>
    <w:rsid w:val="376AF098"/>
    <w:rsid w:val="3793C74B"/>
    <w:rsid w:val="37B099AB"/>
    <w:rsid w:val="37B8ABF2"/>
    <w:rsid w:val="37CE4E26"/>
    <w:rsid w:val="37D0524E"/>
    <w:rsid w:val="37D0A01D"/>
    <w:rsid w:val="37E0510F"/>
    <w:rsid w:val="37ED2FC4"/>
    <w:rsid w:val="37F5CA9F"/>
    <w:rsid w:val="37FBD866"/>
    <w:rsid w:val="37FF7E99"/>
    <w:rsid w:val="380CD6E3"/>
    <w:rsid w:val="3820AED7"/>
    <w:rsid w:val="382F503D"/>
    <w:rsid w:val="38316617"/>
    <w:rsid w:val="383C5458"/>
    <w:rsid w:val="3841AB52"/>
    <w:rsid w:val="385506C4"/>
    <w:rsid w:val="38664FB0"/>
    <w:rsid w:val="38711F46"/>
    <w:rsid w:val="38780409"/>
    <w:rsid w:val="38826E8D"/>
    <w:rsid w:val="388595B2"/>
    <w:rsid w:val="3891F53F"/>
    <w:rsid w:val="38A1B2CB"/>
    <w:rsid w:val="38A28173"/>
    <w:rsid w:val="38B1EBE8"/>
    <w:rsid w:val="38D1B944"/>
    <w:rsid w:val="38E99FC8"/>
    <w:rsid w:val="38EF0E65"/>
    <w:rsid w:val="391D28C2"/>
    <w:rsid w:val="392BD6AC"/>
    <w:rsid w:val="392EC272"/>
    <w:rsid w:val="39410A4B"/>
    <w:rsid w:val="39429A5A"/>
    <w:rsid w:val="3947F1A7"/>
    <w:rsid w:val="394A13C8"/>
    <w:rsid w:val="396FAE36"/>
    <w:rsid w:val="397EE430"/>
    <w:rsid w:val="3983C1D0"/>
    <w:rsid w:val="398DC2DB"/>
    <w:rsid w:val="3992CFA7"/>
    <w:rsid w:val="39A00105"/>
    <w:rsid w:val="39B9FDFA"/>
    <w:rsid w:val="39CD2349"/>
    <w:rsid w:val="39D319A1"/>
    <w:rsid w:val="39D7498F"/>
    <w:rsid w:val="39EF5DF0"/>
    <w:rsid w:val="39F21D53"/>
    <w:rsid w:val="39FFC352"/>
    <w:rsid w:val="3A0226EB"/>
    <w:rsid w:val="3A06CBF8"/>
    <w:rsid w:val="3A2CB950"/>
    <w:rsid w:val="3A515B75"/>
    <w:rsid w:val="3A542EDA"/>
    <w:rsid w:val="3A56D822"/>
    <w:rsid w:val="3A5DEF95"/>
    <w:rsid w:val="3A6FCC03"/>
    <w:rsid w:val="3A73639C"/>
    <w:rsid w:val="3A851CDA"/>
    <w:rsid w:val="3A936810"/>
    <w:rsid w:val="3A9452E7"/>
    <w:rsid w:val="3AD1CFF7"/>
    <w:rsid w:val="3ADD68AB"/>
    <w:rsid w:val="3AE31630"/>
    <w:rsid w:val="3AE75B06"/>
    <w:rsid w:val="3AE8B1EB"/>
    <w:rsid w:val="3AEBF8F3"/>
    <w:rsid w:val="3B0566BA"/>
    <w:rsid w:val="3B0DCEA7"/>
    <w:rsid w:val="3B0E6608"/>
    <w:rsid w:val="3B1CDD7C"/>
    <w:rsid w:val="3B1D56DA"/>
    <w:rsid w:val="3B231986"/>
    <w:rsid w:val="3B38094E"/>
    <w:rsid w:val="3B3A7277"/>
    <w:rsid w:val="3B3BB490"/>
    <w:rsid w:val="3B3D813D"/>
    <w:rsid w:val="3B54C615"/>
    <w:rsid w:val="3B5B372E"/>
    <w:rsid w:val="3B6D6FE1"/>
    <w:rsid w:val="3B82172A"/>
    <w:rsid w:val="3B8F32FE"/>
    <w:rsid w:val="3BAC6B41"/>
    <w:rsid w:val="3C002EB6"/>
    <w:rsid w:val="3C04EED6"/>
    <w:rsid w:val="3C111AEA"/>
    <w:rsid w:val="3C19E348"/>
    <w:rsid w:val="3C19ECE7"/>
    <w:rsid w:val="3C253FDA"/>
    <w:rsid w:val="3C2D34E0"/>
    <w:rsid w:val="3C32A460"/>
    <w:rsid w:val="3C4D3603"/>
    <w:rsid w:val="3C6AA38E"/>
    <w:rsid w:val="3C71F5CD"/>
    <w:rsid w:val="3C7F7CBA"/>
    <w:rsid w:val="3C81FFC8"/>
    <w:rsid w:val="3C863427"/>
    <w:rsid w:val="3C88A72B"/>
    <w:rsid w:val="3C930AEF"/>
    <w:rsid w:val="3C935219"/>
    <w:rsid w:val="3C96B721"/>
    <w:rsid w:val="3CAE69D0"/>
    <w:rsid w:val="3CB2E2AD"/>
    <w:rsid w:val="3CC8B881"/>
    <w:rsid w:val="3CC984CE"/>
    <w:rsid w:val="3CD1D7B9"/>
    <w:rsid w:val="3CD2AF73"/>
    <w:rsid w:val="3CE821AE"/>
    <w:rsid w:val="3CED0FDC"/>
    <w:rsid w:val="3CF45761"/>
    <w:rsid w:val="3CFAF77C"/>
    <w:rsid w:val="3D223EB4"/>
    <w:rsid w:val="3D542BE1"/>
    <w:rsid w:val="3D5474AC"/>
    <w:rsid w:val="3D6D312F"/>
    <w:rsid w:val="3D72CC10"/>
    <w:rsid w:val="3D906C45"/>
    <w:rsid w:val="3D9362F6"/>
    <w:rsid w:val="3D945E5F"/>
    <w:rsid w:val="3DA034AA"/>
    <w:rsid w:val="3DA0731B"/>
    <w:rsid w:val="3DAA413F"/>
    <w:rsid w:val="3DC0EC92"/>
    <w:rsid w:val="3DC2023C"/>
    <w:rsid w:val="3E080932"/>
    <w:rsid w:val="3E128998"/>
    <w:rsid w:val="3E1DBE0B"/>
    <w:rsid w:val="3E271039"/>
    <w:rsid w:val="3E3140F3"/>
    <w:rsid w:val="3E3D0B06"/>
    <w:rsid w:val="3E84EF31"/>
    <w:rsid w:val="3E868DF9"/>
    <w:rsid w:val="3E93ED0E"/>
    <w:rsid w:val="3E948674"/>
    <w:rsid w:val="3E9B318D"/>
    <w:rsid w:val="3EB58E63"/>
    <w:rsid w:val="3EBED7C0"/>
    <w:rsid w:val="3EDF2E00"/>
    <w:rsid w:val="3EE7EBAB"/>
    <w:rsid w:val="3EE8ED7C"/>
    <w:rsid w:val="3EFA8B2B"/>
    <w:rsid w:val="3EFD9EC9"/>
    <w:rsid w:val="3F0C6428"/>
    <w:rsid w:val="3F0F60CA"/>
    <w:rsid w:val="3F115372"/>
    <w:rsid w:val="3F1AC560"/>
    <w:rsid w:val="3F1B26A1"/>
    <w:rsid w:val="3F276FCD"/>
    <w:rsid w:val="3F2C4E6F"/>
    <w:rsid w:val="3F558F45"/>
    <w:rsid w:val="3F61002C"/>
    <w:rsid w:val="3F61F7A6"/>
    <w:rsid w:val="3F62044F"/>
    <w:rsid w:val="3F65F3D3"/>
    <w:rsid w:val="3F6C1D53"/>
    <w:rsid w:val="3F758A92"/>
    <w:rsid w:val="3F7CB4EB"/>
    <w:rsid w:val="3F846A29"/>
    <w:rsid w:val="3F9801C8"/>
    <w:rsid w:val="3F99F694"/>
    <w:rsid w:val="3FB5EAD1"/>
    <w:rsid w:val="3FC4D8B7"/>
    <w:rsid w:val="3FDF6977"/>
    <w:rsid w:val="3FED9237"/>
    <w:rsid w:val="3FFA815B"/>
    <w:rsid w:val="4004EEA6"/>
    <w:rsid w:val="40058C27"/>
    <w:rsid w:val="4007F57D"/>
    <w:rsid w:val="401F10B5"/>
    <w:rsid w:val="4032F860"/>
    <w:rsid w:val="403E30A5"/>
    <w:rsid w:val="4052EADB"/>
    <w:rsid w:val="40675AD8"/>
    <w:rsid w:val="4078E7B5"/>
    <w:rsid w:val="407E3F95"/>
    <w:rsid w:val="408CEC2F"/>
    <w:rsid w:val="4092A8E9"/>
    <w:rsid w:val="409EB443"/>
    <w:rsid w:val="40A38561"/>
    <w:rsid w:val="40A75B03"/>
    <w:rsid w:val="40ABF146"/>
    <w:rsid w:val="40C6AAAA"/>
    <w:rsid w:val="40D5A18F"/>
    <w:rsid w:val="40DE490D"/>
    <w:rsid w:val="40E5F08D"/>
    <w:rsid w:val="41011721"/>
    <w:rsid w:val="410B0A9C"/>
    <w:rsid w:val="410B510D"/>
    <w:rsid w:val="411E74F6"/>
    <w:rsid w:val="412C9D69"/>
    <w:rsid w:val="41553B98"/>
    <w:rsid w:val="4155FEE9"/>
    <w:rsid w:val="41617E8D"/>
    <w:rsid w:val="4171D5DB"/>
    <w:rsid w:val="41782164"/>
    <w:rsid w:val="41809EC3"/>
    <w:rsid w:val="418796F0"/>
    <w:rsid w:val="4191AEA1"/>
    <w:rsid w:val="4195C380"/>
    <w:rsid w:val="41969B15"/>
    <w:rsid w:val="41997449"/>
    <w:rsid w:val="41ACC0B0"/>
    <w:rsid w:val="41BE5F27"/>
    <w:rsid w:val="41CE7495"/>
    <w:rsid w:val="41CEF9D6"/>
    <w:rsid w:val="42046742"/>
    <w:rsid w:val="420E0A2C"/>
    <w:rsid w:val="42162225"/>
    <w:rsid w:val="421DE3D9"/>
    <w:rsid w:val="42271BB3"/>
    <w:rsid w:val="423A2FC4"/>
    <w:rsid w:val="423DD88C"/>
    <w:rsid w:val="423F321D"/>
    <w:rsid w:val="424810ED"/>
    <w:rsid w:val="42609108"/>
    <w:rsid w:val="426FB76A"/>
    <w:rsid w:val="428DF4E5"/>
    <w:rsid w:val="428FC94B"/>
    <w:rsid w:val="429156B5"/>
    <w:rsid w:val="4293E036"/>
    <w:rsid w:val="429B52DC"/>
    <w:rsid w:val="429BD27A"/>
    <w:rsid w:val="42A0D0E1"/>
    <w:rsid w:val="42ACDCFB"/>
    <w:rsid w:val="42B6F981"/>
    <w:rsid w:val="42C6016E"/>
    <w:rsid w:val="42C79C32"/>
    <w:rsid w:val="42CA1E3F"/>
    <w:rsid w:val="42D78FDD"/>
    <w:rsid w:val="42D9BCA5"/>
    <w:rsid w:val="42FDC7D7"/>
    <w:rsid w:val="43042A8C"/>
    <w:rsid w:val="4309510D"/>
    <w:rsid w:val="430A7CE9"/>
    <w:rsid w:val="430BF98C"/>
    <w:rsid w:val="431839A5"/>
    <w:rsid w:val="431E0FAD"/>
    <w:rsid w:val="43267817"/>
    <w:rsid w:val="433C4D92"/>
    <w:rsid w:val="43411C95"/>
    <w:rsid w:val="43412389"/>
    <w:rsid w:val="4341E6A1"/>
    <w:rsid w:val="436CD4F3"/>
    <w:rsid w:val="4373F5CD"/>
    <w:rsid w:val="438368B8"/>
    <w:rsid w:val="438B66F4"/>
    <w:rsid w:val="438EDCB1"/>
    <w:rsid w:val="439BF54C"/>
    <w:rsid w:val="43BA7D0E"/>
    <w:rsid w:val="43C41682"/>
    <w:rsid w:val="43DA69FF"/>
    <w:rsid w:val="43E9D123"/>
    <w:rsid w:val="43EC67CA"/>
    <w:rsid w:val="441329F7"/>
    <w:rsid w:val="442180A5"/>
    <w:rsid w:val="4430F341"/>
    <w:rsid w:val="44477ED2"/>
    <w:rsid w:val="44813E77"/>
    <w:rsid w:val="44984F78"/>
    <w:rsid w:val="44ABC3D4"/>
    <w:rsid w:val="44B1C6BB"/>
    <w:rsid w:val="44BE7179"/>
    <w:rsid w:val="44C0F988"/>
    <w:rsid w:val="44CD0665"/>
    <w:rsid w:val="44F39331"/>
    <w:rsid w:val="44FF3072"/>
    <w:rsid w:val="4508E2DC"/>
    <w:rsid w:val="4509A799"/>
    <w:rsid w:val="4516DC7A"/>
    <w:rsid w:val="45230288"/>
    <w:rsid w:val="45242ABF"/>
    <w:rsid w:val="453B91FD"/>
    <w:rsid w:val="4568FD98"/>
    <w:rsid w:val="458027A1"/>
    <w:rsid w:val="4580A8CF"/>
    <w:rsid w:val="458B0F33"/>
    <w:rsid w:val="45AADCA0"/>
    <w:rsid w:val="45ABD968"/>
    <w:rsid w:val="45D11603"/>
    <w:rsid w:val="45D6D127"/>
    <w:rsid w:val="45E338A5"/>
    <w:rsid w:val="45F122E7"/>
    <w:rsid w:val="45F19B38"/>
    <w:rsid w:val="45FFC450"/>
    <w:rsid w:val="4607D1E8"/>
    <w:rsid w:val="460C8DEE"/>
    <w:rsid w:val="460DEE7D"/>
    <w:rsid w:val="46160435"/>
    <w:rsid w:val="462660BA"/>
    <w:rsid w:val="46515B8F"/>
    <w:rsid w:val="466D7F24"/>
    <w:rsid w:val="466E974A"/>
    <w:rsid w:val="46736082"/>
    <w:rsid w:val="4682FC09"/>
    <w:rsid w:val="4687DF36"/>
    <w:rsid w:val="468F8D71"/>
    <w:rsid w:val="4696C1B3"/>
    <w:rsid w:val="469B55AA"/>
    <w:rsid w:val="469E1F21"/>
    <w:rsid w:val="46A0A0A8"/>
    <w:rsid w:val="46A35BCD"/>
    <w:rsid w:val="46B99779"/>
    <w:rsid w:val="46BEF3DF"/>
    <w:rsid w:val="46C91558"/>
    <w:rsid w:val="46E031DF"/>
    <w:rsid w:val="46E8128A"/>
    <w:rsid w:val="46EAE888"/>
    <w:rsid w:val="46FB4C34"/>
    <w:rsid w:val="4716952F"/>
    <w:rsid w:val="4719FE90"/>
    <w:rsid w:val="471F0B7C"/>
    <w:rsid w:val="471FE293"/>
    <w:rsid w:val="472F64DE"/>
    <w:rsid w:val="4731E4CF"/>
    <w:rsid w:val="473A3726"/>
    <w:rsid w:val="475F32B7"/>
    <w:rsid w:val="47700FF3"/>
    <w:rsid w:val="477826ED"/>
    <w:rsid w:val="478D0BD1"/>
    <w:rsid w:val="479E8FFC"/>
    <w:rsid w:val="47B59F70"/>
    <w:rsid w:val="47C5D666"/>
    <w:rsid w:val="47C8D392"/>
    <w:rsid w:val="47CBFB0B"/>
    <w:rsid w:val="47EDDACC"/>
    <w:rsid w:val="47EE0DF0"/>
    <w:rsid w:val="47F540C1"/>
    <w:rsid w:val="480479A8"/>
    <w:rsid w:val="480C2AB4"/>
    <w:rsid w:val="4835357F"/>
    <w:rsid w:val="4836431A"/>
    <w:rsid w:val="483A536A"/>
    <w:rsid w:val="484E1678"/>
    <w:rsid w:val="485F0ED6"/>
    <w:rsid w:val="486287EA"/>
    <w:rsid w:val="48644665"/>
    <w:rsid w:val="488771B9"/>
    <w:rsid w:val="4887FFD9"/>
    <w:rsid w:val="48966DF7"/>
    <w:rsid w:val="48A98824"/>
    <w:rsid w:val="48B6C9EF"/>
    <w:rsid w:val="48C247C2"/>
    <w:rsid w:val="48CCE1F8"/>
    <w:rsid w:val="48E20519"/>
    <w:rsid w:val="48EF2E53"/>
    <w:rsid w:val="48F6ADF6"/>
    <w:rsid w:val="4901EAB6"/>
    <w:rsid w:val="4903BB0D"/>
    <w:rsid w:val="49169F0A"/>
    <w:rsid w:val="491B1E6D"/>
    <w:rsid w:val="492732D2"/>
    <w:rsid w:val="493CEEC5"/>
    <w:rsid w:val="4950DD9F"/>
    <w:rsid w:val="4955A129"/>
    <w:rsid w:val="496CD475"/>
    <w:rsid w:val="49713AA3"/>
    <w:rsid w:val="49765ADD"/>
    <w:rsid w:val="497AE732"/>
    <w:rsid w:val="49907999"/>
    <w:rsid w:val="499925E5"/>
    <w:rsid w:val="49B1036C"/>
    <w:rsid w:val="49BCF229"/>
    <w:rsid w:val="49C7AF73"/>
    <w:rsid w:val="49D0F0E4"/>
    <w:rsid w:val="49E5D227"/>
    <w:rsid w:val="49F4FCF9"/>
    <w:rsid w:val="4A0F589D"/>
    <w:rsid w:val="4A571D31"/>
    <w:rsid w:val="4A926425"/>
    <w:rsid w:val="4A97603E"/>
    <w:rsid w:val="4AA15F49"/>
    <w:rsid w:val="4AB762AE"/>
    <w:rsid w:val="4ABEF97B"/>
    <w:rsid w:val="4AC957CB"/>
    <w:rsid w:val="4AE57ECB"/>
    <w:rsid w:val="4AF2E4D6"/>
    <w:rsid w:val="4AF43CF0"/>
    <w:rsid w:val="4AF79A54"/>
    <w:rsid w:val="4AFBA2FE"/>
    <w:rsid w:val="4B0DA175"/>
    <w:rsid w:val="4B1B7176"/>
    <w:rsid w:val="4B29960C"/>
    <w:rsid w:val="4B2BD3E9"/>
    <w:rsid w:val="4B2F50D0"/>
    <w:rsid w:val="4B332E59"/>
    <w:rsid w:val="4B3499E5"/>
    <w:rsid w:val="4B39DF3F"/>
    <w:rsid w:val="4B498760"/>
    <w:rsid w:val="4B587431"/>
    <w:rsid w:val="4B698854"/>
    <w:rsid w:val="4B7FB290"/>
    <w:rsid w:val="4B821FDF"/>
    <w:rsid w:val="4BACFC7B"/>
    <w:rsid w:val="4BB3F95B"/>
    <w:rsid w:val="4BBBF791"/>
    <w:rsid w:val="4BD3A672"/>
    <w:rsid w:val="4BD72BFC"/>
    <w:rsid w:val="4BE1D163"/>
    <w:rsid w:val="4BEFBD06"/>
    <w:rsid w:val="4C04C553"/>
    <w:rsid w:val="4C11FDD8"/>
    <w:rsid w:val="4C20331F"/>
    <w:rsid w:val="4C2C1CF4"/>
    <w:rsid w:val="4C3A23F8"/>
    <w:rsid w:val="4C6054F3"/>
    <w:rsid w:val="4C6101BB"/>
    <w:rsid w:val="4C69F02E"/>
    <w:rsid w:val="4C6DE866"/>
    <w:rsid w:val="4C77C058"/>
    <w:rsid w:val="4C8AC7E2"/>
    <w:rsid w:val="4C90F02F"/>
    <w:rsid w:val="4C999551"/>
    <w:rsid w:val="4C9B9E56"/>
    <w:rsid w:val="4CA0505C"/>
    <w:rsid w:val="4CAD74C9"/>
    <w:rsid w:val="4CB59F39"/>
    <w:rsid w:val="4CBA3601"/>
    <w:rsid w:val="4CDAFBC1"/>
    <w:rsid w:val="4CDC47F7"/>
    <w:rsid w:val="4CE4BDB8"/>
    <w:rsid w:val="4CFD1445"/>
    <w:rsid w:val="4CFED78D"/>
    <w:rsid w:val="4D0402D3"/>
    <w:rsid w:val="4D045B8E"/>
    <w:rsid w:val="4D0E86B4"/>
    <w:rsid w:val="4D1A5319"/>
    <w:rsid w:val="4D1A9BD8"/>
    <w:rsid w:val="4D208773"/>
    <w:rsid w:val="4D265D97"/>
    <w:rsid w:val="4D2ABDEB"/>
    <w:rsid w:val="4D2CCC3F"/>
    <w:rsid w:val="4D4326ED"/>
    <w:rsid w:val="4D49A934"/>
    <w:rsid w:val="4D4D3C8F"/>
    <w:rsid w:val="4D4F0CC1"/>
    <w:rsid w:val="4D64A484"/>
    <w:rsid w:val="4D7103A0"/>
    <w:rsid w:val="4D75A07C"/>
    <w:rsid w:val="4D8160F8"/>
    <w:rsid w:val="4DA59C2E"/>
    <w:rsid w:val="4DB74CA2"/>
    <w:rsid w:val="4DC49EAC"/>
    <w:rsid w:val="4DD3A4C7"/>
    <w:rsid w:val="4DDD229E"/>
    <w:rsid w:val="4DE9EE65"/>
    <w:rsid w:val="4DF0FB73"/>
    <w:rsid w:val="4DFB7AB4"/>
    <w:rsid w:val="4DFFCBD4"/>
    <w:rsid w:val="4E0574A1"/>
    <w:rsid w:val="4E07BD7B"/>
    <w:rsid w:val="4E09FFE8"/>
    <w:rsid w:val="4E198178"/>
    <w:rsid w:val="4E1B0D05"/>
    <w:rsid w:val="4E1B4E8F"/>
    <w:rsid w:val="4E1CF7F2"/>
    <w:rsid w:val="4E1DC9AB"/>
    <w:rsid w:val="4E387A99"/>
    <w:rsid w:val="4E6C0788"/>
    <w:rsid w:val="4E84C2D6"/>
    <w:rsid w:val="4E939894"/>
    <w:rsid w:val="4EB6EF38"/>
    <w:rsid w:val="4EC217C6"/>
    <w:rsid w:val="4ED7B197"/>
    <w:rsid w:val="4EE590B9"/>
    <w:rsid w:val="4EE86D01"/>
    <w:rsid w:val="4EED53DB"/>
    <w:rsid w:val="4EEE3EF2"/>
    <w:rsid w:val="4EEFEAF9"/>
    <w:rsid w:val="4EFE8B41"/>
    <w:rsid w:val="4F0F027C"/>
    <w:rsid w:val="4F115265"/>
    <w:rsid w:val="4F140B82"/>
    <w:rsid w:val="4F226AD7"/>
    <w:rsid w:val="4F22C0B9"/>
    <w:rsid w:val="4F25D841"/>
    <w:rsid w:val="4F2BACB3"/>
    <w:rsid w:val="4F2C3B38"/>
    <w:rsid w:val="4F343D68"/>
    <w:rsid w:val="4F396049"/>
    <w:rsid w:val="4F3AE338"/>
    <w:rsid w:val="4F3D7572"/>
    <w:rsid w:val="4F5ED304"/>
    <w:rsid w:val="4F61A7C3"/>
    <w:rsid w:val="4F65FDD4"/>
    <w:rsid w:val="4F87F42A"/>
    <w:rsid w:val="4F94F874"/>
    <w:rsid w:val="4F9D5DD0"/>
    <w:rsid w:val="4F9E92CC"/>
    <w:rsid w:val="4FAB67B8"/>
    <w:rsid w:val="4FE9F0A2"/>
    <w:rsid w:val="4FED2638"/>
    <w:rsid w:val="4FF182C9"/>
    <w:rsid w:val="4FF362F8"/>
    <w:rsid w:val="4FF80F41"/>
    <w:rsid w:val="4FFF564F"/>
    <w:rsid w:val="500981A5"/>
    <w:rsid w:val="5019B292"/>
    <w:rsid w:val="501B4395"/>
    <w:rsid w:val="5032F4AF"/>
    <w:rsid w:val="50598FF6"/>
    <w:rsid w:val="505C6CDE"/>
    <w:rsid w:val="50622623"/>
    <w:rsid w:val="506C4E73"/>
    <w:rsid w:val="506C675C"/>
    <w:rsid w:val="5070497D"/>
    <w:rsid w:val="507CE99F"/>
    <w:rsid w:val="5085346A"/>
    <w:rsid w:val="50870DC6"/>
    <w:rsid w:val="5094EBD6"/>
    <w:rsid w:val="509A8DBB"/>
    <w:rsid w:val="50C8F5B2"/>
    <w:rsid w:val="50E1F6F8"/>
    <w:rsid w:val="50F2F416"/>
    <w:rsid w:val="5103E67F"/>
    <w:rsid w:val="510A715B"/>
    <w:rsid w:val="510CF933"/>
    <w:rsid w:val="5114F26E"/>
    <w:rsid w:val="511CD98C"/>
    <w:rsid w:val="51272686"/>
    <w:rsid w:val="5135147D"/>
    <w:rsid w:val="513CC3A6"/>
    <w:rsid w:val="51558E39"/>
    <w:rsid w:val="515AAA1E"/>
    <w:rsid w:val="51622FB8"/>
    <w:rsid w:val="5166751E"/>
    <w:rsid w:val="5166C66A"/>
    <w:rsid w:val="516C9950"/>
    <w:rsid w:val="516EE99A"/>
    <w:rsid w:val="518EB5C3"/>
    <w:rsid w:val="519186DB"/>
    <w:rsid w:val="51972368"/>
    <w:rsid w:val="51977B6B"/>
    <w:rsid w:val="51BC6EF3"/>
    <w:rsid w:val="51D937DE"/>
    <w:rsid w:val="51E6ED40"/>
    <w:rsid w:val="51E854C4"/>
    <w:rsid w:val="51F227D7"/>
    <w:rsid w:val="51F5AE28"/>
    <w:rsid w:val="5222FC70"/>
    <w:rsid w:val="5223AB5E"/>
    <w:rsid w:val="52301FC4"/>
    <w:rsid w:val="52365403"/>
    <w:rsid w:val="5243FCD6"/>
    <w:rsid w:val="526361B2"/>
    <w:rsid w:val="526737DE"/>
    <w:rsid w:val="5284C7DB"/>
    <w:rsid w:val="52931AB1"/>
    <w:rsid w:val="5296579C"/>
    <w:rsid w:val="52E22D18"/>
    <w:rsid w:val="52FDBB68"/>
    <w:rsid w:val="531BB657"/>
    <w:rsid w:val="5327D139"/>
    <w:rsid w:val="532BCF53"/>
    <w:rsid w:val="5350CD85"/>
    <w:rsid w:val="53559DA9"/>
    <w:rsid w:val="536BE58A"/>
    <w:rsid w:val="5397740B"/>
    <w:rsid w:val="5397AE9A"/>
    <w:rsid w:val="53B45821"/>
    <w:rsid w:val="53DED3C5"/>
    <w:rsid w:val="542B69F4"/>
    <w:rsid w:val="542F0DC5"/>
    <w:rsid w:val="5445BEC1"/>
    <w:rsid w:val="544FF9E7"/>
    <w:rsid w:val="54572637"/>
    <w:rsid w:val="546BDF4E"/>
    <w:rsid w:val="546FA374"/>
    <w:rsid w:val="54BC3EA9"/>
    <w:rsid w:val="54D35A9E"/>
    <w:rsid w:val="54D86B34"/>
    <w:rsid w:val="54DB38C3"/>
    <w:rsid w:val="54E9BCE4"/>
    <w:rsid w:val="55242BE0"/>
    <w:rsid w:val="552BEBA8"/>
    <w:rsid w:val="552F81FE"/>
    <w:rsid w:val="5547D8DA"/>
    <w:rsid w:val="5565E6E9"/>
    <w:rsid w:val="556CA45A"/>
    <w:rsid w:val="5572F968"/>
    <w:rsid w:val="55D094EC"/>
    <w:rsid w:val="55D86954"/>
    <w:rsid w:val="55DEB118"/>
    <w:rsid w:val="55E5F540"/>
    <w:rsid w:val="55EC24B7"/>
    <w:rsid w:val="560A9234"/>
    <w:rsid w:val="560FEDBF"/>
    <w:rsid w:val="562B1CEA"/>
    <w:rsid w:val="562E4E10"/>
    <w:rsid w:val="563B27B1"/>
    <w:rsid w:val="563C3E18"/>
    <w:rsid w:val="5640339E"/>
    <w:rsid w:val="56491D97"/>
    <w:rsid w:val="564BA4D5"/>
    <w:rsid w:val="564E726C"/>
    <w:rsid w:val="5652314F"/>
    <w:rsid w:val="565A3DDE"/>
    <w:rsid w:val="56625DE8"/>
    <w:rsid w:val="5687F3AD"/>
    <w:rsid w:val="5694E754"/>
    <w:rsid w:val="56A49675"/>
    <w:rsid w:val="56AA4BC3"/>
    <w:rsid w:val="56B50247"/>
    <w:rsid w:val="56F95AF5"/>
    <w:rsid w:val="56FCD9AE"/>
    <w:rsid w:val="570109DF"/>
    <w:rsid w:val="570F112D"/>
    <w:rsid w:val="571B32BD"/>
    <w:rsid w:val="571DB35A"/>
    <w:rsid w:val="573630E3"/>
    <w:rsid w:val="5738E25E"/>
    <w:rsid w:val="5742103B"/>
    <w:rsid w:val="5754ADB9"/>
    <w:rsid w:val="57643C18"/>
    <w:rsid w:val="576DFB1B"/>
    <w:rsid w:val="5772CA7D"/>
    <w:rsid w:val="5775A83B"/>
    <w:rsid w:val="578083B2"/>
    <w:rsid w:val="57838D6E"/>
    <w:rsid w:val="578FE179"/>
    <w:rsid w:val="579EFD44"/>
    <w:rsid w:val="57A69602"/>
    <w:rsid w:val="57BF200A"/>
    <w:rsid w:val="57D1D44F"/>
    <w:rsid w:val="57DCD8D7"/>
    <w:rsid w:val="57EAECD6"/>
    <w:rsid w:val="57EFCFFA"/>
    <w:rsid w:val="57F2FA79"/>
    <w:rsid w:val="580AC015"/>
    <w:rsid w:val="5813F5DB"/>
    <w:rsid w:val="58156BAC"/>
    <w:rsid w:val="581BFC31"/>
    <w:rsid w:val="583A6C55"/>
    <w:rsid w:val="583B882B"/>
    <w:rsid w:val="5843C8F6"/>
    <w:rsid w:val="585A210C"/>
    <w:rsid w:val="585D206D"/>
    <w:rsid w:val="587643C6"/>
    <w:rsid w:val="589EF30E"/>
    <w:rsid w:val="58A04922"/>
    <w:rsid w:val="58B52779"/>
    <w:rsid w:val="58D23784"/>
    <w:rsid w:val="58D3191B"/>
    <w:rsid w:val="58D47D36"/>
    <w:rsid w:val="58DB819E"/>
    <w:rsid w:val="58E405C5"/>
    <w:rsid w:val="58EBDEF5"/>
    <w:rsid w:val="590DDFCA"/>
    <w:rsid w:val="59146E3C"/>
    <w:rsid w:val="591AB526"/>
    <w:rsid w:val="591F59AA"/>
    <w:rsid w:val="5928412A"/>
    <w:rsid w:val="5944019A"/>
    <w:rsid w:val="594F6DF1"/>
    <w:rsid w:val="59512978"/>
    <w:rsid w:val="59512DA0"/>
    <w:rsid w:val="59562365"/>
    <w:rsid w:val="596E269C"/>
    <w:rsid w:val="59871769"/>
    <w:rsid w:val="598C1DE8"/>
    <w:rsid w:val="59925691"/>
    <w:rsid w:val="59A2E255"/>
    <w:rsid w:val="59BA2D76"/>
    <w:rsid w:val="59BDB2EB"/>
    <w:rsid w:val="59C704F9"/>
    <w:rsid w:val="59DDEB1D"/>
    <w:rsid w:val="59E3AB5F"/>
    <w:rsid w:val="59F5950C"/>
    <w:rsid w:val="59FA2C75"/>
    <w:rsid w:val="5A052A1E"/>
    <w:rsid w:val="5A1238F5"/>
    <w:rsid w:val="5A161653"/>
    <w:rsid w:val="5A16B95C"/>
    <w:rsid w:val="5A26F5BD"/>
    <w:rsid w:val="5A2E0078"/>
    <w:rsid w:val="5A5262F3"/>
    <w:rsid w:val="5AA01D6D"/>
    <w:rsid w:val="5AAE2CC3"/>
    <w:rsid w:val="5AAE82C0"/>
    <w:rsid w:val="5AB86A2D"/>
    <w:rsid w:val="5ABBC982"/>
    <w:rsid w:val="5AC1C17E"/>
    <w:rsid w:val="5AF033A7"/>
    <w:rsid w:val="5AF82C9C"/>
    <w:rsid w:val="5B03E666"/>
    <w:rsid w:val="5B10789B"/>
    <w:rsid w:val="5B1AC199"/>
    <w:rsid w:val="5B27D250"/>
    <w:rsid w:val="5B2840BC"/>
    <w:rsid w:val="5B4AC24C"/>
    <w:rsid w:val="5B5B5BC5"/>
    <w:rsid w:val="5B7483C7"/>
    <w:rsid w:val="5B88F46B"/>
    <w:rsid w:val="5B8B23DC"/>
    <w:rsid w:val="5B948365"/>
    <w:rsid w:val="5B98DA17"/>
    <w:rsid w:val="5BA22805"/>
    <w:rsid w:val="5BB53088"/>
    <w:rsid w:val="5BBB24E0"/>
    <w:rsid w:val="5BC25BA9"/>
    <w:rsid w:val="5BC92D23"/>
    <w:rsid w:val="5BE03C3B"/>
    <w:rsid w:val="5BEA6EAF"/>
    <w:rsid w:val="5BFE183F"/>
    <w:rsid w:val="5C06785B"/>
    <w:rsid w:val="5C0DD14B"/>
    <w:rsid w:val="5C1239ED"/>
    <w:rsid w:val="5C45EE0A"/>
    <w:rsid w:val="5C4765D0"/>
    <w:rsid w:val="5C53B620"/>
    <w:rsid w:val="5C58E91B"/>
    <w:rsid w:val="5C66E123"/>
    <w:rsid w:val="5C6BA551"/>
    <w:rsid w:val="5C7DC048"/>
    <w:rsid w:val="5C82F7F7"/>
    <w:rsid w:val="5C86EE9C"/>
    <w:rsid w:val="5C8CAAF9"/>
    <w:rsid w:val="5CCD3D1D"/>
    <w:rsid w:val="5CCF7497"/>
    <w:rsid w:val="5CCFA0B9"/>
    <w:rsid w:val="5CE3E1AF"/>
    <w:rsid w:val="5CE43284"/>
    <w:rsid w:val="5CF00828"/>
    <w:rsid w:val="5CF45A9A"/>
    <w:rsid w:val="5CFA6095"/>
    <w:rsid w:val="5D002D4C"/>
    <w:rsid w:val="5D02F698"/>
    <w:rsid w:val="5D0566D7"/>
    <w:rsid w:val="5D058FF0"/>
    <w:rsid w:val="5D10C86D"/>
    <w:rsid w:val="5D22341A"/>
    <w:rsid w:val="5D244974"/>
    <w:rsid w:val="5D3287C5"/>
    <w:rsid w:val="5D3AEF2F"/>
    <w:rsid w:val="5D476E42"/>
    <w:rsid w:val="5D4FC746"/>
    <w:rsid w:val="5D51F391"/>
    <w:rsid w:val="5D599BC5"/>
    <w:rsid w:val="5D5F2632"/>
    <w:rsid w:val="5D68C144"/>
    <w:rsid w:val="5D6C121C"/>
    <w:rsid w:val="5D713D83"/>
    <w:rsid w:val="5D7515F0"/>
    <w:rsid w:val="5D795E4E"/>
    <w:rsid w:val="5D7B2268"/>
    <w:rsid w:val="5D82D628"/>
    <w:rsid w:val="5D842C4C"/>
    <w:rsid w:val="5D99548D"/>
    <w:rsid w:val="5D9CDE4A"/>
    <w:rsid w:val="5DA24E7D"/>
    <w:rsid w:val="5DA36238"/>
    <w:rsid w:val="5DB7D4A7"/>
    <w:rsid w:val="5DC6E0D7"/>
    <w:rsid w:val="5DD08FE8"/>
    <w:rsid w:val="5DF21BF3"/>
    <w:rsid w:val="5DF92BCE"/>
    <w:rsid w:val="5DFBE661"/>
    <w:rsid w:val="5E04D8F4"/>
    <w:rsid w:val="5E3DA403"/>
    <w:rsid w:val="5E44A81E"/>
    <w:rsid w:val="5E5A379A"/>
    <w:rsid w:val="5E5A7ABA"/>
    <w:rsid w:val="5E6F2224"/>
    <w:rsid w:val="5E7AD0FC"/>
    <w:rsid w:val="5E7FE3EC"/>
    <w:rsid w:val="5E9474C2"/>
    <w:rsid w:val="5EA0F06F"/>
    <w:rsid w:val="5EADAB23"/>
    <w:rsid w:val="5EB4387E"/>
    <w:rsid w:val="5EB54665"/>
    <w:rsid w:val="5EBFAF26"/>
    <w:rsid w:val="5EDBD405"/>
    <w:rsid w:val="5EE571D6"/>
    <w:rsid w:val="5EED5B2B"/>
    <w:rsid w:val="5EFC5F35"/>
    <w:rsid w:val="5F00CFD6"/>
    <w:rsid w:val="5F03CF8A"/>
    <w:rsid w:val="5F0C07B8"/>
    <w:rsid w:val="5F110661"/>
    <w:rsid w:val="5F297CCB"/>
    <w:rsid w:val="5F2BCA3F"/>
    <w:rsid w:val="5F42E714"/>
    <w:rsid w:val="5F48CE09"/>
    <w:rsid w:val="5F53AB9A"/>
    <w:rsid w:val="5F68E62B"/>
    <w:rsid w:val="5F6B382E"/>
    <w:rsid w:val="5F709F9F"/>
    <w:rsid w:val="5F7BEBC3"/>
    <w:rsid w:val="5F7D0367"/>
    <w:rsid w:val="5F94BB28"/>
    <w:rsid w:val="5F95F5A6"/>
    <w:rsid w:val="5F9F4900"/>
    <w:rsid w:val="5FA80A75"/>
    <w:rsid w:val="5FAE58CA"/>
    <w:rsid w:val="5FB3E24F"/>
    <w:rsid w:val="5FC001BD"/>
    <w:rsid w:val="5FC3C22A"/>
    <w:rsid w:val="5FCD53CD"/>
    <w:rsid w:val="5FD78336"/>
    <w:rsid w:val="5FE59FE6"/>
    <w:rsid w:val="5FFBB8D8"/>
    <w:rsid w:val="5FFE3F0D"/>
    <w:rsid w:val="6005B386"/>
    <w:rsid w:val="600C31E5"/>
    <w:rsid w:val="60118108"/>
    <w:rsid w:val="601C05FB"/>
    <w:rsid w:val="6028A73E"/>
    <w:rsid w:val="60435A7D"/>
    <w:rsid w:val="606272E2"/>
    <w:rsid w:val="60804C38"/>
    <w:rsid w:val="608C3D98"/>
    <w:rsid w:val="609654F7"/>
    <w:rsid w:val="60A5A7AB"/>
    <w:rsid w:val="60A715A8"/>
    <w:rsid w:val="60A97166"/>
    <w:rsid w:val="60BE0F67"/>
    <w:rsid w:val="60C47100"/>
    <w:rsid w:val="60C8E7CC"/>
    <w:rsid w:val="60D4D5BA"/>
    <w:rsid w:val="60F353F1"/>
    <w:rsid w:val="60FB977B"/>
    <w:rsid w:val="60FF1CF5"/>
    <w:rsid w:val="6109A62B"/>
    <w:rsid w:val="610FDDCD"/>
    <w:rsid w:val="61102D6D"/>
    <w:rsid w:val="61162C72"/>
    <w:rsid w:val="611843C9"/>
    <w:rsid w:val="6139B88C"/>
    <w:rsid w:val="61487EFF"/>
    <w:rsid w:val="6153A09B"/>
    <w:rsid w:val="615831D2"/>
    <w:rsid w:val="61615568"/>
    <w:rsid w:val="616F1882"/>
    <w:rsid w:val="6176B216"/>
    <w:rsid w:val="6179D859"/>
    <w:rsid w:val="617CF88E"/>
    <w:rsid w:val="617D13D0"/>
    <w:rsid w:val="61864C45"/>
    <w:rsid w:val="6189976B"/>
    <w:rsid w:val="618A6C2A"/>
    <w:rsid w:val="618E1ABC"/>
    <w:rsid w:val="61986511"/>
    <w:rsid w:val="61A67853"/>
    <w:rsid w:val="61A7428E"/>
    <w:rsid w:val="61B060BF"/>
    <w:rsid w:val="61D3A1F8"/>
    <w:rsid w:val="61E47FDC"/>
    <w:rsid w:val="622E5B94"/>
    <w:rsid w:val="6235D7AE"/>
    <w:rsid w:val="62621E49"/>
    <w:rsid w:val="626CE553"/>
    <w:rsid w:val="62798F58"/>
    <w:rsid w:val="627E1355"/>
    <w:rsid w:val="628CBCFC"/>
    <w:rsid w:val="62997FF1"/>
    <w:rsid w:val="62B111C8"/>
    <w:rsid w:val="62D2908B"/>
    <w:rsid w:val="62D9254F"/>
    <w:rsid w:val="62FBC456"/>
    <w:rsid w:val="63084819"/>
    <w:rsid w:val="630C6BCC"/>
    <w:rsid w:val="6321B35E"/>
    <w:rsid w:val="63245746"/>
    <w:rsid w:val="632A22E6"/>
    <w:rsid w:val="633B3975"/>
    <w:rsid w:val="635CDE21"/>
    <w:rsid w:val="63669437"/>
    <w:rsid w:val="6375BC80"/>
    <w:rsid w:val="6384EC17"/>
    <w:rsid w:val="638838D9"/>
    <w:rsid w:val="63957471"/>
    <w:rsid w:val="6396CEA2"/>
    <w:rsid w:val="63A14F07"/>
    <w:rsid w:val="63A3AE4E"/>
    <w:rsid w:val="63B0F894"/>
    <w:rsid w:val="63B958EC"/>
    <w:rsid w:val="63BC98E6"/>
    <w:rsid w:val="63C175D0"/>
    <w:rsid w:val="63E2929D"/>
    <w:rsid w:val="63E574DF"/>
    <w:rsid w:val="6405D0E6"/>
    <w:rsid w:val="640B8170"/>
    <w:rsid w:val="64285D6D"/>
    <w:rsid w:val="643F7A29"/>
    <w:rsid w:val="645DC28A"/>
    <w:rsid w:val="646785D8"/>
    <w:rsid w:val="646FEFD0"/>
    <w:rsid w:val="6471BBB4"/>
    <w:rsid w:val="647389BF"/>
    <w:rsid w:val="649053C9"/>
    <w:rsid w:val="6499F9B6"/>
    <w:rsid w:val="649D4F25"/>
    <w:rsid w:val="649F0104"/>
    <w:rsid w:val="64A1AE3D"/>
    <w:rsid w:val="64A51919"/>
    <w:rsid w:val="64B0A05D"/>
    <w:rsid w:val="64C049BD"/>
    <w:rsid w:val="64CAF454"/>
    <w:rsid w:val="64E07A92"/>
    <w:rsid w:val="64E7C9C2"/>
    <w:rsid w:val="64EB3B49"/>
    <w:rsid w:val="64F6D215"/>
    <w:rsid w:val="64FDEF5C"/>
    <w:rsid w:val="64FF2B89"/>
    <w:rsid w:val="6508AA74"/>
    <w:rsid w:val="65210D54"/>
    <w:rsid w:val="65258223"/>
    <w:rsid w:val="653B558F"/>
    <w:rsid w:val="6559E8C3"/>
    <w:rsid w:val="65763719"/>
    <w:rsid w:val="657CCB46"/>
    <w:rsid w:val="657DF59E"/>
    <w:rsid w:val="658F14E7"/>
    <w:rsid w:val="65AB094F"/>
    <w:rsid w:val="65BA4898"/>
    <w:rsid w:val="65C6BC24"/>
    <w:rsid w:val="65CBF20B"/>
    <w:rsid w:val="65CCCFCE"/>
    <w:rsid w:val="65D2A52C"/>
    <w:rsid w:val="65F776CA"/>
    <w:rsid w:val="66098FEF"/>
    <w:rsid w:val="6609F1BB"/>
    <w:rsid w:val="660AA21E"/>
    <w:rsid w:val="66103FB3"/>
    <w:rsid w:val="6615E4C5"/>
    <w:rsid w:val="6625B536"/>
    <w:rsid w:val="6625CCD9"/>
    <w:rsid w:val="66346EC7"/>
    <w:rsid w:val="663B0F01"/>
    <w:rsid w:val="663E6923"/>
    <w:rsid w:val="6643685F"/>
    <w:rsid w:val="664BAF93"/>
    <w:rsid w:val="66510E81"/>
    <w:rsid w:val="66562D1B"/>
    <w:rsid w:val="66590EA4"/>
    <w:rsid w:val="6682D683"/>
    <w:rsid w:val="66958D84"/>
    <w:rsid w:val="669AB10E"/>
    <w:rsid w:val="669D87C2"/>
    <w:rsid w:val="66A05703"/>
    <w:rsid w:val="66A51EFA"/>
    <w:rsid w:val="66C2BBB8"/>
    <w:rsid w:val="66CC9236"/>
    <w:rsid w:val="66E219B5"/>
    <w:rsid w:val="66FD002F"/>
    <w:rsid w:val="6703E366"/>
    <w:rsid w:val="672771E2"/>
    <w:rsid w:val="67295332"/>
    <w:rsid w:val="67317F08"/>
    <w:rsid w:val="673D3F89"/>
    <w:rsid w:val="67589EEB"/>
    <w:rsid w:val="67800F32"/>
    <w:rsid w:val="6789BD1F"/>
    <w:rsid w:val="678EC851"/>
    <w:rsid w:val="67A09B64"/>
    <w:rsid w:val="67B4B0D3"/>
    <w:rsid w:val="67BF9FD2"/>
    <w:rsid w:val="67C05539"/>
    <w:rsid w:val="67CA9DED"/>
    <w:rsid w:val="67D117AD"/>
    <w:rsid w:val="67D68B3A"/>
    <w:rsid w:val="67E01462"/>
    <w:rsid w:val="67E31FBA"/>
    <w:rsid w:val="67E44C35"/>
    <w:rsid w:val="67E74661"/>
    <w:rsid w:val="67EF4AF5"/>
    <w:rsid w:val="67F358F7"/>
    <w:rsid w:val="67F6F745"/>
    <w:rsid w:val="68118B05"/>
    <w:rsid w:val="6816D3EC"/>
    <w:rsid w:val="6822A8F3"/>
    <w:rsid w:val="6823412B"/>
    <w:rsid w:val="683F4232"/>
    <w:rsid w:val="68446F88"/>
    <w:rsid w:val="684A35F8"/>
    <w:rsid w:val="6851F5D8"/>
    <w:rsid w:val="6856B2CD"/>
    <w:rsid w:val="6862D33C"/>
    <w:rsid w:val="6865FC7E"/>
    <w:rsid w:val="686E8584"/>
    <w:rsid w:val="6875EC5C"/>
    <w:rsid w:val="6882A697"/>
    <w:rsid w:val="688AFA07"/>
    <w:rsid w:val="68A14F45"/>
    <w:rsid w:val="68A3DDFD"/>
    <w:rsid w:val="68B4DFAB"/>
    <w:rsid w:val="68B7D9A3"/>
    <w:rsid w:val="68C96275"/>
    <w:rsid w:val="68CD1191"/>
    <w:rsid w:val="68D52A5F"/>
    <w:rsid w:val="68E62A7F"/>
    <w:rsid w:val="68E94291"/>
    <w:rsid w:val="68E9BE39"/>
    <w:rsid w:val="68EDE72A"/>
    <w:rsid w:val="68EFE056"/>
    <w:rsid w:val="69039A19"/>
    <w:rsid w:val="69072C7D"/>
    <w:rsid w:val="6914D3D9"/>
    <w:rsid w:val="692FD018"/>
    <w:rsid w:val="6930E759"/>
    <w:rsid w:val="6938AFA5"/>
    <w:rsid w:val="693FC842"/>
    <w:rsid w:val="694005D8"/>
    <w:rsid w:val="6941DBC2"/>
    <w:rsid w:val="6943A946"/>
    <w:rsid w:val="694AFAE2"/>
    <w:rsid w:val="6978D928"/>
    <w:rsid w:val="6978F3A3"/>
    <w:rsid w:val="697D7A1E"/>
    <w:rsid w:val="6986DEE4"/>
    <w:rsid w:val="69A50FA5"/>
    <w:rsid w:val="69B89455"/>
    <w:rsid w:val="69E130E1"/>
    <w:rsid w:val="6A0E604B"/>
    <w:rsid w:val="6A0F649F"/>
    <w:rsid w:val="6A1293E5"/>
    <w:rsid w:val="6A27B265"/>
    <w:rsid w:val="6A5FB0A4"/>
    <w:rsid w:val="6A61B9EE"/>
    <w:rsid w:val="6A707430"/>
    <w:rsid w:val="6A900964"/>
    <w:rsid w:val="6A96E2C4"/>
    <w:rsid w:val="6A9A9342"/>
    <w:rsid w:val="6AA2E672"/>
    <w:rsid w:val="6AA5AA6A"/>
    <w:rsid w:val="6AAB0992"/>
    <w:rsid w:val="6AAB35F0"/>
    <w:rsid w:val="6AAF7974"/>
    <w:rsid w:val="6AC1EE19"/>
    <w:rsid w:val="6AF372F8"/>
    <w:rsid w:val="6AF6D846"/>
    <w:rsid w:val="6AF7C1E9"/>
    <w:rsid w:val="6AF9E50A"/>
    <w:rsid w:val="6B083437"/>
    <w:rsid w:val="6B094819"/>
    <w:rsid w:val="6B370096"/>
    <w:rsid w:val="6B37FF1A"/>
    <w:rsid w:val="6B46A2A3"/>
    <w:rsid w:val="6B5ACFB0"/>
    <w:rsid w:val="6B657BDD"/>
    <w:rsid w:val="6B6B9E66"/>
    <w:rsid w:val="6B7D67CA"/>
    <w:rsid w:val="6B93BD0C"/>
    <w:rsid w:val="6B9D9CDF"/>
    <w:rsid w:val="6BA093E6"/>
    <w:rsid w:val="6BA14F28"/>
    <w:rsid w:val="6BA6CEAF"/>
    <w:rsid w:val="6BCAEC26"/>
    <w:rsid w:val="6BCB7349"/>
    <w:rsid w:val="6BCBCAD9"/>
    <w:rsid w:val="6BCF7C36"/>
    <w:rsid w:val="6BDFBC19"/>
    <w:rsid w:val="6BFC7C9D"/>
    <w:rsid w:val="6C0407B6"/>
    <w:rsid w:val="6C16F38F"/>
    <w:rsid w:val="6C24E7CC"/>
    <w:rsid w:val="6C260AD8"/>
    <w:rsid w:val="6C29E109"/>
    <w:rsid w:val="6C329197"/>
    <w:rsid w:val="6C5538AE"/>
    <w:rsid w:val="6C58D38F"/>
    <w:rsid w:val="6C6744D0"/>
    <w:rsid w:val="6C6B62F1"/>
    <w:rsid w:val="6C7EB5DC"/>
    <w:rsid w:val="6C7ECB2B"/>
    <w:rsid w:val="6C82C049"/>
    <w:rsid w:val="6C86772C"/>
    <w:rsid w:val="6C993A68"/>
    <w:rsid w:val="6CEAF6A4"/>
    <w:rsid w:val="6CF40C26"/>
    <w:rsid w:val="6CFA15FB"/>
    <w:rsid w:val="6D025419"/>
    <w:rsid w:val="6D18AF3B"/>
    <w:rsid w:val="6D24D455"/>
    <w:rsid w:val="6D298587"/>
    <w:rsid w:val="6D2A8247"/>
    <w:rsid w:val="6D2FE4F9"/>
    <w:rsid w:val="6D373028"/>
    <w:rsid w:val="6D3E0004"/>
    <w:rsid w:val="6D577B78"/>
    <w:rsid w:val="6D59916F"/>
    <w:rsid w:val="6D62AE45"/>
    <w:rsid w:val="6D700F50"/>
    <w:rsid w:val="6D7E0709"/>
    <w:rsid w:val="6D906128"/>
    <w:rsid w:val="6D95427F"/>
    <w:rsid w:val="6D9FCF15"/>
    <w:rsid w:val="6DA32951"/>
    <w:rsid w:val="6DA47910"/>
    <w:rsid w:val="6DA59B6E"/>
    <w:rsid w:val="6DC382D3"/>
    <w:rsid w:val="6DE2BFE0"/>
    <w:rsid w:val="6DEB6D42"/>
    <w:rsid w:val="6DFE5478"/>
    <w:rsid w:val="6DFED51B"/>
    <w:rsid w:val="6E1831EF"/>
    <w:rsid w:val="6E2CFC01"/>
    <w:rsid w:val="6E2F7569"/>
    <w:rsid w:val="6E4125BC"/>
    <w:rsid w:val="6E4BE9C1"/>
    <w:rsid w:val="6E52036C"/>
    <w:rsid w:val="6E555D3C"/>
    <w:rsid w:val="6E6DF0D8"/>
    <w:rsid w:val="6E7BA4CE"/>
    <w:rsid w:val="6E869AEF"/>
    <w:rsid w:val="6E8AE941"/>
    <w:rsid w:val="6E927746"/>
    <w:rsid w:val="6EACD7EC"/>
    <w:rsid w:val="6EADC8E4"/>
    <w:rsid w:val="6EB40A6F"/>
    <w:rsid w:val="6ED70C62"/>
    <w:rsid w:val="6EDC3DE9"/>
    <w:rsid w:val="6EDD259C"/>
    <w:rsid w:val="6EE98153"/>
    <w:rsid w:val="6EEE9423"/>
    <w:rsid w:val="6EF3B6D2"/>
    <w:rsid w:val="6F03AF24"/>
    <w:rsid w:val="6F04008C"/>
    <w:rsid w:val="6F264CBC"/>
    <w:rsid w:val="6F298B9B"/>
    <w:rsid w:val="6F41F87D"/>
    <w:rsid w:val="6F5CF7F0"/>
    <w:rsid w:val="6F67AF58"/>
    <w:rsid w:val="6F72EBBB"/>
    <w:rsid w:val="6F78D330"/>
    <w:rsid w:val="6F86C629"/>
    <w:rsid w:val="6F9B63AF"/>
    <w:rsid w:val="6FA99730"/>
    <w:rsid w:val="6FB472F4"/>
    <w:rsid w:val="6FC650C7"/>
    <w:rsid w:val="6FCA0150"/>
    <w:rsid w:val="6FCE0887"/>
    <w:rsid w:val="6FD3D9CC"/>
    <w:rsid w:val="6FE659B2"/>
    <w:rsid w:val="6FF7C9A6"/>
    <w:rsid w:val="6FFFE2CA"/>
    <w:rsid w:val="70030C7D"/>
    <w:rsid w:val="7007CA8D"/>
    <w:rsid w:val="701E79EB"/>
    <w:rsid w:val="701FDEF0"/>
    <w:rsid w:val="7033956F"/>
    <w:rsid w:val="7036BF81"/>
    <w:rsid w:val="704F45BA"/>
    <w:rsid w:val="705B722E"/>
    <w:rsid w:val="706ABA59"/>
    <w:rsid w:val="706F2A1A"/>
    <w:rsid w:val="709088E5"/>
    <w:rsid w:val="70AF0EB1"/>
    <w:rsid w:val="70D095C3"/>
    <w:rsid w:val="70E43F33"/>
    <w:rsid w:val="70E5B71A"/>
    <w:rsid w:val="70F88D19"/>
    <w:rsid w:val="70FFAAAA"/>
    <w:rsid w:val="710332D8"/>
    <w:rsid w:val="7114DE0F"/>
    <w:rsid w:val="711A1EB0"/>
    <w:rsid w:val="711C667C"/>
    <w:rsid w:val="711D4608"/>
    <w:rsid w:val="712697E4"/>
    <w:rsid w:val="71294B4B"/>
    <w:rsid w:val="71337B44"/>
    <w:rsid w:val="713A24BD"/>
    <w:rsid w:val="714EFF2B"/>
    <w:rsid w:val="7156E8E2"/>
    <w:rsid w:val="717DBC1C"/>
    <w:rsid w:val="717E844A"/>
    <w:rsid w:val="71A11540"/>
    <w:rsid w:val="71AB6748"/>
    <w:rsid w:val="71B7D6CC"/>
    <w:rsid w:val="71C3CEF8"/>
    <w:rsid w:val="71C69F78"/>
    <w:rsid w:val="71C917D2"/>
    <w:rsid w:val="71CCCEA7"/>
    <w:rsid w:val="71D4599D"/>
    <w:rsid w:val="71DA6B68"/>
    <w:rsid w:val="71E2C796"/>
    <w:rsid w:val="71EE363C"/>
    <w:rsid w:val="71F075CB"/>
    <w:rsid w:val="72009221"/>
    <w:rsid w:val="7211F691"/>
    <w:rsid w:val="72168994"/>
    <w:rsid w:val="722463F4"/>
    <w:rsid w:val="722D24BB"/>
    <w:rsid w:val="7235A38E"/>
    <w:rsid w:val="724B544F"/>
    <w:rsid w:val="724ED40D"/>
    <w:rsid w:val="7255C358"/>
    <w:rsid w:val="72730099"/>
    <w:rsid w:val="728C8F58"/>
    <w:rsid w:val="7290E200"/>
    <w:rsid w:val="72954D9F"/>
    <w:rsid w:val="73198206"/>
    <w:rsid w:val="731C3FC0"/>
    <w:rsid w:val="73372D74"/>
    <w:rsid w:val="739DBB46"/>
    <w:rsid w:val="73A2586B"/>
    <w:rsid w:val="73ABC54E"/>
    <w:rsid w:val="73B3C0F5"/>
    <w:rsid w:val="73B40473"/>
    <w:rsid w:val="73B5C19E"/>
    <w:rsid w:val="73B8EFA0"/>
    <w:rsid w:val="73CC27A8"/>
    <w:rsid w:val="73D4D4B7"/>
    <w:rsid w:val="73D6865E"/>
    <w:rsid w:val="73F5C3E2"/>
    <w:rsid w:val="74025946"/>
    <w:rsid w:val="7406B83A"/>
    <w:rsid w:val="74100300"/>
    <w:rsid w:val="741F0A37"/>
    <w:rsid w:val="741F96C2"/>
    <w:rsid w:val="74233874"/>
    <w:rsid w:val="742E0612"/>
    <w:rsid w:val="742E63DA"/>
    <w:rsid w:val="743403DD"/>
    <w:rsid w:val="743C6ABA"/>
    <w:rsid w:val="743CB031"/>
    <w:rsid w:val="744056D0"/>
    <w:rsid w:val="745A98FD"/>
    <w:rsid w:val="745C9077"/>
    <w:rsid w:val="746FA3F3"/>
    <w:rsid w:val="74749B46"/>
    <w:rsid w:val="74751070"/>
    <w:rsid w:val="74784DC7"/>
    <w:rsid w:val="747B6EFF"/>
    <w:rsid w:val="74876B61"/>
    <w:rsid w:val="748E913D"/>
    <w:rsid w:val="7493CAFF"/>
    <w:rsid w:val="74964491"/>
    <w:rsid w:val="749802CD"/>
    <w:rsid w:val="74999EBE"/>
    <w:rsid w:val="74A8EBFA"/>
    <w:rsid w:val="74C2CD8E"/>
    <w:rsid w:val="74D273E4"/>
    <w:rsid w:val="74D5777C"/>
    <w:rsid w:val="74F2187B"/>
    <w:rsid w:val="7509E1B2"/>
    <w:rsid w:val="7513FBD9"/>
    <w:rsid w:val="75186255"/>
    <w:rsid w:val="751BFEA9"/>
    <w:rsid w:val="751DB5E4"/>
    <w:rsid w:val="751F7689"/>
    <w:rsid w:val="7541B182"/>
    <w:rsid w:val="75462C61"/>
    <w:rsid w:val="755CF26D"/>
    <w:rsid w:val="7566E824"/>
    <w:rsid w:val="757F8B72"/>
    <w:rsid w:val="757FA0AD"/>
    <w:rsid w:val="75901274"/>
    <w:rsid w:val="7593BDC4"/>
    <w:rsid w:val="7594136B"/>
    <w:rsid w:val="75A7DB0F"/>
    <w:rsid w:val="75B35D84"/>
    <w:rsid w:val="75BA1CB6"/>
    <w:rsid w:val="75C80911"/>
    <w:rsid w:val="75DC0462"/>
    <w:rsid w:val="75E38760"/>
    <w:rsid w:val="75E3C949"/>
    <w:rsid w:val="75EE0E6E"/>
    <w:rsid w:val="7616CDCB"/>
    <w:rsid w:val="761A953C"/>
    <w:rsid w:val="7624CF9F"/>
    <w:rsid w:val="762DB1EE"/>
    <w:rsid w:val="76391EEF"/>
    <w:rsid w:val="763DC445"/>
    <w:rsid w:val="76532D0A"/>
    <w:rsid w:val="765B3BE5"/>
    <w:rsid w:val="766EE052"/>
    <w:rsid w:val="767C7C77"/>
    <w:rsid w:val="76888457"/>
    <w:rsid w:val="76890F62"/>
    <w:rsid w:val="76942B51"/>
    <w:rsid w:val="76A13706"/>
    <w:rsid w:val="76A60F01"/>
    <w:rsid w:val="76F14CB1"/>
    <w:rsid w:val="770045BC"/>
    <w:rsid w:val="77116995"/>
    <w:rsid w:val="77293F70"/>
    <w:rsid w:val="772C51DD"/>
    <w:rsid w:val="772CC9EA"/>
    <w:rsid w:val="773D4D3B"/>
    <w:rsid w:val="77453A03"/>
    <w:rsid w:val="7745735A"/>
    <w:rsid w:val="774A38FC"/>
    <w:rsid w:val="77550FE7"/>
    <w:rsid w:val="775876D6"/>
    <w:rsid w:val="777D3FCA"/>
    <w:rsid w:val="777F9345"/>
    <w:rsid w:val="77807E36"/>
    <w:rsid w:val="779B057E"/>
    <w:rsid w:val="779B74DE"/>
    <w:rsid w:val="77A39998"/>
    <w:rsid w:val="77D38F07"/>
    <w:rsid w:val="77D40882"/>
    <w:rsid w:val="77DAE90F"/>
    <w:rsid w:val="77E9B94E"/>
    <w:rsid w:val="77F7CB1F"/>
    <w:rsid w:val="78074B7C"/>
    <w:rsid w:val="7810FB4F"/>
    <w:rsid w:val="7823BBB8"/>
    <w:rsid w:val="78461DA6"/>
    <w:rsid w:val="784A2D08"/>
    <w:rsid w:val="7869A37C"/>
    <w:rsid w:val="786E8DE7"/>
    <w:rsid w:val="787B431C"/>
    <w:rsid w:val="787ECDE7"/>
    <w:rsid w:val="78BB6521"/>
    <w:rsid w:val="78D70A7E"/>
    <w:rsid w:val="78DC7FFB"/>
    <w:rsid w:val="78FB2102"/>
    <w:rsid w:val="790F783E"/>
    <w:rsid w:val="792293C9"/>
    <w:rsid w:val="792C1F56"/>
    <w:rsid w:val="793F4A38"/>
    <w:rsid w:val="79409791"/>
    <w:rsid w:val="79535D20"/>
    <w:rsid w:val="7969494E"/>
    <w:rsid w:val="7983A893"/>
    <w:rsid w:val="7983BB0B"/>
    <w:rsid w:val="79939E00"/>
    <w:rsid w:val="79965392"/>
    <w:rsid w:val="799DD4DC"/>
    <w:rsid w:val="79AD71A8"/>
    <w:rsid w:val="79B399AA"/>
    <w:rsid w:val="79BAE9F2"/>
    <w:rsid w:val="79CD4D5B"/>
    <w:rsid w:val="79D66007"/>
    <w:rsid w:val="79E16D8C"/>
    <w:rsid w:val="79E2E7CA"/>
    <w:rsid w:val="79EFEA97"/>
    <w:rsid w:val="7A01A3EB"/>
    <w:rsid w:val="7A0CFB7B"/>
    <w:rsid w:val="7A0D38C3"/>
    <w:rsid w:val="7A0EF41F"/>
    <w:rsid w:val="7A2B78CD"/>
    <w:rsid w:val="7A2E2E48"/>
    <w:rsid w:val="7A36C8D9"/>
    <w:rsid w:val="7A480B75"/>
    <w:rsid w:val="7A6330FA"/>
    <w:rsid w:val="7A659CB6"/>
    <w:rsid w:val="7A65F258"/>
    <w:rsid w:val="7A761635"/>
    <w:rsid w:val="7A76A6A8"/>
    <w:rsid w:val="7A79BA3B"/>
    <w:rsid w:val="7A79D3C3"/>
    <w:rsid w:val="7A914D8F"/>
    <w:rsid w:val="7A950448"/>
    <w:rsid w:val="7A97518F"/>
    <w:rsid w:val="7AB7DADD"/>
    <w:rsid w:val="7AB8D99D"/>
    <w:rsid w:val="7AC2D148"/>
    <w:rsid w:val="7ACC6D8B"/>
    <w:rsid w:val="7AD71EE7"/>
    <w:rsid w:val="7AD9DE0D"/>
    <w:rsid w:val="7ADCBBA5"/>
    <w:rsid w:val="7AE76D6D"/>
    <w:rsid w:val="7AFE8F0B"/>
    <w:rsid w:val="7B067BF9"/>
    <w:rsid w:val="7B1E39A0"/>
    <w:rsid w:val="7B343E9C"/>
    <w:rsid w:val="7B4293EC"/>
    <w:rsid w:val="7B43AF98"/>
    <w:rsid w:val="7B61BD6C"/>
    <w:rsid w:val="7B721E81"/>
    <w:rsid w:val="7B948DE4"/>
    <w:rsid w:val="7B9924CB"/>
    <w:rsid w:val="7BB1E440"/>
    <w:rsid w:val="7BBD9AD4"/>
    <w:rsid w:val="7BCE75B8"/>
    <w:rsid w:val="7BDE5A21"/>
    <w:rsid w:val="7BE2E080"/>
    <w:rsid w:val="7BF6E286"/>
    <w:rsid w:val="7C0AE97E"/>
    <w:rsid w:val="7C2675C3"/>
    <w:rsid w:val="7C2E69FF"/>
    <w:rsid w:val="7C52A52B"/>
    <w:rsid w:val="7C539B4D"/>
    <w:rsid w:val="7C555FAA"/>
    <w:rsid w:val="7C74D911"/>
    <w:rsid w:val="7C7ABFA9"/>
    <w:rsid w:val="7CB6DB4C"/>
    <w:rsid w:val="7CCAE672"/>
    <w:rsid w:val="7CEA363B"/>
    <w:rsid w:val="7CF3223B"/>
    <w:rsid w:val="7CF49301"/>
    <w:rsid w:val="7D065D45"/>
    <w:rsid w:val="7D3F0B73"/>
    <w:rsid w:val="7D42D07D"/>
    <w:rsid w:val="7D616ED3"/>
    <w:rsid w:val="7D7E0CFF"/>
    <w:rsid w:val="7D889B23"/>
    <w:rsid w:val="7D91902A"/>
    <w:rsid w:val="7DA4BCDD"/>
    <w:rsid w:val="7DACD036"/>
    <w:rsid w:val="7DB2828B"/>
    <w:rsid w:val="7DDF8A27"/>
    <w:rsid w:val="7DEFEE61"/>
    <w:rsid w:val="7E1CBAAA"/>
    <w:rsid w:val="7E21733F"/>
    <w:rsid w:val="7E2BFB32"/>
    <w:rsid w:val="7E37989F"/>
    <w:rsid w:val="7E6BB216"/>
    <w:rsid w:val="7E6C471E"/>
    <w:rsid w:val="7E73143C"/>
    <w:rsid w:val="7E84C0DC"/>
    <w:rsid w:val="7E9CB2F0"/>
    <w:rsid w:val="7EA7176B"/>
    <w:rsid w:val="7EAE2A1A"/>
    <w:rsid w:val="7EB02200"/>
    <w:rsid w:val="7EC0F14E"/>
    <w:rsid w:val="7EC8419D"/>
    <w:rsid w:val="7F1E7A44"/>
    <w:rsid w:val="7F2371E0"/>
    <w:rsid w:val="7F3F0849"/>
    <w:rsid w:val="7F3FC2D8"/>
    <w:rsid w:val="7F444F4C"/>
    <w:rsid w:val="7F4CE76A"/>
    <w:rsid w:val="7F585393"/>
    <w:rsid w:val="7F692CCF"/>
    <w:rsid w:val="7F7F6DD3"/>
    <w:rsid w:val="7FA6E8A5"/>
    <w:rsid w:val="7FB2CD8D"/>
    <w:rsid w:val="7FBEEF5D"/>
    <w:rsid w:val="7FC0CC1D"/>
    <w:rsid w:val="7FF6CCA3"/>
    <w:rsid w:val="7FF6E9EB"/>
    <w:rsid w:val="7FF76151"/>
    <w:rsid w:val="7FF81619"/>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13B07"/>
  <w15:docId w15:val="{BD38983F-F48F-46DC-993C-E44C09399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20505B"/>
    <w:pPr>
      <w:spacing w:after="160" w:line="259" w:lineRule="auto"/>
    </w:pPr>
    <w:rPr>
      <w:rFonts w:eastAsia="Times New Roman" w:cs="Times New Roman"/>
    </w:rPr>
  </w:style>
  <w:style w:type="paragraph" w:styleId="Nadpis2">
    <w:name w:val="heading 2"/>
    <w:uiPriority w:val="9"/>
    <w:unhideWhenUsed/>
    <w:qFormat/>
    <w:rsid w:val="48B6C9E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Nadpis3">
    <w:name w:val="heading 3"/>
    <w:uiPriority w:val="9"/>
    <w:unhideWhenUsed/>
    <w:qFormat/>
    <w:rsid w:val="23BE041E"/>
    <w:pPr>
      <w:keepNext/>
      <w:keepLines/>
      <w:spacing w:before="160" w:after="80"/>
      <w:outlineLvl w:val="2"/>
    </w:pPr>
    <w:rPr>
      <w:rFonts w:eastAsiaTheme="majorEastAsia" w:cstheme="majorBidi"/>
      <w:color w:val="365F91" w:themeColor="accent1" w:themeShade="BF"/>
      <w:sz w:val="28"/>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fontstyle01">
    <w:name w:val="fontstyle01"/>
    <w:basedOn w:val="Predvolenpsmoodseku"/>
    <w:rsid w:val="0020505B"/>
    <w:rPr>
      <w:rFonts w:ascii="EUAlbertina-Regu" w:hAnsi="EUAlbertina-Regu" w:hint="default"/>
      <w:b w:val="0"/>
      <w:bCs w:val="0"/>
      <w:i w:val="0"/>
      <w:iCs w:val="0"/>
      <w:color w:val="1A171C"/>
      <w:sz w:val="20"/>
      <w:szCs w:val="20"/>
    </w:rPr>
  </w:style>
  <w:style w:type="character" w:styleId="Odkaznakomentr">
    <w:name w:val="annotation reference"/>
    <w:basedOn w:val="Predvolenpsmoodseku"/>
    <w:uiPriority w:val="99"/>
    <w:semiHidden/>
    <w:unhideWhenUsed/>
    <w:rsid w:val="009C6787"/>
    <w:rPr>
      <w:sz w:val="16"/>
      <w:szCs w:val="16"/>
    </w:rPr>
  </w:style>
  <w:style w:type="paragraph" w:styleId="Textkomentra">
    <w:name w:val="annotation text"/>
    <w:link w:val="TextkomentraChar"/>
    <w:uiPriority w:val="99"/>
    <w:semiHidden/>
    <w:unhideWhenUsed/>
    <w:rsid w:val="48B6C9EF"/>
    <w:pPr>
      <w:spacing w:line="240" w:lineRule="auto"/>
    </w:pPr>
    <w:rPr>
      <w:rFonts w:eastAsiaTheme="minorEastAsia"/>
      <w:sz w:val="20"/>
      <w:szCs w:val="20"/>
    </w:rPr>
  </w:style>
  <w:style w:type="character" w:customStyle="1" w:styleId="TextkomentraChar">
    <w:name w:val="Text komentára Char"/>
    <w:basedOn w:val="Predvolenpsmoodseku"/>
    <w:link w:val="Textkomentra"/>
    <w:uiPriority w:val="99"/>
    <w:semiHidden/>
    <w:rsid w:val="009C6787"/>
    <w:rPr>
      <w:sz w:val="20"/>
      <w:szCs w:val="20"/>
    </w:rPr>
  </w:style>
  <w:style w:type="paragraph" w:styleId="Textbubliny">
    <w:name w:val="Balloon Text"/>
    <w:link w:val="TextbublinyChar"/>
    <w:uiPriority w:val="99"/>
    <w:semiHidden/>
    <w:unhideWhenUsed/>
    <w:rsid w:val="48B6C9EF"/>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9C6787"/>
    <w:rPr>
      <w:rFonts w:ascii="Tahoma" w:eastAsia="Times New Roman" w:hAnsi="Tahoma" w:cs="Tahoma"/>
      <w:sz w:val="16"/>
      <w:szCs w:val="16"/>
    </w:rPr>
  </w:style>
  <w:style w:type="paragraph" w:styleId="Odsekzoznamu">
    <w:name w:val="List Paragraph"/>
    <w:aliases w:val="Odstavec cíl se seznamem,Odstavec se seznamem1,List Paragraph11,3,Bullet Points,Colorful List - Accent 11,Dot pt,EC,F5 List Paragraph,Indicator Text,Issue Action POC,List Paragraph1,List Paragraph2,MAIN CONTENT,Normal numbered,No Spacing1"/>
    <w:link w:val="OdsekzoznamuChar"/>
    <w:uiPriority w:val="34"/>
    <w:qFormat/>
    <w:rsid w:val="48B6C9EF"/>
    <w:pPr>
      <w:ind w:left="720"/>
      <w:contextualSpacing/>
    </w:pPr>
    <w:rPr>
      <w:rFonts w:eastAsiaTheme="minorEastAsia"/>
    </w:rPr>
  </w:style>
  <w:style w:type="character" w:customStyle="1" w:styleId="OdsekzoznamuChar">
    <w:name w:val="Odsek zoznamu Char"/>
    <w:aliases w:val="Odstavec cíl se seznamem Char,Odstavec se seznamem1 Char,List Paragraph11 Char,3 Char,Bullet Points Char,Colorful List - Accent 11 Char,Dot pt Char,EC Char,F5 List Paragraph Char,Indicator Text Char,Issue Action POC Char"/>
    <w:basedOn w:val="Predvolenpsmoodseku"/>
    <w:link w:val="Odsekzoznamu"/>
    <w:uiPriority w:val="34"/>
    <w:qFormat/>
    <w:locked/>
    <w:rsid w:val="00146994"/>
    <w:rPr>
      <w:rFonts w:eastAsiaTheme="minorEastAsia"/>
    </w:rPr>
  </w:style>
  <w:style w:type="paragraph" w:styleId="Normlnywebov">
    <w:name w:val="Normal (Web)"/>
    <w:uiPriority w:val="99"/>
    <w:unhideWhenUsed/>
    <w:rsid w:val="48B6C9EF"/>
    <w:pPr>
      <w:spacing w:beforeAutospacing="1" w:afterAutospacing="1" w:line="240" w:lineRule="auto"/>
    </w:pPr>
    <w:rPr>
      <w:rFonts w:ascii="Times New Roman" w:hAnsi="Times New Roman"/>
      <w:sz w:val="24"/>
      <w:szCs w:val="24"/>
      <w:lang w:eastAsia="sk-SK"/>
    </w:rPr>
  </w:style>
  <w:style w:type="paragraph" w:styleId="Zkladntext">
    <w:name w:val="Body Text"/>
    <w:link w:val="ZkladntextChar"/>
    <w:uiPriority w:val="1"/>
    <w:rsid w:val="48B6C9EF"/>
    <w:pPr>
      <w:spacing w:after="0" w:line="240" w:lineRule="auto"/>
      <w:jc w:val="both"/>
    </w:pPr>
    <w:rPr>
      <w:rFonts w:ascii="Times New Roman" w:hAnsi="Times New Roman"/>
      <w:b/>
      <w:bCs/>
      <w:sz w:val="24"/>
      <w:szCs w:val="24"/>
      <w:lang w:eastAsia="ar-SA"/>
    </w:rPr>
  </w:style>
  <w:style w:type="character" w:customStyle="1" w:styleId="ZkladntextChar">
    <w:name w:val="Základný text Char"/>
    <w:basedOn w:val="Predvolenpsmoodseku"/>
    <w:link w:val="Zkladntext"/>
    <w:rsid w:val="00827CF3"/>
    <w:rPr>
      <w:rFonts w:ascii="Times New Roman" w:eastAsia="Times New Roman" w:hAnsi="Times New Roman" w:cs="Times New Roman"/>
      <w:b/>
      <w:bCs/>
      <w:sz w:val="24"/>
      <w:szCs w:val="24"/>
      <w:lang w:eastAsia="ar-SA"/>
    </w:rPr>
  </w:style>
  <w:style w:type="character" w:styleId="Hypertextovprepojenie">
    <w:name w:val="Hyperlink"/>
    <w:basedOn w:val="Predvolenpsmoodseku"/>
    <w:uiPriority w:val="99"/>
    <w:semiHidden/>
    <w:unhideWhenUsed/>
    <w:rsid w:val="00AB236D"/>
    <w:rPr>
      <w:color w:val="0000FF"/>
      <w:u w:val="single"/>
    </w:rPr>
  </w:style>
  <w:style w:type="character" w:customStyle="1" w:styleId="fontstyle31">
    <w:name w:val="fontstyle31"/>
    <w:basedOn w:val="Predvolenpsmoodseku"/>
    <w:rsid w:val="00463D96"/>
    <w:rPr>
      <w:rFonts w:ascii="TimesNewRomanPSMT" w:hAnsi="TimesNewRomanPSMT" w:hint="default"/>
      <w:b w:val="0"/>
      <w:bCs w:val="0"/>
      <w:i w:val="0"/>
      <w:iCs w:val="0"/>
      <w:color w:val="000000"/>
      <w:sz w:val="22"/>
      <w:szCs w:val="22"/>
    </w:rPr>
  </w:style>
  <w:style w:type="paragraph" w:styleId="Bezriadkovania">
    <w:name w:val="No Spacing"/>
    <w:uiPriority w:val="1"/>
    <w:qFormat/>
    <w:rsid w:val="00CD79D8"/>
    <w:pPr>
      <w:spacing w:after="0" w:line="240" w:lineRule="auto"/>
    </w:pPr>
  </w:style>
  <w:style w:type="paragraph" w:customStyle="1" w:styleId="Default">
    <w:name w:val="Default"/>
    <w:rsid w:val="00DF614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graph">
    <w:name w:val="paragraph"/>
    <w:uiPriority w:val="1"/>
    <w:rsid w:val="48B6C9EF"/>
    <w:pPr>
      <w:spacing w:beforeAutospacing="1" w:afterAutospacing="1" w:line="240" w:lineRule="auto"/>
    </w:pPr>
    <w:rPr>
      <w:rFonts w:ascii="Times New Roman" w:hAnsi="Times New Roman"/>
      <w:sz w:val="24"/>
      <w:szCs w:val="24"/>
      <w:lang w:eastAsia="sk-SK"/>
    </w:rPr>
  </w:style>
  <w:style w:type="character" w:customStyle="1" w:styleId="normaltextrun">
    <w:name w:val="normaltextrun"/>
    <w:basedOn w:val="Predvolenpsmoodseku"/>
    <w:rsid w:val="00CD50A6"/>
  </w:style>
  <w:style w:type="character" w:customStyle="1" w:styleId="eop">
    <w:name w:val="eop"/>
    <w:basedOn w:val="Predvolenpsmoodseku"/>
    <w:rsid w:val="00CD50A6"/>
  </w:style>
  <w:style w:type="paragraph" w:styleId="Textpoznmkypodiarou">
    <w:name w:val="footnote text"/>
    <w:basedOn w:val="Normlny"/>
    <w:link w:val="TextpoznmkypodiarouChar"/>
    <w:uiPriority w:val="99"/>
    <w:unhideWhenUsed/>
    <w:rsid w:val="00146994"/>
    <w:pPr>
      <w:spacing w:after="0" w:line="240" w:lineRule="auto"/>
    </w:pPr>
    <w:rPr>
      <w:rFonts w:ascii="Cambria" w:eastAsiaTheme="minorHAnsi" w:hAnsi="Cambria" w:cstheme="minorBidi"/>
      <w:sz w:val="20"/>
      <w:szCs w:val="20"/>
    </w:rPr>
  </w:style>
  <w:style w:type="character" w:customStyle="1" w:styleId="TextpoznmkypodiarouChar">
    <w:name w:val="Text poznámky pod čiarou Char"/>
    <w:basedOn w:val="Predvolenpsmoodseku"/>
    <w:link w:val="Textpoznmkypodiarou"/>
    <w:uiPriority w:val="99"/>
    <w:rsid w:val="00146994"/>
    <w:rPr>
      <w:rFonts w:ascii="Cambria" w:hAnsi="Cambria"/>
      <w:sz w:val="20"/>
      <w:szCs w:val="20"/>
    </w:rPr>
  </w:style>
  <w:style w:type="paragraph" w:customStyle="1" w:styleId="7">
    <w:name w:val="7"/>
    <w:rsid w:val="00146994"/>
    <w:pPr>
      <w:spacing w:after="113" w:line="240" w:lineRule="auto"/>
      <w:jc w:val="both"/>
    </w:pPr>
    <w:rPr>
      <w:rFonts w:ascii="Times New Roman" w:eastAsia="Times New Roman" w:hAnsi="Times New Roman" w:cs="Times New Roman"/>
      <w:sz w:val="24"/>
      <w:szCs w:val="20"/>
      <w:lang w:val="cs-CZ"/>
    </w:rPr>
  </w:style>
  <w:style w:type="paragraph" w:customStyle="1" w:styleId="8">
    <w:name w:val="8"/>
    <w:rsid w:val="00146994"/>
    <w:pPr>
      <w:spacing w:before="113" w:after="57" w:line="240" w:lineRule="auto"/>
      <w:jc w:val="both"/>
    </w:pPr>
    <w:rPr>
      <w:rFonts w:ascii="Times New Roman" w:eastAsia="Times New Roman" w:hAnsi="Times New Roman" w:cs="Times New Roman"/>
      <w:sz w:val="24"/>
      <w:szCs w:val="20"/>
      <w:lang w:val="cs-CZ"/>
    </w:rPr>
  </w:style>
  <w:style w:type="paragraph" w:customStyle="1" w:styleId="12">
    <w:name w:val="12"/>
    <w:rsid w:val="00146994"/>
    <w:pPr>
      <w:spacing w:before="113" w:after="113" w:line="240" w:lineRule="auto"/>
      <w:jc w:val="both"/>
    </w:pPr>
    <w:rPr>
      <w:rFonts w:ascii="Times New Roman" w:eastAsia="Times New Roman" w:hAnsi="Times New Roman" w:cs="Times New Roman"/>
      <w:sz w:val="24"/>
      <w:szCs w:val="20"/>
      <w:lang w:val="cs-CZ"/>
    </w:rPr>
  </w:style>
  <w:style w:type="paragraph" w:customStyle="1" w:styleId="22">
    <w:name w:val="22"/>
    <w:rsid w:val="00146994"/>
    <w:pPr>
      <w:spacing w:before="57" w:after="113" w:line="240" w:lineRule="auto"/>
      <w:ind w:left="283" w:hanging="283"/>
    </w:pPr>
    <w:rPr>
      <w:rFonts w:ascii="Times New Roman" w:eastAsia="Times New Roman" w:hAnsi="Times New Roman" w:cs="Times New Roman"/>
      <w:sz w:val="24"/>
      <w:szCs w:val="20"/>
      <w:lang w:val="cs-CZ"/>
    </w:rPr>
  </w:style>
  <w:style w:type="paragraph" w:customStyle="1" w:styleId="23">
    <w:name w:val="23"/>
    <w:rsid w:val="00146994"/>
    <w:pPr>
      <w:spacing w:after="57" w:line="240" w:lineRule="auto"/>
      <w:ind w:left="793" w:hanging="283"/>
    </w:pPr>
    <w:rPr>
      <w:rFonts w:ascii="Times New Roman" w:eastAsia="Times New Roman" w:hAnsi="Times New Roman" w:cs="Times New Roman"/>
      <w:sz w:val="24"/>
      <w:szCs w:val="20"/>
      <w:lang w:val="cs-CZ"/>
    </w:rPr>
  </w:style>
  <w:style w:type="paragraph" w:customStyle="1" w:styleId="25">
    <w:name w:val="25"/>
    <w:rsid w:val="00146994"/>
    <w:pPr>
      <w:spacing w:before="57" w:after="113" w:line="240" w:lineRule="auto"/>
      <w:ind w:left="793" w:hanging="283"/>
    </w:pPr>
    <w:rPr>
      <w:rFonts w:ascii="Times New Roman" w:eastAsia="Times New Roman" w:hAnsi="Times New Roman" w:cs="Times New Roman"/>
      <w:sz w:val="24"/>
      <w:szCs w:val="20"/>
      <w:lang w:val="cs-CZ"/>
    </w:rPr>
  </w:style>
  <w:style w:type="paragraph" w:customStyle="1" w:styleId="78">
    <w:name w:val="78"/>
    <w:rsid w:val="00146994"/>
    <w:pPr>
      <w:spacing w:before="113" w:after="57" w:line="240" w:lineRule="auto"/>
      <w:ind w:left="283" w:hanging="283"/>
    </w:pPr>
    <w:rPr>
      <w:rFonts w:ascii="Times New Roman" w:eastAsia="Times New Roman" w:hAnsi="Times New Roman" w:cs="Times New Roman"/>
      <w:sz w:val="24"/>
      <w:szCs w:val="20"/>
      <w:lang w:val="cs-CZ"/>
    </w:rPr>
  </w:style>
  <w:style w:type="paragraph" w:customStyle="1" w:styleId="79">
    <w:name w:val="79"/>
    <w:rsid w:val="00146994"/>
    <w:pPr>
      <w:spacing w:before="57" w:after="57" w:line="240" w:lineRule="auto"/>
      <w:ind w:left="283" w:hanging="283"/>
    </w:pPr>
    <w:rPr>
      <w:rFonts w:ascii="Times New Roman" w:eastAsia="Times New Roman" w:hAnsi="Times New Roman" w:cs="Times New Roman"/>
      <w:sz w:val="24"/>
      <w:szCs w:val="20"/>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0273">
      <w:bodyDiv w:val="1"/>
      <w:marLeft w:val="0"/>
      <w:marRight w:val="0"/>
      <w:marTop w:val="0"/>
      <w:marBottom w:val="0"/>
      <w:divBdr>
        <w:top w:val="none" w:sz="0" w:space="0" w:color="auto"/>
        <w:left w:val="none" w:sz="0" w:space="0" w:color="auto"/>
        <w:bottom w:val="none" w:sz="0" w:space="0" w:color="auto"/>
        <w:right w:val="none" w:sz="0" w:space="0" w:color="auto"/>
      </w:divBdr>
    </w:div>
    <w:div w:id="111558141">
      <w:bodyDiv w:val="1"/>
      <w:marLeft w:val="0"/>
      <w:marRight w:val="0"/>
      <w:marTop w:val="0"/>
      <w:marBottom w:val="0"/>
      <w:divBdr>
        <w:top w:val="none" w:sz="0" w:space="0" w:color="auto"/>
        <w:left w:val="none" w:sz="0" w:space="0" w:color="auto"/>
        <w:bottom w:val="none" w:sz="0" w:space="0" w:color="auto"/>
        <w:right w:val="none" w:sz="0" w:space="0" w:color="auto"/>
      </w:divBdr>
    </w:div>
    <w:div w:id="126510907">
      <w:bodyDiv w:val="1"/>
      <w:marLeft w:val="0"/>
      <w:marRight w:val="0"/>
      <w:marTop w:val="0"/>
      <w:marBottom w:val="0"/>
      <w:divBdr>
        <w:top w:val="none" w:sz="0" w:space="0" w:color="auto"/>
        <w:left w:val="none" w:sz="0" w:space="0" w:color="auto"/>
        <w:bottom w:val="none" w:sz="0" w:space="0" w:color="auto"/>
        <w:right w:val="none" w:sz="0" w:space="0" w:color="auto"/>
      </w:divBdr>
    </w:div>
    <w:div w:id="199980672">
      <w:bodyDiv w:val="1"/>
      <w:marLeft w:val="0"/>
      <w:marRight w:val="0"/>
      <w:marTop w:val="0"/>
      <w:marBottom w:val="0"/>
      <w:divBdr>
        <w:top w:val="none" w:sz="0" w:space="0" w:color="auto"/>
        <w:left w:val="none" w:sz="0" w:space="0" w:color="auto"/>
        <w:bottom w:val="none" w:sz="0" w:space="0" w:color="auto"/>
        <w:right w:val="none" w:sz="0" w:space="0" w:color="auto"/>
      </w:divBdr>
    </w:div>
    <w:div w:id="271862233">
      <w:bodyDiv w:val="1"/>
      <w:marLeft w:val="0"/>
      <w:marRight w:val="0"/>
      <w:marTop w:val="0"/>
      <w:marBottom w:val="0"/>
      <w:divBdr>
        <w:top w:val="none" w:sz="0" w:space="0" w:color="auto"/>
        <w:left w:val="none" w:sz="0" w:space="0" w:color="auto"/>
        <w:bottom w:val="none" w:sz="0" w:space="0" w:color="auto"/>
        <w:right w:val="none" w:sz="0" w:space="0" w:color="auto"/>
      </w:divBdr>
    </w:div>
    <w:div w:id="557591230">
      <w:bodyDiv w:val="1"/>
      <w:marLeft w:val="0"/>
      <w:marRight w:val="0"/>
      <w:marTop w:val="0"/>
      <w:marBottom w:val="0"/>
      <w:divBdr>
        <w:top w:val="none" w:sz="0" w:space="0" w:color="auto"/>
        <w:left w:val="none" w:sz="0" w:space="0" w:color="auto"/>
        <w:bottom w:val="none" w:sz="0" w:space="0" w:color="auto"/>
        <w:right w:val="none" w:sz="0" w:space="0" w:color="auto"/>
      </w:divBdr>
      <w:divsChild>
        <w:div w:id="1935480435">
          <w:marLeft w:val="0"/>
          <w:marRight w:val="0"/>
          <w:marTop w:val="0"/>
          <w:marBottom w:val="0"/>
          <w:divBdr>
            <w:top w:val="none" w:sz="0" w:space="0" w:color="auto"/>
            <w:left w:val="none" w:sz="0" w:space="0" w:color="auto"/>
            <w:bottom w:val="none" w:sz="0" w:space="0" w:color="auto"/>
            <w:right w:val="none" w:sz="0" w:space="0" w:color="auto"/>
          </w:divBdr>
        </w:div>
        <w:div w:id="1137453914">
          <w:marLeft w:val="0"/>
          <w:marRight w:val="0"/>
          <w:marTop w:val="0"/>
          <w:marBottom w:val="0"/>
          <w:divBdr>
            <w:top w:val="none" w:sz="0" w:space="0" w:color="auto"/>
            <w:left w:val="none" w:sz="0" w:space="0" w:color="auto"/>
            <w:bottom w:val="none" w:sz="0" w:space="0" w:color="auto"/>
            <w:right w:val="none" w:sz="0" w:space="0" w:color="auto"/>
          </w:divBdr>
        </w:div>
      </w:divsChild>
    </w:div>
    <w:div w:id="562763944">
      <w:bodyDiv w:val="1"/>
      <w:marLeft w:val="0"/>
      <w:marRight w:val="0"/>
      <w:marTop w:val="0"/>
      <w:marBottom w:val="0"/>
      <w:divBdr>
        <w:top w:val="none" w:sz="0" w:space="0" w:color="auto"/>
        <w:left w:val="none" w:sz="0" w:space="0" w:color="auto"/>
        <w:bottom w:val="none" w:sz="0" w:space="0" w:color="auto"/>
        <w:right w:val="none" w:sz="0" w:space="0" w:color="auto"/>
      </w:divBdr>
      <w:divsChild>
        <w:div w:id="1339232038">
          <w:marLeft w:val="0"/>
          <w:marRight w:val="0"/>
          <w:marTop w:val="0"/>
          <w:marBottom w:val="0"/>
          <w:divBdr>
            <w:top w:val="none" w:sz="0" w:space="0" w:color="auto"/>
            <w:left w:val="none" w:sz="0" w:space="0" w:color="auto"/>
            <w:bottom w:val="none" w:sz="0" w:space="0" w:color="auto"/>
            <w:right w:val="none" w:sz="0" w:space="0" w:color="auto"/>
          </w:divBdr>
        </w:div>
      </w:divsChild>
    </w:div>
    <w:div w:id="611980912">
      <w:bodyDiv w:val="1"/>
      <w:marLeft w:val="0"/>
      <w:marRight w:val="0"/>
      <w:marTop w:val="0"/>
      <w:marBottom w:val="0"/>
      <w:divBdr>
        <w:top w:val="none" w:sz="0" w:space="0" w:color="auto"/>
        <w:left w:val="none" w:sz="0" w:space="0" w:color="auto"/>
        <w:bottom w:val="none" w:sz="0" w:space="0" w:color="auto"/>
        <w:right w:val="none" w:sz="0" w:space="0" w:color="auto"/>
      </w:divBdr>
    </w:div>
    <w:div w:id="1327322180">
      <w:bodyDiv w:val="1"/>
      <w:marLeft w:val="0"/>
      <w:marRight w:val="0"/>
      <w:marTop w:val="0"/>
      <w:marBottom w:val="0"/>
      <w:divBdr>
        <w:top w:val="none" w:sz="0" w:space="0" w:color="auto"/>
        <w:left w:val="none" w:sz="0" w:space="0" w:color="auto"/>
        <w:bottom w:val="none" w:sz="0" w:space="0" w:color="auto"/>
        <w:right w:val="none" w:sz="0" w:space="0" w:color="auto"/>
      </w:divBdr>
      <w:divsChild>
        <w:div w:id="1609385168">
          <w:marLeft w:val="0"/>
          <w:marRight w:val="0"/>
          <w:marTop w:val="0"/>
          <w:marBottom w:val="24"/>
          <w:divBdr>
            <w:top w:val="none" w:sz="0" w:space="0" w:color="auto"/>
            <w:left w:val="none" w:sz="0" w:space="0" w:color="auto"/>
            <w:bottom w:val="none" w:sz="0" w:space="0" w:color="auto"/>
            <w:right w:val="none" w:sz="0" w:space="0" w:color="auto"/>
          </w:divBdr>
        </w:div>
        <w:div w:id="1767118379">
          <w:marLeft w:val="0"/>
          <w:marRight w:val="0"/>
          <w:marTop w:val="0"/>
          <w:marBottom w:val="24"/>
          <w:divBdr>
            <w:top w:val="none" w:sz="0" w:space="0" w:color="auto"/>
            <w:left w:val="none" w:sz="0" w:space="0" w:color="auto"/>
            <w:bottom w:val="none" w:sz="0" w:space="0" w:color="auto"/>
            <w:right w:val="none" w:sz="0" w:space="0" w:color="auto"/>
          </w:divBdr>
        </w:div>
        <w:div w:id="2104908608">
          <w:marLeft w:val="0"/>
          <w:marRight w:val="0"/>
          <w:marTop w:val="96"/>
          <w:marBottom w:val="96"/>
          <w:divBdr>
            <w:top w:val="none" w:sz="0" w:space="0" w:color="auto"/>
            <w:left w:val="none" w:sz="0" w:space="0" w:color="auto"/>
            <w:bottom w:val="none" w:sz="0" w:space="0" w:color="auto"/>
            <w:right w:val="none" w:sz="0" w:space="0" w:color="auto"/>
          </w:divBdr>
        </w:div>
        <w:div w:id="1249584930">
          <w:marLeft w:val="0"/>
          <w:marRight w:val="0"/>
          <w:marTop w:val="96"/>
          <w:marBottom w:val="96"/>
          <w:divBdr>
            <w:top w:val="none" w:sz="0" w:space="0" w:color="auto"/>
            <w:left w:val="none" w:sz="0" w:space="0" w:color="auto"/>
            <w:bottom w:val="none" w:sz="0" w:space="0" w:color="auto"/>
            <w:right w:val="none" w:sz="0" w:space="0" w:color="auto"/>
          </w:divBdr>
        </w:div>
      </w:divsChild>
    </w:div>
    <w:div w:id="1498184309">
      <w:bodyDiv w:val="1"/>
      <w:marLeft w:val="0"/>
      <w:marRight w:val="0"/>
      <w:marTop w:val="0"/>
      <w:marBottom w:val="0"/>
      <w:divBdr>
        <w:top w:val="none" w:sz="0" w:space="0" w:color="auto"/>
        <w:left w:val="none" w:sz="0" w:space="0" w:color="auto"/>
        <w:bottom w:val="none" w:sz="0" w:space="0" w:color="auto"/>
        <w:right w:val="none" w:sz="0" w:space="0" w:color="auto"/>
      </w:divBdr>
    </w:div>
    <w:div w:id="1641766395">
      <w:bodyDiv w:val="1"/>
      <w:marLeft w:val="0"/>
      <w:marRight w:val="0"/>
      <w:marTop w:val="0"/>
      <w:marBottom w:val="0"/>
      <w:divBdr>
        <w:top w:val="none" w:sz="0" w:space="0" w:color="auto"/>
        <w:left w:val="none" w:sz="0" w:space="0" w:color="auto"/>
        <w:bottom w:val="none" w:sz="0" w:space="0" w:color="auto"/>
        <w:right w:val="none" w:sz="0" w:space="0" w:color="auto"/>
      </w:divBdr>
    </w:div>
    <w:div w:id="1642689693">
      <w:bodyDiv w:val="1"/>
      <w:marLeft w:val="0"/>
      <w:marRight w:val="0"/>
      <w:marTop w:val="0"/>
      <w:marBottom w:val="0"/>
      <w:divBdr>
        <w:top w:val="none" w:sz="0" w:space="0" w:color="auto"/>
        <w:left w:val="none" w:sz="0" w:space="0" w:color="auto"/>
        <w:bottom w:val="none" w:sz="0" w:space="0" w:color="auto"/>
        <w:right w:val="none" w:sz="0" w:space="0" w:color="auto"/>
      </w:divBdr>
    </w:div>
    <w:div w:id="1727993683">
      <w:bodyDiv w:val="1"/>
      <w:marLeft w:val="0"/>
      <w:marRight w:val="0"/>
      <w:marTop w:val="0"/>
      <w:marBottom w:val="0"/>
      <w:divBdr>
        <w:top w:val="none" w:sz="0" w:space="0" w:color="auto"/>
        <w:left w:val="none" w:sz="0" w:space="0" w:color="auto"/>
        <w:bottom w:val="none" w:sz="0" w:space="0" w:color="auto"/>
        <w:right w:val="none" w:sz="0" w:space="0" w:color="auto"/>
      </w:divBdr>
      <w:divsChild>
        <w:div w:id="1585724294">
          <w:marLeft w:val="0"/>
          <w:marRight w:val="0"/>
          <w:marTop w:val="0"/>
          <w:marBottom w:val="24"/>
          <w:divBdr>
            <w:top w:val="none" w:sz="0" w:space="0" w:color="auto"/>
            <w:left w:val="none" w:sz="0" w:space="0" w:color="auto"/>
            <w:bottom w:val="none" w:sz="0" w:space="0" w:color="auto"/>
            <w:right w:val="none" w:sz="0" w:space="0" w:color="auto"/>
          </w:divBdr>
        </w:div>
        <w:div w:id="536894703">
          <w:marLeft w:val="0"/>
          <w:marRight w:val="0"/>
          <w:marTop w:val="0"/>
          <w:marBottom w:val="24"/>
          <w:divBdr>
            <w:top w:val="none" w:sz="0" w:space="0" w:color="auto"/>
            <w:left w:val="none" w:sz="0" w:space="0" w:color="auto"/>
            <w:bottom w:val="none" w:sz="0" w:space="0" w:color="auto"/>
            <w:right w:val="none" w:sz="0" w:space="0" w:color="auto"/>
          </w:divBdr>
        </w:div>
        <w:div w:id="1403480839">
          <w:marLeft w:val="0"/>
          <w:marRight w:val="0"/>
          <w:marTop w:val="96"/>
          <w:marBottom w:val="96"/>
          <w:divBdr>
            <w:top w:val="none" w:sz="0" w:space="0" w:color="auto"/>
            <w:left w:val="none" w:sz="0" w:space="0" w:color="auto"/>
            <w:bottom w:val="none" w:sz="0" w:space="0" w:color="auto"/>
            <w:right w:val="none" w:sz="0" w:space="0" w:color="auto"/>
          </w:divBdr>
        </w:div>
        <w:div w:id="348873974">
          <w:marLeft w:val="0"/>
          <w:marRight w:val="0"/>
          <w:marTop w:val="96"/>
          <w:marBottom w:val="96"/>
          <w:divBdr>
            <w:top w:val="none" w:sz="0" w:space="0" w:color="auto"/>
            <w:left w:val="none" w:sz="0" w:space="0" w:color="auto"/>
            <w:bottom w:val="none" w:sz="0" w:space="0" w:color="auto"/>
            <w:right w:val="none" w:sz="0" w:space="0" w:color="auto"/>
          </w:divBdr>
        </w:div>
      </w:divsChild>
    </w:div>
    <w:div w:id="1773475951">
      <w:bodyDiv w:val="1"/>
      <w:marLeft w:val="0"/>
      <w:marRight w:val="0"/>
      <w:marTop w:val="0"/>
      <w:marBottom w:val="0"/>
      <w:divBdr>
        <w:top w:val="none" w:sz="0" w:space="0" w:color="auto"/>
        <w:left w:val="none" w:sz="0" w:space="0" w:color="auto"/>
        <w:bottom w:val="none" w:sz="0" w:space="0" w:color="auto"/>
        <w:right w:val="none" w:sz="0" w:space="0" w:color="auto"/>
      </w:divBdr>
    </w:div>
    <w:div w:id="1786584599">
      <w:bodyDiv w:val="1"/>
      <w:marLeft w:val="0"/>
      <w:marRight w:val="0"/>
      <w:marTop w:val="0"/>
      <w:marBottom w:val="0"/>
      <w:divBdr>
        <w:top w:val="none" w:sz="0" w:space="0" w:color="auto"/>
        <w:left w:val="none" w:sz="0" w:space="0" w:color="auto"/>
        <w:bottom w:val="none" w:sz="0" w:space="0" w:color="auto"/>
        <w:right w:val="none" w:sz="0" w:space="0" w:color="auto"/>
      </w:divBdr>
    </w:div>
    <w:div w:id="1922636199">
      <w:bodyDiv w:val="1"/>
      <w:marLeft w:val="0"/>
      <w:marRight w:val="0"/>
      <w:marTop w:val="0"/>
      <w:marBottom w:val="0"/>
      <w:divBdr>
        <w:top w:val="none" w:sz="0" w:space="0" w:color="auto"/>
        <w:left w:val="none" w:sz="0" w:space="0" w:color="auto"/>
        <w:bottom w:val="none" w:sz="0" w:space="0" w:color="auto"/>
        <w:right w:val="none" w:sz="0" w:space="0" w:color="auto"/>
      </w:divBdr>
    </w:div>
    <w:div w:id="1995865103">
      <w:bodyDiv w:val="1"/>
      <w:marLeft w:val="0"/>
      <w:marRight w:val="0"/>
      <w:marTop w:val="0"/>
      <w:marBottom w:val="0"/>
      <w:divBdr>
        <w:top w:val="none" w:sz="0" w:space="0" w:color="auto"/>
        <w:left w:val="none" w:sz="0" w:space="0" w:color="auto"/>
        <w:bottom w:val="none" w:sz="0" w:space="0" w:color="auto"/>
        <w:right w:val="none" w:sz="0" w:space="0" w:color="auto"/>
      </w:divBdr>
    </w:div>
    <w:div w:id="212654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ezbierky/pravne-predpisy/SK/ZZ/1992/78/" TargetMode="External"/><Relationship Id="rId13" Type="http://schemas.openxmlformats.org/officeDocument/2006/relationships/hyperlink" Target="https://www.slov-lex.sk/ezbierky/pravne-predpisy/SK/ZZ/2015/423/" TargetMode="External"/><Relationship Id="rId3" Type="http://schemas.openxmlformats.org/officeDocument/2006/relationships/numbering" Target="numbering.xml"/><Relationship Id="rId7" Type="http://schemas.openxmlformats.org/officeDocument/2006/relationships/hyperlink" Target="https://www.slov-lex.sk/ezbierky/pravne-predpisy/SK/ZZ/1991/455/" TargetMode="External"/><Relationship Id="rId12" Type="http://schemas.openxmlformats.org/officeDocument/2006/relationships/hyperlink" Target="https://www.slov-lex.sk/ezbierky/pravne-predpisy/SK/ZZ/2005/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lov-lex.sk/ezbierky/pravne-predpisy/SK/ZZ/2003/586/"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lov-lex.sk/ezbierky/pravne-predpisy/SK/ZZ/1995/233/" TargetMode="External"/><Relationship Id="rId4" Type="http://schemas.openxmlformats.org/officeDocument/2006/relationships/styles" Target="styles.xml"/><Relationship Id="rId9" Type="http://schemas.openxmlformats.org/officeDocument/2006/relationships/hyperlink" Target="https://www.slov-lex.sk/ezbierky/pravne-predpisy/SK/ZZ/1992/323/" TargetMode="Externa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1"/>
    <f:field ref="objvalidfrom" date="" text="" edit="true"/>
    <f:field ref="objvalidto" date="" text=""/>
    <f:field ref="FSCFOLIO_1_1001_FieldReleasedVersionDate" text=""/>
    <f:field ref="FSCFOLIO_1_1001_FieldReleasedVersionNr" text=""/>
    <f:field ref="CCAPRECONFIG_15_1001_Objektname" text="dovodova"/>
    <f:field ref="objname" text="dovodova"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F7A2F06E-6EE2-44DD-A243-9846B419C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144</Pages>
  <Words>69484</Words>
  <Characters>396064</Characters>
  <Application>Microsoft Office Word</Application>
  <DocSecurity>0</DocSecurity>
  <Lines>3300</Lines>
  <Paragraphs>929</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464619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Ľuboslava Kotrasová</dc:creator>
  <cp:lastModifiedBy>Juraj Beník</cp:lastModifiedBy>
  <cp:revision>23</cp:revision>
  <cp:lastPrinted>2026-07-29T05:34:00Z</cp:lastPrinted>
  <dcterms:created xsi:type="dcterms:W3CDTF">2026-10-15T10:44:00Z</dcterms:created>
  <dcterms:modified xsi:type="dcterms:W3CDTF">2026-11-03T22:36:00Z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VPRECONFIG@103.510:mv_as_owner_fileresporg">
    <vt:lpwstr>SEKCIA LEGISLATÍVY A PRÁVNYCH SLUŽIEB MV SR</vt:lpwstr>
  </property>
  <property fmtid="{D5CDD505-2E9C-101B-9397-08002B2CF9AE}" pid="5" name="FSC#SKMVPRECONFIG@103.510:mv_hazz_fileresporg_function">
    <vt:lpwstr/>
  </property>
  <property fmtid="{D5CDD505-2E9C-101B-9397-08002B2CF9AE}" pid="6" name="FSC#SKMVPRECONFIG@103.510:mv_hazz_fileresporg_head">
    <vt:lpwstr/>
  </property>
  <property fmtid="{D5CDD505-2E9C-101B-9397-08002B2CF9AE}" pid="7" name="FSC#SKMVPRECONFIG@103.510:mv_hazz_fileresporg_longname">
    <vt:lpwstr/>
  </property>
  <property fmtid="{D5CDD505-2E9C-101B-9397-08002B2CF9AE}" pid="8" name="FSC#SKMVPRECONFIG@103.510:mv_intletterrecievers">
    <vt:lpwstr/>
  </property>
  <property fmtid="{D5CDD505-2E9C-101B-9397-08002B2CF9AE}" pid="9" name="FSC#SKMVPRECONFIG@103.510:mv_org_city">
    <vt:lpwstr>Bratislava 1</vt:lpwstr>
  </property>
  <property fmtid="{D5CDD505-2E9C-101B-9397-08002B2CF9AE}" pid="10" name="FSC#SKMVPRECONFIG@103.510:mv_org_country">
    <vt:lpwstr/>
  </property>
  <property fmtid="{D5CDD505-2E9C-101B-9397-08002B2CF9AE}" pid="11" name="FSC#SKMVPRECONFIG@103.510:mv_org_fullname">
    <vt:lpwstr>SL -  SEKCIA LEGISLATÍVY a PRÁVNYCH SLUŽIEB MV SR</vt:lpwstr>
  </property>
  <property fmtid="{D5CDD505-2E9C-101B-9397-08002B2CF9AE}" pid="12" name="FSC#SKMVPRECONFIG@103.510:mv_org_street">
    <vt:lpwstr>Pribinova 2</vt:lpwstr>
  </property>
  <property fmtid="{D5CDD505-2E9C-101B-9397-08002B2CF9AE}" pid="13" name="FSC#SKMVPRECONFIG@103.510:mv_org_zip">
    <vt:lpwstr>812 72</vt:lpwstr>
  </property>
  <property fmtid="{D5CDD505-2E9C-101B-9397-08002B2CF9AE}" pid="14" name="FSC#SKMVPRECONFIG@103.510:mv_referat_datum">
    <vt:lpwstr/>
  </property>
  <property fmtid="{D5CDD505-2E9C-101B-9397-08002B2CF9AE}" pid="15" name="FSC#SKMVPRECONFIG@103.510:mv_referat_predklada">
    <vt:lpwstr/>
  </property>
  <property fmtid="{D5CDD505-2E9C-101B-9397-08002B2CF9AE}" pid="16" name="FSC#SKMVPRECONFIG@103.510:mv_referat_predschval">
    <vt:lpwstr/>
  </property>
  <property fmtid="{D5CDD505-2E9C-101B-9397-08002B2CF9AE}" pid="17" name="FSC#SKMVPRECONFIG@103.510:mv_referat_schval">
    <vt:lpwstr/>
  </property>
  <property fmtid="{D5CDD505-2E9C-101B-9397-08002B2CF9AE}" pid="18" name="FSC#SKMVPRECONFIG@103.510:mv_referat_sucast">
    <vt:lpwstr/>
  </property>
  <property fmtid="{D5CDD505-2E9C-101B-9397-08002B2CF9AE}" pid="19" name="FSC#SKMVPRECONFIG@103.510:mv_referat_telcislo">
    <vt:lpwstr/>
  </property>
  <property fmtid="{D5CDD505-2E9C-101B-9397-08002B2CF9AE}" pid="20" name="FSC#SKMVPRECONFIG@103.510:mv_referat_utvar">
    <vt:lpwstr/>
  </property>
  <property fmtid="{D5CDD505-2E9C-101B-9397-08002B2CF9AE}" pid="21" name="FSC#SKMVPRECONFIG@103.510:mv_referat_vec">
    <vt:lpwstr/>
  </property>
  <property fmtid="{D5CDD505-2E9C-101B-9397-08002B2CF9AE}" pid="22" name="FSC#SKMVPRECONFIG@103.510:mv_referat_zaznam">
    <vt:lpwstr/>
  </property>
  <property fmtid="{D5CDD505-2E9C-101B-9397-08002B2CF9AE}" pid="23" name="FSC#SKMVPRECONFIG@103.510:mv_as_ou">
    <vt:lpwstr>ODBOR BEZPEČNOSTNEJ LEGISLATÍVY</vt:lpwstr>
  </property>
  <property fmtid="{D5CDD505-2E9C-101B-9397-08002B2CF9AE}" pid="24" name="FSC#SKMVPRECONFIG@103.510:kamo_odos_meno">
    <vt:lpwstr/>
  </property>
  <property fmtid="{D5CDD505-2E9C-101B-9397-08002B2CF9AE}" pid="25" name="FSC#SKMVPRECONFIG@103.510:kamo_odos_adresa">
    <vt:lpwstr/>
  </property>
  <property fmtid="{D5CDD505-2E9C-101B-9397-08002B2CF9AE}" pid="26" name="FSC#SKMVPRECONFIG@103.510:kamo_poc_priloh">
    <vt:lpwstr/>
  </property>
  <property fmtid="{D5CDD505-2E9C-101B-9397-08002B2CF9AE}" pid="27" name="FSC#SKMVPRECONFIG@103.510:kamo_poc_stran">
    <vt:lpwstr/>
  </property>
  <property fmtid="{D5CDD505-2E9C-101B-9397-08002B2CF9AE}" pid="28" name="FSC#SKMVPRECONFIG@103.510:kamo_evid_date">
    <vt:lpwstr>..</vt:lpwstr>
  </property>
  <property fmtid="{D5CDD505-2E9C-101B-9397-08002B2CF9AE}" pid="29" name="FSC#SKMVPRECONFIG@103.510:kamo_cislo">
    <vt:lpwstr/>
  </property>
  <property fmtid="{D5CDD505-2E9C-101B-9397-08002B2CF9AE}" pid="30" name="FSC#SKMVPRECONFIG@103.510:kamo_meno">
    <vt:lpwstr/>
  </property>
  <property fmtid="{D5CDD505-2E9C-101B-9397-08002B2CF9AE}" pid="31" name="FSC#SKMVPRECONFIG@103.510:kamo_poznamka">
    <vt:lpwstr/>
  </property>
  <property fmtid="{D5CDD505-2E9C-101B-9397-08002B2CF9AE}" pid="32" name="FSC#SKMVPRECONFIG@103.510:kamo_vec">
    <vt:lpwstr/>
  </property>
  <property fmtid="{D5CDD505-2E9C-101B-9397-08002B2CF9AE}" pid="33" name="FSC#SKMVPRECONFIG@103.510:mv_fileresporg_oddelenie">
    <vt:lpwstr/>
  </property>
  <property fmtid="{D5CDD505-2E9C-101B-9397-08002B2CF9AE}" pid="34" name="FSC#SKMVPRECONFIG@103.510:mv_veduci_pracovnik">
    <vt:lpwstr>Mgr., Matúš Šutaj</vt:lpwstr>
  </property>
  <property fmtid="{D5CDD505-2E9C-101B-9397-08002B2CF9AE}" pid="35" name="FSC#SKMVPRECONFIG@103.510:mv_funkcia_veduceho_pracovnika">
    <vt:lpwstr>minister vnútra SR</vt:lpwstr>
  </property>
  <property fmtid="{D5CDD505-2E9C-101B-9397-08002B2CF9AE}" pid="36" name="FSC#SKMVPRECONFIG@103.510:mv_postupenie_text_1">
    <vt:lpwstr/>
  </property>
  <property fmtid="{D5CDD505-2E9C-101B-9397-08002B2CF9AE}" pid="37" name="FSC#SKMVPRECONFIG@103.510:mv_postupenie_text_2">
    <vt:lpwstr/>
  </property>
  <property fmtid="{D5CDD505-2E9C-101B-9397-08002B2CF9AE}" pid="38" name="FSC#SKMVPRECONFIG@103.510:mv_filesubj_1">
    <vt:lpwstr/>
  </property>
  <property fmtid="{D5CDD505-2E9C-101B-9397-08002B2CF9AE}" pid="39" name="FSC#SKMVPRECONFIG@103.510:mv_filesubj_2">
    <vt:lpwstr/>
  </property>
  <property fmtid="{D5CDD505-2E9C-101B-9397-08002B2CF9AE}" pid="40" name="FSC#SKMVPRECONFIG@103.510:mv_filesubj_3">
    <vt:lpwstr/>
  </property>
  <property fmtid="{D5CDD505-2E9C-101B-9397-08002B2CF9AE}" pid="41" name="FSC#SKMVPRECONFIG@103.510:mv_filesubj_4">
    <vt:lpwstr/>
  </property>
  <property fmtid="{D5CDD505-2E9C-101B-9397-08002B2CF9AE}" pid="42" name="FSC#SKMVPRECONFIG@103.510:mv_filesubj_5">
    <vt:lpwstr/>
  </property>
  <property fmtid="{D5CDD505-2E9C-101B-9397-08002B2CF9AE}" pid="43" name="FSC#SKMVPRECONFIG@103.510:mv_filesubj_6">
    <vt:lpwstr/>
  </property>
  <property fmtid="{D5CDD505-2E9C-101B-9397-08002B2CF9AE}" pid="44" name="FSC#SKMVPRECONFIG@103.510:mv_filesubj_7">
    <vt:lpwstr/>
  </property>
  <property fmtid="{D5CDD505-2E9C-101B-9397-08002B2CF9AE}" pid="45" name="FSC#SKMVPRECONFIG@103.510:mv_filesubj_8">
    <vt:lpwstr/>
  </property>
  <property fmtid="{D5CDD505-2E9C-101B-9397-08002B2CF9AE}" pid="46" name="FSC#SKMVPRECONFIG@103.510:zaznam_vnut_adresati_71">
    <vt:lpwstr>71</vt:lpwstr>
  </property>
  <property fmtid="{D5CDD505-2E9C-101B-9397-08002B2CF9AE}" pid="47" name="FSC#SKMVPRECONFIG@103.510:zaznam_vnut_adresati_72">
    <vt:lpwstr>72</vt:lpwstr>
  </property>
  <property fmtid="{D5CDD505-2E9C-101B-9397-08002B2CF9AE}" pid="48" name="FSC#SKMVPRECONFIG@103.510:zaznam_vnut_adresati_73">
    <vt:lpwstr>73</vt:lpwstr>
  </property>
  <property fmtid="{D5CDD505-2E9C-101B-9397-08002B2CF9AE}" pid="49" name="FSC#SKMVPRECONFIG@103.510:zaznam_vnut_adresati_74">
    <vt:lpwstr>74</vt:lpwstr>
  </property>
  <property fmtid="{D5CDD505-2E9C-101B-9397-08002B2CF9AE}" pid="50" name="FSC#SKMVPRECONFIG@103.510:zaznam_vnut_adresati_75">
    <vt:lpwstr>75</vt:lpwstr>
  </property>
  <property fmtid="{D5CDD505-2E9C-101B-9397-08002B2CF9AE}" pid="51" name="FSC#SKMVPRECONFIG@103.510:zaznam_vnut_adresati_76">
    <vt:lpwstr>76</vt:lpwstr>
  </property>
  <property fmtid="{D5CDD505-2E9C-101B-9397-08002B2CF9AE}" pid="52" name="FSC#SKMVPRECONFIG@103.510:zaznam_vnut_adresati_77">
    <vt:lpwstr>77</vt:lpwstr>
  </property>
  <property fmtid="{D5CDD505-2E9C-101B-9397-08002B2CF9AE}" pid="53" name="FSC#SKMVPRECONFIG@103.510:zaznam_vnut_adresati_78">
    <vt:lpwstr>78</vt:lpwstr>
  </property>
  <property fmtid="{D5CDD505-2E9C-101B-9397-08002B2CF9AE}" pid="54" name="FSC#SKMVPRECONFIG@103.510:zaznam_vnut_adresati_79">
    <vt:lpwstr>79</vt:lpwstr>
  </property>
  <property fmtid="{D5CDD505-2E9C-101B-9397-08002B2CF9AE}" pid="55" name="FSC#SKMVPRECONFIG@103.510:zaznam_vnut_adresati_80">
    <vt:lpwstr>80</vt:lpwstr>
  </property>
  <property fmtid="{D5CDD505-2E9C-101B-9397-08002B2CF9AE}" pid="56" name="FSC#SKMVPRECONFIG@103.510:zaznam_vnut_adresati_81">
    <vt:lpwstr>81</vt:lpwstr>
  </property>
  <property fmtid="{D5CDD505-2E9C-101B-9397-08002B2CF9AE}" pid="57" name="FSC#SKMVPRECONFIG@103.510:zaznam_vnut_adresati_82">
    <vt:lpwstr>82</vt:lpwstr>
  </property>
  <property fmtid="{D5CDD505-2E9C-101B-9397-08002B2CF9AE}" pid="58" name="FSC#SKMVPRECONFIG@103.510:zaznam_vnut_adresati_83">
    <vt:lpwstr>83</vt:lpwstr>
  </property>
  <property fmtid="{D5CDD505-2E9C-101B-9397-08002B2CF9AE}" pid="59" name="FSC#SKMVPRECONFIG@103.510:zaznam_vnut_adresati_84">
    <vt:lpwstr>84</vt:lpwstr>
  </property>
  <property fmtid="{D5CDD505-2E9C-101B-9397-08002B2CF9AE}" pid="60" name="FSC#SKMVPRECONFIG@103.510:zaznam_vnut_adresati_85">
    <vt:lpwstr>85</vt:lpwstr>
  </property>
  <property fmtid="{D5CDD505-2E9C-101B-9397-08002B2CF9AE}" pid="61" name="FSC#SKMVPRECONFIG@103.510:zaznam_vnut_adresati_86">
    <vt:lpwstr>86</vt:lpwstr>
  </property>
  <property fmtid="{D5CDD505-2E9C-101B-9397-08002B2CF9AE}" pid="62" name="FSC#SKMVPRECONFIG@103.510:zaznam_vnut_adresati_87">
    <vt:lpwstr>87</vt:lpwstr>
  </property>
  <property fmtid="{D5CDD505-2E9C-101B-9397-08002B2CF9AE}" pid="63" name="FSC#SKMVPRECONFIG@103.510:zaznam_vnut_adresati_88">
    <vt:lpwstr>88</vt:lpwstr>
  </property>
  <property fmtid="{D5CDD505-2E9C-101B-9397-08002B2CF9AE}" pid="64" name="FSC#SKMVPRECONFIG@103.510:zaznam_vnut_adresati_89">
    <vt:lpwstr>89</vt:lpwstr>
  </property>
  <property fmtid="{D5CDD505-2E9C-101B-9397-08002B2CF9AE}" pid="65" name="FSC#SKMVPRECONFIG@103.510:zaznam_vnut_adresati_90">
    <vt:lpwstr>90</vt:lpwstr>
  </property>
  <property fmtid="{D5CDD505-2E9C-101B-9397-08002B2CF9AE}" pid="66" name="FSC#SKMVPRECONFIG@103.510:zaznam_vnut_adresati_91">
    <vt:lpwstr>91</vt:lpwstr>
  </property>
  <property fmtid="{D5CDD505-2E9C-101B-9397-08002B2CF9AE}" pid="67" name="FSC#SKMVPRECONFIG@103.510:zaznam_vnut_adresati_92">
    <vt:lpwstr>92</vt:lpwstr>
  </property>
  <property fmtid="{D5CDD505-2E9C-101B-9397-08002B2CF9AE}" pid="68" name="FSC#SKMVPRECONFIG@103.510:zaznam_vnut_adresati_93">
    <vt:lpwstr>93</vt:lpwstr>
  </property>
  <property fmtid="{D5CDD505-2E9C-101B-9397-08002B2CF9AE}" pid="69" name="FSC#SKMVPRECONFIG@103.510:zaznam_vnut_adresati_94">
    <vt:lpwstr>94</vt:lpwstr>
  </property>
  <property fmtid="{D5CDD505-2E9C-101B-9397-08002B2CF9AE}" pid="70" name="FSC#SKMVPRECONFIG@103.510:zaznam_vnut_adresati_95">
    <vt:lpwstr>95</vt:lpwstr>
  </property>
  <property fmtid="{D5CDD505-2E9C-101B-9397-08002B2CF9AE}" pid="71" name="FSC#SKMVPRECONFIG@103.510:zaznam_vnut_adresati_96">
    <vt:lpwstr>96</vt:lpwstr>
  </property>
  <property fmtid="{D5CDD505-2E9C-101B-9397-08002B2CF9AE}" pid="72" name="FSC#SKMVPRECONFIG@103.510:zaznam_vnut_adresati_97">
    <vt:lpwstr>97</vt:lpwstr>
  </property>
  <property fmtid="{D5CDD505-2E9C-101B-9397-08002B2CF9AE}" pid="73" name="FSC#SKMVPRECONFIG@103.510:zaznam_vnut_adresati_98">
    <vt:lpwstr>98</vt:lpwstr>
  </property>
  <property fmtid="{D5CDD505-2E9C-101B-9397-08002B2CF9AE}" pid="74" name="FSC#SKMVPRECONFIG@103.510:zaznam_vnut_adresati_99">
    <vt:lpwstr>99</vt:lpwstr>
  </property>
  <property fmtid="{D5CDD505-2E9C-101B-9397-08002B2CF9AE}" pid="75" name="FSC#SKMVPRECONFIG@103.510:zaznam_vnut_adresati_100">
    <vt:lpwstr>100</vt:lpwstr>
  </property>
  <property fmtid="{D5CDD505-2E9C-101B-9397-08002B2CF9AE}" pid="76" name="FSC#SKMVPRECONFIG@103.510:zaznam_vnut_adresati_101">
    <vt:lpwstr>101</vt:lpwstr>
  </property>
  <property fmtid="{D5CDD505-2E9C-101B-9397-08002B2CF9AE}" pid="77" name="FSC#SKMVPRECONFIG@103.510:zaznam_vnut_adresati_102">
    <vt:lpwstr>102</vt:lpwstr>
  </property>
  <property fmtid="{D5CDD505-2E9C-101B-9397-08002B2CF9AE}" pid="78" name="FSC#SKMVPRECONFIG@103.510:zaznam_vnut_adresati_103">
    <vt:lpwstr>103</vt:lpwstr>
  </property>
  <property fmtid="{D5CDD505-2E9C-101B-9397-08002B2CF9AE}" pid="79" name="FSC#SKMVPRECONFIG@103.510:zaznam_vnut_adresati_104">
    <vt:lpwstr>104</vt:lpwstr>
  </property>
  <property fmtid="{D5CDD505-2E9C-101B-9397-08002B2CF9AE}" pid="80" name="FSC#SKMVPRECONFIG@103.510:zaznam_vnut_adresati_105">
    <vt:lpwstr>105</vt:lpwstr>
  </property>
  <property fmtid="{D5CDD505-2E9C-101B-9397-08002B2CF9AE}" pid="81" name="FSC#SKMVPRECONFIG@103.510:zaznam_vnut_adresati_106">
    <vt:lpwstr>106</vt:lpwstr>
  </property>
  <property fmtid="{D5CDD505-2E9C-101B-9397-08002B2CF9AE}" pid="82" name="FSC#SKMVPRECONFIG@103.510:zaznam_vnut_adresati_107">
    <vt:lpwstr>107</vt:lpwstr>
  </property>
  <property fmtid="{D5CDD505-2E9C-101B-9397-08002B2CF9AE}" pid="83" name="FSC#SKMVPRECONFIG@103.510:zaznam_vnut_adresati_108">
    <vt:lpwstr>108</vt:lpwstr>
  </property>
  <property fmtid="{D5CDD505-2E9C-101B-9397-08002B2CF9AE}" pid="84" name="FSC#SKMVPRECONFIG@103.510:zaznam_vnut_adresati_109">
    <vt:lpwstr>109</vt:lpwstr>
  </property>
  <property fmtid="{D5CDD505-2E9C-101B-9397-08002B2CF9AE}" pid="85" name="FSC#SKMVPRECONFIG@103.510:zaznam_vnut_adresati_110">
    <vt:lpwstr>110</vt:lpwstr>
  </property>
  <property fmtid="{D5CDD505-2E9C-101B-9397-08002B2CF9AE}" pid="86" name="FSC#SKMVPRECONFIG@103.510:zaznam_vnut_adresati_111">
    <vt:lpwstr>111</vt:lpwstr>
  </property>
  <property fmtid="{D5CDD505-2E9C-101B-9397-08002B2CF9AE}" pid="87" name="FSC#SKMVPRECONFIG@103.510:zaznam_vnut_adresati_112">
    <vt:lpwstr>112</vt:lpwstr>
  </property>
  <property fmtid="{D5CDD505-2E9C-101B-9397-08002B2CF9AE}" pid="88" name="FSC#SKMVPRECONFIG@103.510:zaznam_vnut_adresati_113">
    <vt:lpwstr>113</vt:lpwstr>
  </property>
  <property fmtid="{D5CDD505-2E9C-101B-9397-08002B2CF9AE}" pid="89" name="FSC#SKMVPRECONFIG@103.510:zaznam_vnut_adresati_114">
    <vt:lpwstr>114</vt:lpwstr>
  </property>
  <property fmtid="{D5CDD505-2E9C-101B-9397-08002B2CF9AE}" pid="90" name="FSC#SKMVPRECONFIG@103.510:zaznam_vnut_adresati_115">
    <vt:lpwstr>115</vt:lpwstr>
  </property>
  <property fmtid="{D5CDD505-2E9C-101B-9397-08002B2CF9AE}" pid="91" name="FSC#SKMVPRECONFIG@103.510:zaznam_vnut_adresati_116">
    <vt:lpwstr>116</vt:lpwstr>
  </property>
  <property fmtid="{D5CDD505-2E9C-101B-9397-08002B2CF9AE}" pid="92" name="FSC#SKMVPRECONFIG@103.510:zaznam_vnut_adresati_117">
    <vt:lpwstr>117</vt:lpwstr>
  </property>
  <property fmtid="{D5CDD505-2E9C-101B-9397-08002B2CF9AE}" pid="93" name="FSC#SKMVPRECONFIG@103.510:zaznam_vnut_adresati_118">
    <vt:lpwstr>118</vt:lpwstr>
  </property>
  <property fmtid="{D5CDD505-2E9C-101B-9397-08002B2CF9AE}" pid="94" name="FSC#SKMVPRECONFIG@103.510:zaznam_vnut_adresati_119">
    <vt:lpwstr>119</vt:lpwstr>
  </property>
  <property fmtid="{D5CDD505-2E9C-101B-9397-08002B2CF9AE}" pid="95" name="FSC#SKMVPRECONFIG@103.510:zaznam_vnut_adresati_120">
    <vt:lpwstr>120</vt:lpwstr>
  </property>
  <property fmtid="{D5CDD505-2E9C-101B-9397-08002B2CF9AE}" pid="96" name="FSC#SKMVPRECONFIG@103.510:zaznam_vnut_adresati_121">
    <vt:lpwstr>121</vt:lpwstr>
  </property>
  <property fmtid="{D5CDD505-2E9C-101B-9397-08002B2CF9AE}" pid="97" name="FSC#SKMVPRECONFIG@103.510:zaznam_vnut_adresati_122">
    <vt:lpwstr>122</vt:lpwstr>
  </property>
  <property fmtid="{D5CDD505-2E9C-101B-9397-08002B2CF9AE}" pid="98" name="FSC#SKMVPRECONFIG@103.510:zaznam_vnut_adresati_123">
    <vt:lpwstr>123</vt:lpwstr>
  </property>
  <property fmtid="{D5CDD505-2E9C-101B-9397-08002B2CF9AE}" pid="99" name="FSC#SKMVPRECONFIG@103.510:zaznam_vnut_adresati_124">
    <vt:lpwstr>124</vt:lpwstr>
  </property>
  <property fmtid="{D5CDD505-2E9C-101B-9397-08002B2CF9AE}" pid="100" name="FSC#SKMVPRECONFIG@103.510:zaznam_vnut_adresati_125">
    <vt:lpwstr>125</vt:lpwstr>
  </property>
  <property fmtid="{D5CDD505-2E9C-101B-9397-08002B2CF9AE}" pid="101" name="FSC#SKMVPRECONFIG@103.510:zaznam_vnut_adresati_126">
    <vt:lpwstr>126</vt:lpwstr>
  </property>
  <property fmtid="{D5CDD505-2E9C-101B-9397-08002B2CF9AE}" pid="102" name="FSC#SKMVPRECONFIG@103.510:zaznam_vnut_adresati_127">
    <vt:lpwstr>127</vt:lpwstr>
  </property>
  <property fmtid="{D5CDD505-2E9C-101B-9397-08002B2CF9AE}" pid="103" name="FSC#SKMVPRECONFIG@103.510:zaznam_vnut_adresati_128">
    <vt:lpwstr>128</vt:lpwstr>
  </property>
  <property fmtid="{D5CDD505-2E9C-101B-9397-08002B2CF9AE}" pid="104" name="FSC#SKMVPRECONFIG@103.510:zaznam_vnut_adresati_129">
    <vt:lpwstr>129</vt:lpwstr>
  </property>
  <property fmtid="{D5CDD505-2E9C-101B-9397-08002B2CF9AE}" pid="105" name="FSC#SKMVPRECONFIG@103.510:zaznam_vnut_adresati_130">
    <vt:lpwstr>130</vt:lpwstr>
  </property>
  <property fmtid="{D5CDD505-2E9C-101B-9397-08002B2CF9AE}" pid="106" name="FSC#SKMVPRECONFIG@103.510:zaznam_vnut_adresati_131">
    <vt:lpwstr>131</vt:lpwstr>
  </property>
  <property fmtid="{D5CDD505-2E9C-101B-9397-08002B2CF9AE}" pid="107" name="FSC#SKMVPRECONFIG@103.510:zaznam_vnut_adresati_132">
    <vt:lpwstr>132</vt:lpwstr>
  </property>
  <property fmtid="{D5CDD505-2E9C-101B-9397-08002B2CF9AE}" pid="108" name="FSC#SKMVPRECONFIG@103.510:zaznam_vnut_adresati_133">
    <vt:lpwstr>133</vt:lpwstr>
  </property>
  <property fmtid="{D5CDD505-2E9C-101B-9397-08002B2CF9AE}" pid="109" name="FSC#SKMVPRECONFIG@103.510:zaznam_vnut_adresati_134">
    <vt:lpwstr>134</vt:lpwstr>
  </property>
  <property fmtid="{D5CDD505-2E9C-101B-9397-08002B2CF9AE}" pid="110" name="FSC#SKMVPRECONFIG@103.510:zaznam_vnut_adresati_135">
    <vt:lpwstr>135</vt:lpwstr>
  </property>
  <property fmtid="{D5CDD505-2E9C-101B-9397-08002B2CF9AE}" pid="111" name="FSC#SKMVPRECONFIG@103.510:zaznam_vnut_adresati_136">
    <vt:lpwstr>136</vt:lpwstr>
  </property>
  <property fmtid="{D5CDD505-2E9C-101B-9397-08002B2CF9AE}" pid="112" name="FSC#SKMVPRECONFIG@103.510:zaznam_vnut_adresati_137">
    <vt:lpwstr>137</vt:lpwstr>
  </property>
  <property fmtid="{D5CDD505-2E9C-101B-9397-08002B2CF9AE}" pid="113" name="FSC#SKMVPRECONFIG@103.510:zaznam_vnut_adresati_138">
    <vt:lpwstr>138</vt:lpwstr>
  </property>
  <property fmtid="{D5CDD505-2E9C-101B-9397-08002B2CF9AE}" pid="114" name="FSC#SKMVPRECONFIG@103.510:zaznam_vnut_adresati_139">
    <vt:lpwstr>139</vt:lpwstr>
  </property>
  <property fmtid="{D5CDD505-2E9C-101B-9397-08002B2CF9AE}" pid="115" name="FSC#SKMVPRECONFIG@103.510:zaznam_vnut_adresati_140">
    <vt:lpwstr>140</vt:lpwstr>
  </property>
  <property fmtid="{D5CDD505-2E9C-101B-9397-08002B2CF9AE}" pid="116" name="FSC#SKMVPRECONFIG@103.510:zaznam_vnut_adresati_141">
    <vt:lpwstr>141</vt:lpwstr>
  </property>
  <property fmtid="{D5CDD505-2E9C-101B-9397-08002B2CF9AE}" pid="117" name="FSC#SKMVPRECONFIG@103.510:zaznam_vnut_adresati_142">
    <vt:lpwstr>142</vt:lpwstr>
  </property>
  <property fmtid="{D5CDD505-2E9C-101B-9397-08002B2CF9AE}" pid="118" name="FSC#SKMVPRECONFIG@103.510:zaznam_vnut_adresati_143">
    <vt:lpwstr>143</vt:lpwstr>
  </property>
  <property fmtid="{D5CDD505-2E9C-101B-9397-08002B2CF9AE}" pid="119" name="FSC#SKMVPRECONFIG@103.510:zaznam_vnut_adresati_144">
    <vt:lpwstr>144</vt:lpwstr>
  </property>
  <property fmtid="{D5CDD505-2E9C-101B-9397-08002B2CF9AE}" pid="120" name="FSC#SKMVPRECONFIG@103.510:zaznam_vnut_adresati_145">
    <vt:lpwstr>145</vt:lpwstr>
  </property>
  <property fmtid="{D5CDD505-2E9C-101B-9397-08002B2CF9AE}" pid="121" name="FSC#SKMVPRECONFIG@103.510:zaznam_vnut_adresati_146">
    <vt:lpwstr>146</vt:lpwstr>
  </property>
  <property fmtid="{D5CDD505-2E9C-101B-9397-08002B2CF9AE}" pid="122" name="FSC#SKMVPRECONFIG@103.510:zaznam_vnut_adresati_147">
    <vt:lpwstr>147</vt:lpwstr>
  </property>
  <property fmtid="{D5CDD505-2E9C-101B-9397-08002B2CF9AE}" pid="123" name="FSC#SKMVPRECONFIG@103.510:zaznam_vnut_adresati_148">
    <vt:lpwstr>148</vt:lpwstr>
  </property>
  <property fmtid="{D5CDD505-2E9C-101B-9397-08002B2CF9AE}" pid="124" name="FSC#SKMVPRECONFIG@103.510:zaznam_vnut_adresati_149">
    <vt:lpwstr>149</vt:lpwstr>
  </property>
  <property fmtid="{D5CDD505-2E9C-101B-9397-08002B2CF9AE}" pid="125" name="FSC#SKMVPRECONFIG@103.510:zaznam_vnut_adresati_150">
    <vt:lpwstr>150</vt:lpwstr>
  </property>
  <property fmtid="{D5CDD505-2E9C-101B-9397-08002B2CF9AE}" pid="126" name="FSC#SKEDITIONREG@103.510:a_acceptor">
    <vt:lpwstr/>
  </property>
  <property fmtid="{D5CDD505-2E9C-101B-9397-08002B2CF9AE}" pid="127" name="FSC#SKEDITIONREG@103.510:a_clearedat">
    <vt:lpwstr/>
  </property>
  <property fmtid="{D5CDD505-2E9C-101B-9397-08002B2CF9AE}" pid="128" name="FSC#SKEDITIONREG@103.510:a_clearedby">
    <vt:lpwstr/>
  </property>
  <property fmtid="{D5CDD505-2E9C-101B-9397-08002B2CF9AE}" pid="129" name="FSC#SKEDITIONREG@103.510:a_comm">
    <vt:lpwstr/>
  </property>
  <property fmtid="{D5CDD505-2E9C-101B-9397-08002B2CF9AE}" pid="130" name="FSC#SKEDITIONREG@103.510:a_decisionattachments">
    <vt:lpwstr/>
  </property>
  <property fmtid="{D5CDD505-2E9C-101B-9397-08002B2CF9AE}" pid="131" name="FSC#SKEDITIONREG@103.510:a_deliveredat">
    <vt:lpwstr/>
  </property>
  <property fmtid="{D5CDD505-2E9C-101B-9397-08002B2CF9AE}" pid="132" name="FSC#SKEDITIONREG@103.510:a_delivery">
    <vt:lpwstr/>
  </property>
  <property fmtid="{D5CDD505-2E9C-101B-9397-08002B2CF9AE}" pid="133" name="FSC#SKEDITIONREG@103.510:a_extension">
    <vt:lpwstr/>
  </property>
  <property fmtid="{D5CDD505-2E9C-101B-9397-08002B2CF9AE}" pid="134" name="FSC#SKEDITIONREG@103.510:a_filenumber">
    <vt:lpwstr/>
  </property>
  <property fmtid="{D5CDD505-2E9C-101B-9397-08002B2CF9AE}" pid="135" name="FSC#SKEDITIONREG@103.510:a_fileresponsible">
    <vt:lpwstr/>
  </property>
  <property fmtid="{D5CDD505-2E9C-101B-9397-08002B2CF9AE}" pid="136" name="FSC#SKEDITIONREG@103.510:a_fileresporg">
    <vt:lpwstr/>
  </property>
  <property fmtid="{D5CDD505-2E9C-101B-9397-08002B2CF9AE}" pid="137" name="FSC#SKEDITIONREG@103.510:a_fileresporg_email_OU">
    <vt:lpwstr/>
  </property>
  <property fmtid="{D5CDD505-2E9C-101B-9397-08002B2CF9AE}" pid="138" name="FSC#SKEDITIONREG@103.510:a_fileresporg_emailaddress">
    <vt:lpwstr/>
  </property>
  <property fmtid="{D5CDD505-2E9C-101B-9397-08002B2CF9AE}" pid="139" name="FSC#SKEDITIONREG@103.510:a_fileresporg_fax">
    <vt:lpwstr/>
  </property>
  <property fmtid="{D5CDD505-2E9C-101B-9397-08002B2CF9AE}" pid="140" name="FSC#SKEDITIONREG@103.510:a_fileresporg_fax_OU">
    <vt:lpwstr/>
  </property>
  <property fmtid="{D5CDD505-2E9C-101B-9397-08002B2CF9AE}" pid="141" name="FSC#SKEDITIONREG@103.510:a_fileresporg_function">
    <vt:lpwstr/>
  </property>
  <property fmtid="{D5CDD505-2E9C-101B-9397-08002B2CF9AE}" pid="142" name="FSC#SKEDITIONREG@103.510:a_fileresporg_function_OU">
    <vt:lpwstr/>
  </property>
  <property fmtid="{D5CDD505-2E9C-101B-9397-08002B2CF9AE}" pid="143" name="FSC#SKEDITIONREG@103.510:a_fileresporg_head">
    <vt:lpwstr/>
  </property>
  <property fmtid="{D5CDD505-2E9C-101B-9397-08002B2CF9AE}" pid="144" name="FSC#SKEDITIONREG@103.510:a_fileresporg_head_OU">
    <vt:lpwstr/>
  </property>
  <property fmtid="{D5CDD505-2E9C-101B-9397-08002B2CF9AE}" pid="145" name="FSC#SKEDITIONREG@103.510:a_fileresporg_OU">
    <vt:lpwstr/>
  </property>
  <property fmtid="{D5CDD505-2E9C-101B-9397-08002B2CF9AE}" pid="146" name="FSC#SKEDITIONREG@103.510:a_fileresporg_phone">
    <vt:lpwstr/>
  </property>
  <property fmtid="{D5CDD505-2E9C-101B-9397-08002B2CF9AE}" pid="147" name="FSC#SKEDITIONREG@103.510:a_fileresporg_phone_OU">
    <vt:lpwstr/>
  </property>
  <property fmtid="{D5CDD505-2E9C-101B-9397-08002B2CF9AE}" pid="148" name="FSC#SKEDITIONREG@103.510:a_incattachments">
    <vt:lpwstr/>
  </property>
  <property fmtid="{D5CDD505-2E9C-101B-9397-08002B2CF9AE}" pid="149" name="FSC#SKEDITIONREG@103.510:a_incnr">
    <vt:lpwstr/>
  </property>
  <property fmtid="{D5CDD505-2E9C-101B-9397-08002B2CF9AE}" pid="150" name="FSC#SKEDITIONREG@103.510:a_objcreatedstr">
    <vt:lpwstr/>
  </property>
  <property fmtid="{D5CDD505-2E9C-101B-9397-08002B2CF9AE}" pid="151" name="FSC#SKEDITIONREG@103.510:a_ordernumber">
    <vt:lpwstr/>
  </property>
  <property fmtid="{D5CDD505-2E9C-101B-9397-08002B2CF9AE}" pid="152" name="FSC#SKEDITIONREG@103.510:a_oursign">
    <vt:lpwstr/>
  </property>
  <property fmtid="{D5CDD505-2E9C-101B-9397-08002B2CF9AE}" pid="153" name="FSC#SKEDITIONREG@103.510:a_sendersign">
    <vt:lpwstr/>
  </property>
  <property fmtid="{D5CDD505-2E9C-101B-9397-08002B2CF9AE}" pid="154" name="FSC#SKEDITIONREG@103.510:a_shortou">
    <vt:lpwstr/>
  </property>
  <property fmtid="{D5CDD505-2E9C-101B-9397-08002B2CF9AE}" pid="155" name="FSC#SKEDITIONREG@103.510:a_testsalutation">
    <vt:lpwstr/>
  </property>
  <property fmtid="{D5CDD505-2E9C-101B-9397-08002B2CF9AE}" pid="156" name="FSC#SKEDITIONREG@103.510:a_validfrom">
    <vt:lpwstr/>
  </property>
  <property fmtid="{D5CDD505-2E9C-101B-9397-08002B2CF9AE}" pid="157" name="FSC#SKEDITIONREG@103.510:as_activity">
    <vt:lpwstr/>
  </property>
  <property fmtid="{D5CDD505-2E9C-101B-9397-08002B2CF9AE}" pid="158" name="FSC#SKEDITIONREG@103.510:as_docdate">
    <vt:lpwstr/>
  </property>
  <property fmtid="{D5CDD505-2E9C-101B-9397-08002B2CF9AE}" pid="159" name="FSC#SKEDITIONREG@103.510:as_establishdate">
    <vt:lpwstr/>
  </property>
  <property fmtid="{D5CDD505-2E9C-101B-9397-08002B2CF9AE}" pid="160" name="FSC#SKEDITIONREG@103.510:as_fileresphead">
    <vt:lpwstr/>
  </property>
  <property fmtid="{D5CDD505-2E9C-101B-9397-08002B2CF9AE}" pid="161" name="FSC#SKEDITIONREG@103.510:as_filerespheadfnct">
    <vt:lpwstr/>
  </property>
  <property fmtid="{D5CDD505-2E9C-101B-9397-08002B2CF9AE}" pid="162" name="FSC#SKEDITIONREG@103.510:as_fileresponsible">
    <vt:lpwstr/>
  </property>
  <property fmtid="{D5CDD505-2E9C-101B-9397-08002B2CF9AE}" pid="163" name="FSC#SKEDITIONREG@103.510:as_filesubj">
    <vt:lpwstr/>
  </property>
  <property fmtid="{D5CDD505-2E9C-101B-9397-08002B2CF9AE}" pid="164" name="FSC#SKEDITIONREG@103.510:as_objname">
    <vt:lpwstr/>
  </property>
  <property fmtid="{D5CDD505-2E9C-101B-9397-08002B2CF9AE}" pid="165" name="FSC#SKEDITIONREG@103.510:as_ou">
    <vt:lpwstr/>
  </property>
  <property fmtid="{D5CDD505-2E9C-101B-9397-08002B2CF9AE}" pid="166" name="FSC#SKEDITIONREG@103.510:as_owner">
    <vt:lpwstr>Mgr. Zuzana Tarabíková</vt:lpwstr>
  </property>
  <property fmtid="{D5CDD505-2E9C-101B-9397-08002B2CF9AE}" pid="167" name="FSC#SKEDITIONREG@103.510:as_phonelink">
    <vt:lpwstr/>
  </property>
  <property fmtid="{D5CDD505-2E9C-101B-9397-08002B2CF9AE}" pid="168" name="FSC#SKEDITIONREG@103.510:oz_externAdr">
    <vt:lpwstr/>
  </property>
  <property fmtid="{D5CDD505-2E9C-101B-9397-08002B2CF9AE}" pid="169" name="FSC#SKEDITIONREG@103.510:a_depositperiod">
    <vt:lpwstr/>
  </property>
  <property fmtid="{D5CDD505-2E9C-101B-9397-08002B2CF9AE}" pid="170" name="FSC#SKEDITIONREG@103.510:a_disposestate">
    <vt:lpwstr/>
  </property>
  <property fmtid="{D5CDD505-2E9C-101B-9397-08002B2CF9AE}" pid="171" name="FSC#SKEDITIONREG@103.510:a_fileresponsiblefnct">
    <vt:lpwstr/>
  </property>
  <property fmtid="{D5CDD505-2E9C-101B-9397-08002B2CF9AE}" pid="172" name="FSC#SKEDITIONREG@103.510:a_fileresporg_position">
    <vt:lpwstr/>
  </property>
  <property fmtid="{D5CDD505-2E9C-101B-9397-08002B2CF9AE}" pid="173" name="FSC#SKEDITIONREG@103.510:a_fileresporg_position_OU">
    <vt:lpwstr/>
  </property>
  <property fmtid="{D5CDD505-2E9C-101B-9397-08002B2CF9AE}" pid="174" name="FSC#SKEDITIONREG@103.510:a_osobnecislosprac">
    <vt:lpwstr/>
  </property>
  <property fmtid="{D5CDD505-2E9C-101B-9397-08002B2CF9AE}" pid="175" name="FSC#SKEDITIONREG@103.510:a_registrysign">
    <vt:lpwstr/>
  </property>
  <property fmtid="{D5CDD505-2E9C-101B-9397-08002B2CF9AE}" pid="176" name="FSC#SKEDITIONREG@103.510:a_subfileatt">
    <vt:lpwstr/>
  </property>
  <property fmtid="{D5CDD505-2E9C-101B-9397-08002B2CF9AE}" pid="177" name="FSC#SKEDITIONREG@103.510:as_filesubjall">
    <vt:lpwstr/>
  </property>
  <property fmtid="{D5CDD505-2E9C-101B-9397-08002B2CF9AE}" pid="178" name="FSC#SKEDITIONREG@103.510:CreatedAt">
    <vt:lpwstr>19. 10. 2026, 07:34</vt:lpwstr>
  </property>
  <property fmtid="{D5CDD505-2E9C-101B-9397-08002B2CF9AE}" pid="179" name="FSC#SKEDITIONREG@103.510:curruserrolegroup">
    <vt:lpwstr>ODBOR BEZPEČNOSTNEJ LEGISLATÍVY</vt:lpwstr>
  </property>
  <property fmtid="{D5CDD505-2E9C-101B-9397-08002B2CF9AE}" pid="180" name="FSC#SKEDITIONREG@103.510:currusersubst">
    <vt:lpwstr>mjr. Mgr. Juraj Beník</vt:lpwstr>
  </property>
  <property fmtid="{D5CDD505-2E9C-101B-9397-08002B2CF9AE}" pid="181" name="FSC#SKEDITIONREG@103.510:emailsprac">
    <vt:lpwstr/>
  </property>
  <property fmtid="{D5CDD505-2E9C-101B-9397-08002B2CF9AE}" pid="182" name="FSC#SKEDITIONREG@103.510:ms_VyskladaniePoznamok">
    <vt:lpwstr/>
  </property>
  <property fmtid="{D5CDD505-2E9C-101B-9397-08002B2CF9AE}" pid="183" name="FSC#SKEDITIONREG@103.510:oumlname_fnct">
    <vt:lpwstr/>
  </property>
  <property fmtid="{D5CDD505-2E9C-101B-9397-08002B2CF9AE}" pid="184" name="FSC#SKEDITIONREG@103.510:sk_org_city">
    <vt:lpwstr>Bratislava 1</vt:lpwstr>
  </property>
  <property fmtid="{D5CDD505-2E9C-101B-9397-08002B2CF9AE}" pid="185" name="FSC#SKEDITIONREG@103.510:sk_org_dic">
    <vt:lpwstr/>
  </property>
  <property fmtid="{D5CDD505-2E9C-101B-9397-08002B2CF9AE}" pid="186" name="FSC#SKEDITIONREG@103.510:sk_org_email">
    <vt:lpwstr/>
  </property>
  <property fmtid="{D5CDD505-2E9C-101B-9397-08002B2CF9AE}" pid="187" name="FSC#SKEDITIONREG@103.510:sk_org_fax">
    <vt:lpwstr/>
  </property>
  <property fmtid="{D5CDD505-2E9C-101B-9397-08002B2CF9AE}" pid="188" name="FSC#SKEDITIONREG@103.510:sk_org_fullname">
    <vt:lpwstr>SL -  SEKCIA LEGISLATÍVY a PRÁVNYCH SLUŽIEB MV SR</vt:lpwstr>
  </property>
  <property fmtid="{D5CDD505-2E9C-101B-9397-08002B2CF9AE}" pid="189" name="FSC#SKEDITIONREG@103.510:sk_org_ico">
    <vt:lpwstr>00151866</vt:lpwstr>
  </property>
  <property fmtid="{D5CDD505-2E9C-101B-9397-08002B2CF9AE}" pid="190" name="FSC#SKEDITIONREG@103.510:sk_org_phone">
    <vt:lpwstr/>
  </property>
  <property fmtid="{D5CDD505-2E9C-101B-9397-08002B2CF9AE}" pid="191" name="FSC#SKEDITIONREG@103.510:sk_org_shortname">
    <vt:lpwstr/>
  </property>
  <property fmtid="{D5CDD505-2E9C-101B-9397-08002B2CF9AE}" pid="192" name="FSC#SKEDITIONREG@103.510:sk_org_state">
    <vt:lpwstr>Slovensko</vt:lpwstr>
  </property>
  <property fmtid="{D5CDD505-2E9C-101B-9397-08002B2CF9AE}" pid="193" name="FSC#SKEDITIONREG@103.510:sk_org_street">
    <vt:lpwstr>Pribinova 2</vt:lpwstr>
  </property>
  <property fmtid="{D5CDD505-2E9C-101B-9397-08002B2CF9AE}" pid="194" name="FSC#SKEDITIONREG@103.510:sk_org_zip">
    <vt:lpwstr>812 72</vt:lpwstr>
  </property>
  <property fmtid="{D5CDD505-2E9C-101B-9397-08002B2CF9AE}" pid="195" name="FSC#SKEDITIONREG@103.510:viz_clearedat">
    <vt:lpwstr/>
  </property>
  <property fmtid="{D5CDD505-2E9C-101B-9397-08002B2CF9AE}" pid="196" name="FSC#SKEDITIONREG@103.510:viz_clearedby">
    <vt:lpwstr/>
  </property>
  <property fmtid="{D5CDD505-2E9C-101B-9397-08002B2CF9AE}" pid="197" name="FSC#SKEDITIONREG@103.510:viz_comm">
    <vt:lpwstr/>
  </property>
  <property fmtid="{D5CDD505-2E9C-101B-9397-08002B2CF9AE}" pid="198" name="FSC#SKEDITIONREG@103.510:viz_decisionattachments">
    <vt:lpwstr/>
  </property>
  <property fmtid="{D5CDD505-2E9C-101B-9397-08002B2CF9AE}" pid="199" name="FSC#SKEDITIONREG@103.510:viz_deliveredat">
    <vt:lpwstr/>
  </property>
  <property fmtid="{D5CDD505-2E9C-101B-9397-08002B2CF9AE}" pid="200" name="FSC#SKEDITIONREG@103.510:viz_delivery">
    <vt:lpwstr/>
  </property>
  <property fmtid="{D5CDD505-2E9C-101B-9397-08002B2CF9AE}" pid="201" name="FSC#SKEDITIONREG@103.510:viz_extension">
    <vt:lpwstr/>
  </property>
  <property fmtid="{D5CDD505-2E9C-101B-9397-08002B2CF9AE}" pid="202" name="FSC#SKEDITIONREG@103.510:viz_filenumber">
    <vt:lpwstr/>
  </property>
  <property fmtid="{D5CDD505-2E9C-101B-9397-08002B2CF9AE}" pid="203" name="FSC#SKEDITIONREG@103.510:viz_fileresponsible">
    <vt:lpwstr/>
  </property>
  <property fmtid="{D5CDD505-2E9C-101B-9397-08002B2CF9AE}" pid="204" name="FSC#SKEDITIONREG@103.510:viz_fileresporg">
    <vt:lpwstr/>
  </property>
  <property fmtid="{D5CDD505-2E9C-101B-9397-08002B2CF9AE}" pid="205" name="FSC#SKEDITIONREG@103.510:viz_fileresporg_email_OU">
    <vt:lpwstr/>
  </property>
  <property fmtid="{D5CDD505-2E9C-101B-9397-08002B2CF9AE}" pid="206" name="FSC#SKEDITIONREG@103.510:viz_fileresporg_emailaddress">
    <vt:lpwstr/>
  </property>
  <property fmtid="{D5CDD505-2E9C-101B-9397-08002B2CF9AE}" pid="207" name="FSC#SKEDITIONREG@103.510:viz_fileresporg_fax">
    <vt:lpwstr/>
  </property>
  <property fmtid="{D5CDD505-2E9C-101B-9397-08002B2CF9AE}" pid="208" name="FSC#SKEDITIONREG@103.510:viz_fileresporg_fax_OU">
    <vt:lpwstr/>
  </property>
  <property fmtid="{D5CDD505-2E9C-101B-9397-08002B2CF9AE}" pid="209" name="FSC#SKEDITIONREG@103.510:viz_fileresporg_function">
    <vt:lpwstr/>
  </property>
  <property fmtid="{D5CDD505-2E9C-101B-9397-08002B2CF9AE}" pid="210" name="FSC#SKEDITIONREG@103.510:viz_fileresporg_function_OU">
    <vt:lpwstr/>
  </property>
  <property fmtid="{D5CDD505-2E9C-101B-9397-08002B2CF9AE}" pid="211" name="FSC#SKEDITIONREG@103.510:viz_fileresporg_head">
    <vt:lpwstr/>
  </property>
  <property fmtid="{D5CDD505-2E9C-101B-9397-08002B2CF9AE}" pid="212" name="FSC#SKEDITIONREG@103.510:viz_fileresporg_head_OU">
    <vt:lpwstr/>
  </property>
  <property fmtid="{D5CDD505-2E9C-101B-9397-08002B2CF9AE}" pid="213" name="FSC#SKEDITIONREG@103.510:viz_fileresporg_longname">
    <vt:lpwstr/>
  </property>
  <property fmtid="{D5CDD505-2E9C-101B-9397-08002B2CF9AE}" pid="214" name="FSC#SKEDITIONREG@103.510:viz_fileresporg_mesto">
    <vt:lpwstr/>
  </property>
  <property fmtid="{D5CDD505-2E9C-101B-9397-08002B2CF9AE}" pid="215" name="FSC#SKEDITIONREG@103.510:viz_fileresporg_odbor">
    <vt:lpwstr/>
  </property>
  <property fmtid="{D5CDD505-2E9C-101B-9397-08002B2CF9AE}" pid="216" name="FSC#SKEDITIONREG@103.510:viz_fileresporg_odbor_function">
    <vt:lpwstr/>
  </property>
  <property fmtid="{D5CDD505-2E9C-101B-9397-08002B2CF9AE}" pid="217" name="FSC#SKEDITIONREG@103.510:viz_fileresporg_odbor_head">
    <vt:lpwstr/>
  </property>
  <property fmtid="{D5CDD505-2E9C-101B-9397-08002B2CF9AE}" pid="218" name="FSC#SKEDITIONREG@103.510:viz_fileresporg_OU">
    <vt:lpwstr/>
  </property>
  <property fmtid="{D5CDD505-2E9C-101B-9397-08002B2CF9AE}" pid="219" name="FSC#SKEDITIONREG@103.510:viz_fileresporg_phone">
    <vt:lpwstr/>
  </property>
  <property fmtid="{D5CDD505-2E9C-101B-9397-08002B2CF9AE}" pid="220" name="FSC#SKEDITIONREG@103.510:viz_fileresporg_phone_OU">
    <vt:lpwstr/>
  </property>
  <property fmtid="{D5CDD505-2E9C-101B-9397-08002B2CF9AE}" pid="221" name="FSC#SKEDITIONREG@103.510:viz_fileresporg_position">
    <vt:lpwstr/>
  </property>
  <property fmtid="{D5CDD505-2E9C-101B-9397-08002B2CF9AE}" pid="222" name="FSC#SKEDITIONREG@103.510:viz_fileresporg_position_OU">
    <vt:lpwstr/>
  </property>
  <property fmtid="{D5CDD505-2E9C-101B-9397-08002B2CF9AE}" pid="223" name="FSC#SKEDITIONREG@103.510:viz_fileresporg_psc">
    <vt:lpwstr/>
  </property>
  <property fmtid="{D5CDD505-2E9C-101B-9397-08002B2CF9AE}" pid="224" name="FSC#SKEDITIONREG@103.510:viz_fileresporg_sekcia">
    <vt:lpwstr/>
  </property>
  <property fmtid="{D5CDD505-2E9C-101B-9397-08002B2CF9AE}" pid="225" name="FSC#SKEDITIONREG@103.510:viz_fileresporg_sekcia_function">
    <vt:lpwstr/>
  </property>
  <property fmtid="{D5CDD505-2E9C-101B-9397-08002B2CF9AE}" pid="226" name="FSC#SKEDITIONREG@103.510:viz_fileresporg_sekcia_head">
    <vt:lpwstr/>
  </property>
  <property fmtid="{D5CDD505-2E9C-101B-9397-08002B2CF9AE}" pid="227" name="FSC#SKEDITIONREG@103.510:viz_fileresporg_stat">
    <vt:lpwstr/>
  </property>
  <property fmtid="{D5CDD505-2E9C-101B-9397-08002B2CF9AE}" pid="228" name="FSC#SKEDITIONREG@103.510:viz_fileresporg_ulica">
    <vt:lpwstr/>
  </property>
  <property fmtid="{D5CDD505-2E9C-101B-9397-08002B2CF9AE}" pid="229" name="FSC#SKEDITIONREG@103.510:viz_fileresporgknazov">
    <vt:lpwstr/>
  </property>
  <property fmtid="{D5CDD505-2E9C-101B-9397-08002B2CF9AE}" pid="230" name="FSC#SKEDITIONREG@103.510:viz_filesubj">
    <vt:lpwstr/>
  </property>
  <property fmtid="{D5CDD505-2E9C-101B-9397-08002B2CF9AE}" pid="231" name="FSC#SKEDITIONREG@103.510:viz_incattachments">
    <vt:lpwstr/>
  </property>
  <property fmtid="{D5CDD505-2E9C-101B-9397-08002B2CF9AE}" pid="232" name="FSC#SKEDITIONREG@103.510:viz_incnr">
    <vt:lpwstr/>
  </property>
  <property fmtid="{D5CDD505-2E9C-101B-9397-08002B2CF9AE}" pid="233" name="FSC#SKEDITIONREG@103.510:viz_intletterrecivers">
    <vt:lpwstr/>
  </property>
  <property fmtid="{D5CDD505-2E9C-101B-9397-08002B2CF9AE}" pid="234" name="FSC#SKEDITIONREG@103.510:viz_objcreatedstr">
    <vt:lpwstr/>
  </property>
  <property fmtid="{D5CDD505-2E9C-101B-9397-08002B2CF9AE}" pid="235" name="FSC#SKEDITIONREG@103.510:viz_ordernumber">
    <vt:lpwstr/>
  </property>
  <property fmtid="{D5CDD505-2E9C-101B-9397-08002B2CF9AE}" pid="236" name="FSC#SKEDITIONREG@103.510:viz_oursign">
    <vt:lpwstr/>
  </property>
  <property fmtid="{D5CDD505-2E9C-101B-9397-08002B2CF9AE}" pid="237" name="FSC#SKEDITIONREG@103.510:viz_responseto_createdby">
    <vt:lpwstr/>
  </property>
  <property fmtid="{D5CDD505-2E9C-101B-9397-08002B2CF9AE}" pid="238" name="FSC#SKEDITIONREG@103.510:viz_sendersign">
    <vt:lpwstr/>
  </property>
  <property fmtid="{D5CDD505-2E9C-101B-9397-08002B2CF9AE}" pid="239" name="FSC#SKEDITIONREG@103.510:viz_shortfileresporg">
    <vt:lpwstr/>
  </property>
  <property fmtid="{D5CDD505-2E9C-101B-9397-08002B2CF9AE}" pid="240" name="FSC#SKEDITIONREG@103.510:viz_tel_number">
    <vt:lpwstr/>
  </property>
  <property fmtid="{D5CDD505-2E9C-101B-9397-08002B2CF9AE}" pid="241" name="FSC#SKEDITIONREG@103.510:viz_tel_number2">
    <vt:lpwstr/>
  </property>
  <property fmtid="{D5CDD505-2E9C-101B-9397-08002B2CF9AE}" pid="242" name="FSC#SKEDITIONREG@103.510:viz_testsalutation">
    <vt:lpwstr/>
  </property>
  <property fmtid="{D5CDD505-2E9C-101B-9397-08002B2CF9AE}" pid="243" name="FSC#SKEDITIONREG@103.510:viz_validfrom">
    <vt:lpwstr/>
  </property>
  <property fmtid="{D5CDD505-2E9C-101B-9397-08002B2CF9AE}" pid="244" name="FSC#SKEDITIONREG@103.510:zaznam_jeden_adresat">
    <vt:lpwstr/>
  </property>
  <property fmtid="{D5CDD505-2E9C-101B-9397-08002B2CF9AE}" pid="245" name="FSC#SKEDITIONREG@103.510:zaznam_vnut_adresati_1">
    <vt:lpwstr/>
  </property>
  <property fmtid="{D5CDD505-2E9C-101B-9397-08002B2CF9AE}" pid="246" name="FSC#SKEDITIONREG@103.510:zaznam_vnut_adresati_2">
    <vt:lpwstr/>
  </property>
  <property fmtid="{D5CDD505-2E9C-101B-9397-08002B2CF9AE}" pid="247" name="FSC#SKEDITIONREG@103.510:zaznam_vnut_adresati_3">
    <vt:lpwstr/>
  </property>
  <property fmtid="{D5CDD505-2E9C-101B-9397-08002B2CF9AE}" pid="248" name="FSC#SKEDITIONREG@103.510:zaznam_vnut_adresati_4">
    <vt:lpwstr/>
  </property>
  <property fmtid="{D5CDD505-2E9C-101B-9397-08002B2CF9AE}" pid="249" name="FSC#SKEDITIONREG@103.510:zaznam_vnut_adresati_5">
    <vt:lpwstr/>
  </property>
  <property fmtid="{D5CDD505-2E9C-101B-9397-08002B2CF9AE}" pid="250" name="FSC#SKEDITIONREG@103.510:zaznam_vnut_adresati_6">
    <vt:lpwstr/>
  </property>
  <property fmtid="{D5CDD505-2E9C-101B-9397-08002B2CF9AE}" pid="251" name="FSC#SKEDITIONREG@103.510:zaznam_vnut_adresati_7">
    <vt:lpwstr/>
  </property>
  <property fmtid="{D5CDD505-2E9C-101B-9397-08002B2CF9AE}" pid="252" name="FSC#SKEDITIONREG@103.510:zaznam_vnut_adresati_8">
    <vt:lpwstr/>
  </property>
  <property fmtid="{D5CDD505-2E9C-101B-9397-08002B2CF9AE}" pid="253" name="FSC#SKEDITIONREG@103.510:zaznam_vnut_adresati_9">
    <vt:lpwstr/>
  </property>
  <property fmtid="{D5CDD505-2E9C-101B-9397-08002B2CF9AE}" pid="254" name="FSC#SKEDITIONREG@103.510:zaznam_vnut_adresati_10">
    <vt:lpwstr/>
  </property>
  <property fmtid="{D5CDD505-2E9C-101B-9397-08002B2CF9AE}" pid="255" name="FSC#SKEDITIONREG@103.510:zaznam_vnut_adresati_11">
    <vt:lpwstr/>
  </property>
  <property fmtid="{D5CDD505-2E9C-101B-9397-08002B2CF9AE}" pid="256" name="FSC#SKEDITIONREG@103.510:zaznam_vnut_adresati_12">
    <vt:lpwstr/>
  </property>
  <property fmtid="{D5CDD505-2E9C-101B-9397-08002B2CF9AE}" pid="257" name="FSC#SKEDITIONREG@103.510:zaznam_vnut_adresati_13">
    <vt:lpwstr/>
  </property>
  <property fmtid="{D5CDD505-2E9C-101B-9397-08002B2CF9AE}" pid="258" name="FSC#SKEDITIONREG@103.510:zaznam_vnut_adresati_14">
    <vt:lpwstr/>
  </property>
  <property fmtid="{D5CDD505-2E9C-101B-9397-08002B2CF9AE}" pid="259" name="FSC#SKEDITIONREG@103.510:zaznam_vnut_adresati_15">
    <vt:lpwstr/>
  </property>
  <property fmtid="{D5CDD505-2E9C-101B-9397-08002B2CF9AE}" pid="260" name="FSC#SKEDITIONREG@103.510:zaznam_vnut_adresati_16">
    <vt:lpwstr/>
  </property>
  <property fmtid="{D5CDD505-2E9C-101B-9397-08002B2CF9AE}" pid="261" name="FSC#SKEDITIONREG@103.510:zaznam_vnut_adresati_17">
    <vt:lpwstr/>
  </property>
  <property fmtid="{D5CDD505-2E9C-101B-9397-08002B2CF9AE}" pid="262" name="FSC#SKEDITIONREG@103.510:zaznam_vnut_adresati_18">
    <vt:lpwstr/>
  </property>
  <property fmtid="{D5CDD505-2E9C-101B-9397-08002B2CF9AE}" pid="263" name="FSC#SKEDITIONREG@103.510:zaznam_vnut_adresati_19">
    <vt:lpwstr/>
  </property>
  <property fmtid="{D5CDD505-2E9C-101B-9397-08002B2CF9AE}" pid="264" name="FSC#SKEDITIONREG@103.510:zaznam_vnut_adresati_20">
    <vt:lpwstr/>
  </property>
  <property fmtid="{D5CDD505-2E9C-101B-9397-08002B2CF9AE}" pid="265" name="FSC#SKEDITIONREG@103.510:zaznam_vnut_adresati_21">
    <vt:lpwstr/>
  </property>
  <property fmtid="{D5CDD505-2E9C-101B-9397-08002B2CF9AE}" pid="266" name="FSC#SKEDITIONREG@103.510:zaznam_vnut_adresati_22">
    <vt:lpwstr/>
  </property>
  <property fmtid="{D5CDD505-2E9C-101B-9397-08002B2CF9AE}" pid="267" name="FSC#SKEDITIONREG@103.510:zaznam_vnut_adresati_23">
    <vt:lpwstr/>
  </property>
  <property fmtid="{D5CDD505-2E9C-101B-9397-08002B2CF9AE}" pid="268" name="FSC#SKEDITIONREG@103.510:zaznam_vnut_adresati_24">
    <vt:lpwstr/>
  </property>
  <property fmtid="{D5CDD505-2E9C-101B-9397-08002B2CF9AE}" pid="269" name="FSC#SKEDITIONREG@103.510:zaznam_vnut_adresati_25">
    <vt:lpwstr/>
  </property>
  <property fmtid="{D5CDD505-2E9C-101B-9397-08002B2CF9AE}" pid="270" name="FSC#SKEDITIONREG@103.510:zaznam_vnut_adresati_26">
    <vt:lpwstr/>
  </property>
  <property fmtid="{D5CDD505-2E9C-101B-9397-08002B2CF9AE}" pid="271" name="FSC#SKEDITIONREG@103.510:zaznam_vnut_adresati_27">
    <vt:lpwstr/>
  </property>
  <property fmtid="{D5CDD505-2E9C-101B-9397-08002B2CF9AE}" pid="272" name="FSC#SKEDITIONREG@103.510:zaznam_vnut_adresati_28">
    <vt:lpwstr/>
  </property>
  <property fmtid="{D5CDD505-2E9C-101B-9397-08002B2CF9AE}" pid="273" name="FSC#SKEDITIONREG@103.510:zaznam_vnut_adresati_29">
    <vt:lpwstr/>
  </property>
  <property fmtid="{D5CDD505-2E9C-101B-9397-08002B2CF9AE}" pid="274" name="FSC#SKEDITIONREG@103.510:zaznam_vnut_adresati_30">
    <vt:lpwstr/>
  </property>
  <property fmtid="{D5CDD505-2E9C-101B-9397-08002B2CF9AE}" pid="275" name="FSC#SKEDITIONREG@103.510:zaznam_vnut_adresati_31">
    <vt:lpwstr/>
  </property>
  <property fmtid="{D5CDD505-2E9C-101B-9397-08002B2CF9AE}" pid="276" name="FSC#SKEDITIONREG@103.510:zaznam_vnut_adresati_32">
    <vt:lpwstr/>
  </property>
  <property fmtid="{D5CDD505-2E9C-101B-9397-08002B2CF9AE}" pid="277" name="FSC#SKEDITIONREG@103.510:zaznam_vnut_adresati_33">
    <vt:lpwstr/>
  </property>
  <property fmtid="{D5CDD505-2E9C-101B-9397-08002B2CF9AE}" pid="278" name="FSC#SKEDITIONREG@103.510:zaznam_vnut_adresati_34">
    <vt:lpwstr/>
  </property>
  <property fmtid="{D5CDD505-2E9C-101B-9397-08002B2CF9AE}" pid="279" name="FSC#SKEDITIONREG@103.510:zaznam_vnut_adresati_35">
    <vt:lpwstr/>
  </property>
  <property fmtid="{D5CDD505-2E9C-101B-9397-08002B2CF9AE}" pid="280" name="FSC#SKEDITIONREG@103.510:zaznam_vnut_adresati_36">
    <vt:lpwstr/>
  </property>
  <property fmtid="{D5CDD505-2E9C-101B-9397-08002B2CF9AE}" pid="281" name="FSC#SKEDITIONREG@103.510:zaznam_vnut_adresati_37">
    <vt:lpwstr/>
  </property>
  <property fmtid="{D5CDD505-2E9C-101B-9397-08002B2CF9AE}" pid="282" name="FSC#SKEDITIONREG@103.510:zaznam_vnut_adresati_38">
    <vt:lpwstr/>
  </property>
  <property fmtid="{D5CDD505-2E9C-101B-9397-08002B2CF9AE}" pid="283" name="FSC#SKEDITIONREG@103.510:zaznam_vnut_adresati_39">
    <vt:lpwstr/>
  </property>
  <property fmtid="{D5CDD505-2E9C-101B-9397-08002B2CF9AE}" pid="284" name="FSC#SKEDITIONREG@103.510:zaznam_vnut_adresati_40">
    <vt:lpwstr/>
  </property>
  <property fmtid="{D5CDD505-2E9C-101B-9397-08002B2CF9AE}" pid="285" name="FSC#SKEDITIONREG@103.510:zaznam_vnut_adresati_41">
    <vt:lpwstr/>
  </property>
  <property fmtid="{D5CDD505-2E9C-101B-9397-08002B2CF9AE}" pid="286" name="FSC#SKEDITIONREG@103.510:zaznam_vnut_adresati_42">
    <vt:lpwstr/>
  </property>
  <property fmtid="{D5CDD505-2E9C-101B-9397-08002B2CF9AE}" pid="287" name="FSC#SKEDITIONREG@103.510:zaznam_vnut_adresati_43">
    <vt:lpwstr/>
  </property>
  <property fmtid="{D5CDD505-2E9C-101B-9397-08002B2CF9AE}" pid="288" name="FSC#SKEDITIONREG@103.510:zaznam_vnut_adresati_44">
    <vt:lpwstr/>
  </property>
  <property fmtid="{D5CDD505-2E9C-101B-9397-08002B2CF9AE}" pid="289" name="FSC#SKEDITIONREG@103.510:zaznam_vnut_adresati_45">
    <vt:lpwstr/>
  </property>
  <property fmtid="{D5CDD505-2E9C-101B-9397-08002B2CF9AE}" pid="290" name="FSC#SKEDITIONREG@103.510:zaznam_vnut_adresati_46">
    <vt:lpwstr/>
  </property>
  <property fmtid="{D5CDD505-2E9C-101B-9397-08002B2CF9AE}" pid="291" name="FSC#SKEDITIONREG@103.510:zaznam_vnut_adresati_47">
    <vt:lpwstr/>
  </property>
  <property fmtid="{D5CDD505-2E9C-101B-9397-08002B2CF9AE}" pid="292" name="FSC#SKEDITIONREG@103.510:zaznam_vnut_adresati_48">
    <vt:lpwstr/>
  </property>
  <property fmtid="{D5CDD505-2E9C-101B-9397-08002B2CF9AE}" pid="293" name="FSC#SKEDITIONREG@103.510:zaznam_vnut_adresati_49">
    <vt:lpwstr/>
  </property>
  <property fmtid="{D5CDD505-2E9C-101B-9397-08002B2CF9AE}" pid="294" name="FSC#SKEDITIONREG@103.510:zaznam_vnut_adresati_50">
    <vt:lpwstr/>
  </property>
  <property fmtid="{D5CDD505-2E9C-101B-9397-08002B2CF9AE}" pid="295" name="FSC#SKEDITIONREG@103.510:zaznam_vnut_adresati_51">
    <vt:lpwstr/>
  </property>
  <property fmtid="{D5CDD505-2E9C-101B-9397-08002B2CF9AE}" pid="296" name="FSC#SKEDITIONREG@103.510:zaznam_vnut_adresati_52">
    <vt:lpwstr/>
  </property>
  <property fmtid="{D5CDD505-2E9C-101B-9397-08002B2CF9AE}" pid="297" name="FSC#SKEDITIONREG@103.510:zaznam_vnut_adresati_53">
    <vt:lpwstr/>
  </property>
  <property fmtid="{D5CDD505-2E9C-101B-9397-08002B2CF9AE}" pid="298" name="FSC#SKEDITIONREG@103.510:zaznam_vnut_adresati_54">
    <vt:lpwstr/>
  </property>
  <property fmtid="{D5CDD505-2E9C-101B-9397-08002B2CF9AE}" pid="299" name="FSC#SKEDITIONREG@103.510:zaznam_vnut_adresati_55">
    <vt:lpwstr/>
  </property>
  <property fmtid="{D5CDD505-2E9C-101B-9397-08002B2CF9AE}" pid="300" name="FSC#SKEDITIONREG@103.510:zaznam_vnut_adresati_56">
    <vt:lpwstr/>
  </property>
  <property fmtid="{D5CDD505-2E9C-101B-9397-08002B2CF9AE}" pid="301" name="FSC#SKEDITIONREG@103.510:zaznam_vnut_adresati_57">
    <vt:lpwstr/>
  </property>
  <property fmtid="{D5CDD505-2E9C-101B-9397-08002B2CF9AE}" pid="302" name="FSC#SKEDITIONREG@103.510:zaznam_vnut_adresati_58">
    <vt:lpwstr/>
  </property>
  <property fmtid="{D5CDD505-2E9C-101B-9397-08002B2CF9AE}" pid="303" name="FSC#SKEDITIONREG@103.510:zaznam_vnut_adresati_59">
    <vt:lpwstr/>
  </property>
  <property fmtid="{D5CDD505-2E9C-101B-9397-08002B2CF9AE}" pid="304" name="FSC#SKEDITIONREG@103.510:zaznam_vnut_adresati_60">
    <vt:lpwstr/>
  </property>
  <property fmtid="{D5CDD505-2E9C-101B-9397-08002B2CF9AE}" pid="305" name="FSC#SKEDITIONREG@103.510:zaznam_vnut_adresati_61">
    <vt:lpwstr/>
  </property>
  <property fmtid="{D5CDD505-2E9C-101B-9397-08002B2CF9AE}" pid="306" name="FSC#SKEDITIONREG@103.510:zaznam_vnut_adresati_62">
    <vt:lpwstr/>
  </property>
  <property fmtid="{D5CDD505-2E9C-101B-9397-08002B2CF9AE}" pid="307" name="FSC#SKEDITIONREG@103.510:zaznam_vnut_adresati_63">
    <vt:lpwstr/>
  </property>
  <property fmtid="{D5CDD505-2E9C-101B-9397-08002B2CF9AE}" pid="308" name="FSC#SKEDITIONREG@103.510:zaznam_vnut_adresati_64">
    <vt:lpwstr/>
  </property>
  <property fmtid="{D5CDD505-2E9C-101B-9397-08002B2CF9AE}" pid="309" name="FSC#SKEDITIONREG@103.510:zaznam_vnut_adresati_65">
    <vt:lpwstr/>
  </property>
  <property fmtid="{D5CDD505-2E9C-101B-9397-08002B2CF9AE}" pid="310" name="FSC#SKEDITIONREG@103.510:zaznam_vnut_adresati_66">
    <vt:lpwstr/>
  </property>
  <property fmtid="{D5CDD505-2E9C-101B-9397-08002B2CF9AE}" pid="311" name="FSC#SKEDITIONREG@103.510:zaznam_vnut_adresati_67">
    <vt:lpwstr/>
  </property>
  <property fmtid="{D5CDD505-2E9C-101B-9397-08002B2CF9AE}" pid="312" name="FSC#SKEDITIONREG@103.510:zaznam_vnut_adresati_68">
    <vt:lpwstr/>
  </property>
  <property fmtid="{D5CDD505-2E9C-101B-9397-08002B2CF9AE}" pid="313" name="FSC#SKEDITIONREG@103.510:zaznam_vnut_adresati_69">
    <vt:lpwstr/>
  </property>
  <property fmtid="{D5CDD505-2E9C-101B-9397-08002B2CF9AE}" pid="314" name="FSC#SKEDITIONREG@103.510:zaznam_vnut_adresati_70">
    <vt:lpwstr/>
  </property>
  <property fmtid="{D5CDD505-2E9C-101B-9397-08002B2CF9AE}" pid="315" name="FSC#SKEDITIONREG@103.510:zaznam_vonk_adresati_1">
    <vt:lpwstr/>
  </property>
  <property fmtid="{D5CDD505-2E9C-101B-9397-08002B2CF9AE}" pid="316" name="FSC#SKEDITIONREG@103.510:zaznam_vonk_adresati_2">
    <vt:lpwstr/>
  </property>
  <property fmtid="{D5CDD505-2E9C-101B-9397-08002B2CF9AE}" pid="317" name="FSC#SKEDITIONREG@103.510:zaznam_vonk_adresati_3">
    <vt:lpwstr/>
  </property>
  <property fmtid="{D5CDD505-2E9C-101B-9397-08002B2CF9AE}" pid="318" name="FSC#SKEDITIONREG@103.510:zaznam_vonk_adresati_4">
    <vt:lpwstr/>
  </property>
  <property fmtid="{D5CDD505-2E9C-101B-9397-08002B2CF9AE}" pid="319" name="FSC#SKEDITIONREG@103.510:zaznam_vonk_adresati_5">
    <vt:lpwstr/>
  </property>
  <property fmtid="{D5CDD505-2E9C-101B-9397-08002B2CF9AE}" pid="320" name="FSC#SKEDITIONREG@103.510:zaznam_vonk_adresati_6">
    <vt:lpwstr/>
  </property>
  <property fmtid="{D5CDD505-2E9C-101B-9397-08002B2CF9AE}" pid="321" name="FSC#SKEDITIONREG@103.510:zaznam_vonk_adresati_7">
    <vt:lpwstr/>
  </property>
  <property fmtid="{D5CDD505-2E9C-101B-9397-08002B2CF9AE}" pid="322" name="FSC#SKEDITIONREG@103.510:zaznam_vonk_adresati_8">
    <vt:lpwstr/>
  </property>
  <property fmtid="{D5CDD505-2E9C-101B-9397-08002B2CF9AE}" pid="323" name="FSC#SKEDITIONREG@103.510:zaznam_vonk_adresati_9">
    <vt:lpwstr/>
  </property>
  <property fmtid="{D5CDD505-2E9C-101B-9397-08002B2CF9AE}" pid="324" name="FSC#SKEDITIONREG@103.510:zaznam_vonk_adresati_10">
    <vt:lpwstr/>
  </property>
  <property fmtid="{D5CDD505-2E9C-101B-9397-08002B2CF9AE}" pid="325" name="FSC#SKEDITIONREG@103.510:zaznam_vonk_adresati_11">
    <vt:lpwstr/>
  </property>
  <property fmtid="{D5CDD505-2E9C-101B-9397-08002B2CF9AE}" pid="326" name="FSC#SKEDITIONREG@103.510:zaznam_vonk_adresati_12">
    <vt:lpwstr/>
  </property>
  <property fmtid="{D5CDD505-2E9C-101B-9397-08002B2CF9AE}" pid="327" name="FSC#SKEDITIONREG@103.510:zaznam_vonk_adresati_13">
    <vt:lpwstr/>
  </property>
  <property fmtid="{D5CDD505-2E9C-101B-9397-08002B2CF9AE}" pid="328" name="FSC#SKEDITIONREG@103.510:zaznam_vonk_adresati_14">
    <vt:lpwstr/>
  </property>
  <property fmtid="{D5CDD505-2E9C-101B-9397-08002B2CF9AE}" pid="329" name="FSC#SKEDITIONREG@103.510:zaznam_vonk_adresati_15">
    <vt:lpwstr/>
  </property>
  <property fmtid="{D5CDD505-2E9C-101B-9397-08002B2CF9AE}" pid="330" name="FSC#SKEDITIONREG@103.510:zaznam_vonk_adresati_16">
    <vt:lpwstr/>
  </property>
  <property fmtid="{D5CDD505-2E9C-101B-9397-08002B2CF9AE}" pid="331" name="FSC#SKEDITIONREG@103.510:zaznam_vonk_adresati_17">
    <vt:lpwstr/>
  </property>
  <property fmtid="{D5CDD505-2E9C-101B-9397-08002B2CF9AE}" pid="332" name="FSC#SKEDITIONREG@103.510:zaznam_vonk_adresati_18">
    <vt:lpwstr/>
  </property>
  <property fmtid="{D5CDD505-2E9C-101B-9397-08002B2CF9AE}" pid="333" name="FSC#SKEDITIONREG@103.510:zaznam_vonk_adresati_19">
    <vt:lpwstr/>
  </property>
  <property fmtid="{D5CDD505-2E9C-101B-9397-08002B2CF9AE}" pid="334" name="FSC#SKEDITIONREG@103.510:zaznam_vonk_adresati_20">
    <vt:lpwstr/>
  </property>
  <property fmtid="{D5CDD505-2E9C-101B-9397-08002B2CF9AE}" pid="335" name="FSC#SKEDITIONREG@103.510:zaznam_vonk_adresati_21">
    <vt:lpwstr/>
  </property>
  <property fmtid="{D5CDD505-2E9C-101B-9397-08002B2CF9AE}" pid="336" name="FSC#SKEDITIONREG@103.510:zaznam_vonk_adresati_22">
    <vt:lpwstr/>
  </property>
  <property fmtid="{D5CDD505-2E9C-101B-9397-08002B2CF9AE}" pid="337" name="FSC#SKEDITIONREG@103.510:zaznam_vonk_adresati_23">
    <vt:lpwstr/>
  </property>
  <property fmtid="{D5CDD505-2E9C-101B-9397-08002B2CF9AE}" pid="338" name="FSC#SKEDITIONREG@103.510:zaznam_vonk_adresati_24">
    <vt:lpwstr/>
  </property>
  <property fmtid="{D5CDD505-2E9C-101B-9397-08002B2CF9AE}" pid="339" name="FSC#SKEDITIONREG@103.510:zaznam_vonk_adresati_25">
    <vt:lpwstr/>
  </property>
  <property fmtid="{D5CDD505-2E9C-101B-9397-08002B2CF9AE}" pid="340" name="FSC#SKEDITIONREG@103.510:zaznam_vonk_adresati_26">
    <vt:lpwstr/>
  </property>
  <property fmtid="{D5CDD505-2E9C-101B-9397-08002B2CF9AE}" pid="341" name="FSC#SKEDITIONREG@103.510:zaznam_vonk_adresati_27">
    <vt:lpwstr/>
  </property>
  <property fmtid="{D5CDD505-2E9C-101B-9397-08002B2CF9AE}" pid="342" name="FSC#SKEDITIONREG@103.510:zaznam_vonk_adresati_28">
    <vt:lpwstr/>
  </property>
  <property fmtid="{D5CDD505-2E9C-101B-9397-08002B2CF9AE}" pid="343" name="FSC#SKEDITIONREG@103.510:zaznam_vonk_adresati_29">
    <vt:lpwstr/>
  </property>
  <property fmtid="{D5CDD505-2E9C-101B-9397-08002B2CF9AE}" pid="344" name="FSC#SKEDITIONREG@103.510:zaznam_vonk_adresati_30">
    <vt:lpwstr/>
  </property>
  <property fmtid="{D5CDD505-2E9C-101B-9397-08002B2CF9AE}" pid="345" name="FSC#SKEDITIONREG@103.510:zaznam_vonk_adresati_31">
    <vt:lpwstr/>
  </property>
  <property fmtid="{D5CDD505-2E9C-101B-9397-08002B2CF9AE}" pid="346" name="FSC#SKEDITIONREG@103.510:zaznam_vonk_adresati_32">
    <vt:lpwstr/>
  </property>
  <property fmtid="{D5CDD505-2E9C-101B-9397-08002B2CF9AE}" pid="347" name="FSC#SKEDITIONREG@103.510:zaznam_vonk_adresati_33">
    <vt:lpwstr/>
  </property>
  <property fmtid="{D5CDD505-2E9C-101B-9397-08002B2CF9AE}" pid="348" name="FSC#SKEDITIONREG@103.510:zaznam_vonk_adresati_34">
    <vt:lpwstr/>
  </property>
  <property fmtid="{D5CDD505-2E9C-101B-9397-08002B2CF9AE}" pid="349" name="FSC#SKEDITIONREG@103.510:zaznam_vonk_adresati_35">
    <vt:lpwstr/>
  </property>
  <property fmtid="{D5CDD505-2E9C-101B-9397-08002B2CF9AE}" pid="350" name="FSC#SKEDITIONREG@103.510:Stazovatel">
    <vt:lpwstr/>
  </property>
  <property fmtid="{D5CDD505-2E9C-101B-9397-08002B2CF9AE}" pid="351" name="FSC#SKEDITIONREG@103.510:ProtiKomu">
    <vt:lpwstr/>
  </property>
  <property fmtid="{D5CDD505-2E9C-101B-9397-08002B2CF9AE}" pid="352" name="FSC#SKEDITIONREG@103.510:EvCisloStaz">
    <vt:lpwstr/>
  </property>
  <property fmtid="{D5CDD505-2E9C-101B-9397-08002B2CF9AE}" pid="353" name="FSC#SKEDITIONREG@103.510:jod_AttrDateSkutocnyDatumVydania">
    <vt:lpwstr/>
  </property>
  <property fmtid="{D5CDD505-2E9C-101B-9397-08002B2CF9AE}" pid="354" name="FSC#SKEDITIONREG@103.510:jod_AttrNumCisloZmeny">
    <vt:lpwstr/>
  </property>
  <property fmtid="{D5CDD505-2E9C-101B-9397-08002B2CF9AE}" pid="355" name="FSC#SKEDITIONREG@103.510:jod_AttrStrRegCisloZaznamu">
    <vt:lpwstr/>
  </property>
  <property fmtid="{D5CDD505-2E9C-101B-9397-08002B2CF9AE}" pid="356" name="FSC#SKEDITIONREG@103.510:jod_cislodoc">
    <vt:lpwstr/>
  </property>
  <property fmtid="{D5CDD505-2E9C-101B-9397-08002B2CF9AE}" pid="357" name="FSC#SKEDITIONREG@103.510:jod_druh">
    <vt:lpwstr/>
  </property>
  <property fmtid="{D5CDD505-2E9C-101B-9397-08002B2CF9AE}" pid="358" name="FSC#SKEDITIONREG@103.510:jod_lu">
    <vt:lpwstr/>
  </property>
  <property fmtid="{D5CDD505-2E9C-101B-9397-08002B2CF9AE}" pid="359" name="FSC#SKEDITIONREG@103.510:jod_nazov">
    <vt:lpwstr/>
  </property>
  <property fmtid="{D5CDD505-2E9C-101B-9397-08002B2CF9AE}" pid="360" name="FSC#SKEDITIONREG@103.510:jod_typ">
    <vt:lpwstr/>
  </property>
  <property fmtid="{D5CDD505-2E9C-101B-9397-08002B2CF9AE}" pid="361" name="FSC#SKEDITIONREG@103.510:jod_zh">
    <vt:lpwstr/>
  </property>
  <property fmtid="{D5CDD505-2E9C-101B-9397-08002B2CF9AE}" pid="362" name="FSC#SKEDITIONREG@103.510:jod_sAttrDatePlatnostDo">
    <vt:lpwstr/>
  </property>
  <property fmtid="{D5CDD505-2E9C-101B-9397-08002B2CF9AE}" pid="363" name="FSC#SKEDITIONREG@103.510:jod_sAttrDatePlatnostOd">
    <vt:lpwstr/>
  </property>
  <property fmtid="{D5CDD505-2E9C-101B-9397-08002B2CF9AE}" pid="364" name="FSC#SKEDITIONREG@103.510:jod_sAttrDateUcinnostDoc">
    <vt:lpwstr/>
  </property>
  <property fmtid="{D5CDD505-2E9C-101B-9397-08002B2CF9AE}" pid="365" name="FSC#SKEDITIONREG@103.510:a_telephone">
    <vt:lpwstr/>
  </property>
  <property fmtid="{D5CDD505-2E9C-101B-9397-08002B2CF9AE}" pid="366" name="FSC#SKEDITIONREG@103.510:a_email">
    <vt:lpwstr/>
  </property>
  <property fmtid="{D5CDD505-2E9C-101B-9397-08002B2CF9AE}" pid="367" name="FSC#SKEDITIONREG@103.510:a_nazovOU">
    <vt:lpwstr/>
  </property>
  <property fmtid="{D5CDD505-2E9C-101B-9397-08002B2CF9AE}" pid="368" name="FSC#SKEDITIONREG@103.510:a_veduciOU">
    <vt:lpwstr/>
  </property>
  <property fmtid="{D5CDD505-2E9C-101B-9397-08002B2CF9AE}" pid="369" name="FSC#SKEDITIONREG@103.510:a_nadradeneOU">
    <vt:lpwstr/>
  </property>
  <property fmtid="{D5CDD505-2E9C-101B-9397-08002B2CF9AE}" pid="370" name="FSC#SKEDITIONREG@103.510:a_veduciOd">
    <vt:lpwstr/>
  </property>
  <property fmtid="{D5CDD505-2E9C-101B-9397-08002B2CF9AE}" pid="371" name="FSC#SKEDITIONREG@103.510:a_komu">
    <vt:lpwstr/>
  </property>
  <property fmtid="{D5CDD505-2E9C-101B-9397-08002B2CF9AE}" pid="372" name="FSC#SKEDITIONREG@103.510:a_nasecislo">
    <vt:lpwstr/>
  </property>
  <property fmtid="{D5CDD505-2E9C-101B-9397-08002B2CF9AE}" pid="373" name="FSC#SKEDITIONREG@103.510:a_riaditelOdboru">
    <vt:lpwstr/>
  </property>
  <property fmtid="{D5CDD505-2E9C-101B-9397-08002B2CF9AE}" pid="374" name="FSC#SKEDITIONREG@103.510:zaz_fileresporg_addrstreet">
    <vt:lpwstr/>
  </property>
  <property fmtid="{D5CDD505-2E9C-101B-9397-08002B2CF9AE}" pid="375" name="FSC#SKEDITIONREG@103.510:zaz_fileresporg_addrzipcode">
    <vt:lpwstr/>
  </property>
  <property fmtid="{D5CDD505-2E9C-101B-9397-08002B2CF9AE}" pid="376" name="FSC#SKEDITIONREG@103.510:zaz_fileresporg_addrcity">
    <vt:lpwstr/>
  </property>
  <property fmtid="{D5CDD505-2E9C-101B-9397-08002B2CF9AE}" pid="377" name="FSC#SKMODSYS@103.500:mdnazov">
    <vt:lpwstr/>
  </property>
  <property fmtid="{D5CDD505-2E9C-101B-9397-08002B2CF9AE}" pid="378" name="FSC#SKMODSYS@103.500:mdfileresp">
    <vt:lpwstr/>
  </property>
  <property fmtid="{D5CDD505-2E9C-101B-9397-08002B2CF9AE}" pid="379" name="FSC#SKMODSYS@103.500:mdfileresporg">
    <vt:lpwstr/>
  </property>
  <property fmtid="{D5CDD505-2E9C-101B-9397-08002B2CF9AE}" pid="380" name="FSC#SKMODSYS@103.500:mdcreateat">
    <vt:lpwstr>19. 10. 2026</vt:lpwstr>
  </property>
  <property fmtid="{D5CDD505-2E9C-101B-9397-08002B2CF9AE}" pid="381" name="FSC#SKCP@103.500:cp_AttrPtrOrgUtvar">
    <vt:lpwstr/>
  </property>
  <property fmtid="{D5CDD505-2E9C-101B-9397-08002B2CF9AE}" pid="382" name="FSC#SKCP@103.500:cp_AttrStrEvCisloCP">
    <vt:lpwstr> </vt:lpwstr>
  </property>
  <property fmtid="{D5CDD505-2E9C-101B-9397-08002B2CF9AE}" pid="383" name="FSC#SKCP@103.500:cp_zamestnanec">
    <vt:lpwstr/>
  </property>
  <property fmtid="{D5CDD505-2E9C-101B-9397-08002B2CF9AE}" pid="384" name="FSC#SKCP@103.500:cpt_miestoRokovania">
    <vt:lpwstr/>
  </property>
  <property fmtid="{D5CDD505-2E9C-101B-9397-08002B2CF9AE}" pid="385" name="FSC#SKCP@103.500:cpt_datumCesty">
    <vt:lpwstr/>
  </property>
  <property fmtid="{D5CDD505-2E9C-101B-9397-08002B2CF9AE}" pid="386" name="FSC#SKCP@103.500:cpt_ucelCesty">
    <vt:lpwstr/>
  </property>
  <property fmtid="{D5CDD505-2E9C-101B-9397-08002B2CF9AE}" pid="387" name="FSC#SKCP@103.500:cpz_miestoRokovania">
    <vt:lpwstr/>
  </property>
  <property fmtid="{D5CDD505-2E9C-101B-9397-08002B2CF9AE}" pid="388" name="FSC#SKCP@103.500:cpz_datumCesty">
    <vt:lpwstr> - </vt:lpwstr>
  </property>
  <property fmtid="{D5CDD505-2E9C-101B-9397-08002B2CF9AE}" pid="389" name="FSC#SKCP@103.500:cpz_ucelCesty">
    <vt:lpwstr/>
  </property>
  <property fmtid="{D5CDD505-2E9C-101B-9397-08002B2CF9AE}" pid="390" name="FSC#SKCP@103.500:cpz_datumVypracovania">
    <vt:lpwstr/>
  </property>
  <property fmtid="{D5CDD505-2E9C-101B-9397-08002B2CF9AE}" pid="391" name="FSC#SKCP@103.500:cpz_datPodpSchv1">
    <vt:lpwstr/>
  </property>
  <property fmtid="{D5CDD505-2E9C-101B-9397-08002B2CF9AE}" pid="392" name="FSC#SKCP@103.500:cpz_datPodpSchv2">
    <vt:lpwstr/>
  </property>
  <property fmtid="{D5CDD505-2E9C-101B-9397-08002B2CF9AE}" pid="393" name="FSC#SKCP@103.500:cpz_datPodpSchv3">
    <vt:lpwstr/>
  </property>
  <property fmtid="{D5CDD505-2E9C-101B-9397-08002B2CF9AE}" pid="394" name="FSC#SKCP@103.500:cpz_PodpSchv1">
    <vt:lpwstr/>
  </property>
  <property fmtid="{D5CDD505-2E9C-101B-9397-08002B2CF9AE}" pid="395" name="FSC#SKCP@103.500:cpz_PodpSchv2">
    <vt:lpwstr/>
  </property>
  <property fmtid="{D5CDD505-2E9C-101B-9397-08002B2CF9AE}" pid="396" name="FSC#SKCP@103.500:cpz_PodpSchv3">
    <vt:lpwstr/>
  </property>
  <property fmtid="{D5CDD505-2E9C-101B-9397-08002B2CF9AE}" pid="397" name="FSC#SKCP@103.500:cpz_Funkcia">
    <vt:lpwstr/>
  </property>
  <property fmtid="{D5CDD505-2E9C-101B-9397-08002B2CF9AE}" pid="398" name="FSC#SKCP@103.500:cp_Spolucestujuci">
    <vt:lpwstr/>
  </property>
  <property fmtid="{D5CDD505-2E9C-101B-9397-08002B2CF9AE}" pid="399" name="FSC#SKNAD@103.500:nad_objname">
    <vt:lpwstr/>
  </property>
  <property fmtid="{D5CDD505-2E9C-101B-9397-08002B2CF9AE}" pid="400" name="FSC#SKNAD@103.500:nad_AttrStrNazov">
    <vt:lpwstr/>
  </property>
  <property fmtid="{D5CDD505-2E9C-101B-9397-08002B2CF9AE}" pid="401" name="FSC#SKNAD@103.500:nad_AttrPtrSpracovatel">
    <vt:lpwstr/>
  </property>
  <property fmtid="{D5CDD505-2E9C-101B-9397-08002B2CF9AE}" pid="402" name="FSC#SKNAD@103.500:nad_AttrPtrGestor1">
    <vt:lpwstr/>
  </property>
  <property fmtid="{D5CDD505-2E9C-101B-9397-08002B2CF9AE}" pid="403" name="FSC#SKNAD@103.500:nad_AttrPtrGestor1Funkcia">
    <vt:lpwstr/>
  </property>
  <property fmtid="{D5CDD505-2E9C-101B-9397-08002B2CF9AE}" pid="404" name="FSC#SKNAD@103.500:nad_AttrPtrGestor1OU">
    <vt:lpwstr/>
  </property>
  <property fmtid="{D5CDD505-2E9C-101B-9397-08002B2CF9AE}" pid="405" name="FSC#SKNAD@103.500:nad_AttrPtrGestor2">
    <vt:lpwstr/>
  </property>
  <property fmtid="{D5CDD505-2E9C-101B-9397-08002B2CF9AE}" pid="406" name="FSC#SKNAD@103.500:nad_AttrPtrGestor2Funkcia">
    <vt:lpwstr/>
  </property>
  <property fmtid="{D5CDD505-2E9C-101B-9397-08002B2CF9AE}" pid="407" name="FSC#SKNAD@103.500:nad_schvalil">
    <vt:lpwstr/>
  </property>
  <property fmtid="{D5CDD505-2E9C-101B-9397-08002B2CF9AE}" pid="408" name="FSC#SKNAD@103.500:nad_schvalilfunkcia">
    <vt:lpwstr/>
  </property>
  <property fmtid="{D5CDD505-2E9C-101B-9397-08002B2CF9AE}" pid="409" name="FSC#SKNAD@103.500:nad_vr">
    <vt:lpwstr/>
  </property>
  <property fmtid="{D5CDD505-2E9C-101B-9397-08002B2CF9AE}" pid="410" name="FSC#SKNAD@103.500:nad_AttrDateDatumPodpisania">
    <vt:lpwstr/>
  </property>
  <property fmtid="{D5CDD505-2E9C-101B-9397-08002B2CF9AE}" pid="411" name="FSC#SKNAD@103.500:nad_pripobjname">
    <vt:lpwstr/>
  </property>
  <property fmtid="{D5CDD505-2E9C-101B-9397-08002B2CF9AE}" pid="412" name="FSC#SKNAD@103.500:nad_pripVytvorilKto">
    <vt:lpwstr/>
  </property>
  <property fmtid="{D5CDD505-2E9C-101B-9397-08002B2CF9AE}" pid="413" name="FSC#SKNAD@103.500:nad_pripVytvorilKedy">
    <vt:lpwstr>19.10.2026, 07:34</vt:lpwstr>
  </property>
  <property fmtid="{D5CDD505-2E9C-101B-9397-08002B2CF9AE}" pid="414" name="FSC#SKNAD@103.500:nad_AttrStrCisloNA">
    <vt:lpwstr/>
  </property>
  <property fmtid="{D5CDD505-2E9C-101B-9397-08002B2CF9AE}" pid="415" name="FSC#SKNAD@103.500:nad_AttrDateUcinnaOd">
    <vt:lpwstr/>
  </property>
  <property fmtid="{D5CDD505-2E9C-101B-9397-08002B2CF9AE}" pid="416" name="FSC#SKNAD@103.500:nad_AttrDateUcinnaDo">
    <vt:lpwstr/>
  </property>
  <property fmtid="{D5CDD505-2E9C-101B-9397-08002B2CF9AE}" pid="417" name="FSC#SKNAD@103.500:nad_AttrPtrPredchadzajuceNA">
    <vt:lpwstr/>
  </property>
  <property fmtid="{D5CDD505-2E9C-101B-9397-08002B2CF9AE}" pid="418" name="FSC#SKNAD@103.500:nad_AttrPtrSpracovatelOU">
    <vt:lpwstr/>
  </property>
  <property fmtid="{D5CDD505-2E9C-101B-9397-08002B2CF9AE}" pid="419" name="FSC#SKNAD@103.500:nad_AttrPtrPatriKNA">
    <vt:lpwstr/>
  </property>
  <property fmtid="{D5CDD505-2E9C-101B-9397-08002B2CF9AE}" pid="420" name="FSC#SKNAD@103.500:nad_AttrIntCisloDodatku">
    <vt:lpwstr/>
  </property>
  <property fmtid="{D5CDD505-2E9C-101B-9397-08002B2CF9AE}" pid="421" name="FSC#SKNAD@103.500:nad_AttrPtrSpracVeduci">
    <vt:lpwstr/>
  </property>
  <property fmtid="{D5CDD505-2E9C-101B-9397-08002B2CF9AE}" pid="422" name="FSC#SKNAD@103.500:nad_AttrPtrSpracVeduciOU">
    <vt:lpwstr/>
  </property>
  <property fmtid="{D5CDD505-2E9C-101B-9397-08002B2CF9AE}" pid="423" name="FSC#SKNAD@103.500:nad_spis">
    <vt:lpwstr/>
  </property>
  <property fmtid="{D5CDD505-2E9C-101B-9397-08002B2CF9AE}" pid="424" name="FSC#SKNAD@103.500:nad_spracovatelfunkcia">
    <vt:lpwstr/>
  </property>
  <property fmtid="{D5CDD505-2E9C-101B-9397-08002B2CF9AE}" pid="425" name="FSC#SKNAD@103.500:nad_AttrDatePlatnostiDo">
    <vt:lpwstr/>
  </property>
  <property fmtid="{D5CDD505-2E9C-101B-9397-08002B2CF9AE}" pid="426" name="FSC#SKNAD@103.500:nad_AttrDatePlatnostiOd">
    <vt:lpwstr/>
  </property>
  <property fmtid="{D5CDD505-2E9C-101B-9397-08002B2CF9AE}" pid="427" name="FSC#SKPUPP@103.500:pupp_riaditelPorady">
    <vt:lpwstr/>
  </property>
  <property fmtid="{D5CDD505-2E9C-101B-9397-08002B2CF9AE}" pid="428" name="FSC#SKPUPP@103.500:pupp_cisloporady">
    <vt:lpwstr/>
  </property>
  <property fmtid="{D5CDD505-2E9C-101B-9397-08002B2CF9AE}" pid="429" name="FSC#SKPUPP@103.500:pupp_konanieOHodine">
    <vt:lpwstr/>
  </property>
  <property fmtid="{D5CDD505-2E9C-101B-9397-08002B2CF9AE}" pid="430" name="FSC#SKPUPP@103.500:pupp_datPorMesiacString">
    <vt:lpwstr/>
  </property>
  <property fmtid="{D5CDD505-2E9C-101B-9397-08002B2CF9AE}" pid="431" name="FSC#SKPUPP@103.500:pupp_datumporady">
    <vt:lpwstr/>
  </property>
  <property fmtid="{D5CDD505-2E9C-101B-9397-08002B2CF9AE}" pid="432" name="FSC#SKPUPP@103.500:pupp_konaniedo">
    <vt:lpwstr/>
  </property>
  <property fmtid="{D5CDD505-2E9C-101B-9397-08002B2CF9AE}" pid="433" name="FSC#SKPUPP@103.500:pupp_konanieod">
    <vt:lpwstr/>
  </property>
  <property fmtid="{D5CDD505-2E9C-101B-9397-08002B2CF9AE}" pid="434" name="FSC#SKPUPP@103.500:pupp_menopp">
    <vt:lpwstr/>
  </property>
  <property fmtid="{D5CDD505-2E9C-101B-9397-08002B2CF9AE}" pid="435" name="FSC#SKPUPP@103.500:pupp_miestokonania">
    <vt:lpwstr/>
  </property>
  <property fmtid="{D5CDD505-2E9C-101B-9397-08002B2CF9AE}" pid="436" name="FSC#SKPUPP@103.500:pupp_temaporady">
    <vt:lpwstr/>
  </property>
  <property fmtid="{D5CDD505-2E9C-101B-9397-08002B2CF9AE}" pid="437" name="FSC#SKPUPP@103.500:pupp_ucastnici">
    <vt:lpwstr/>
  </property>
  <property fmtid="{D5CDD505-2E9C-101B-9397-08002B2CF9AE}" pid="438" name="FSC#SKPUPP@103.500:pupp_ulohy">
    <vt:lpwstr>test</vt:lpwstr>
  </property>
  <property fmtid="{D5CDD505-2E9C-101B-9397-08002B2CF9AE}" pid="439" name="FSC#SKPUPP@103.500:pupp_ucastnici_funkcie">
    <vt:lpwstr/>
  </property>
  <property fmtid="{D5CDD505-2E9C-101B-9397-08002B2CF9AE}" pid="440" name="FSC#SKPUPP@103.500:pupp_nazov_ulohy">
    <vt:lpwstr/>
  </property>
  <property fmtid="{D5CDD505-2E9C-101B-9397-08002B2CF9AE}" pid="441" name="FSC#SKPUPP@103.500:pupp_cislo_ulohy">
    <vt:lpwstr/>
  </property>
  <property fmtid="{D5CDD505-2E9C-101B-9397-08002B2CF9AE}" pid="442" name="FSC#SKPUPP@103.500:pupp_riesitel_ulohy">
    <vt:lpwstr/>
  </property>
  <property fmtid="{D5CDD505-2E9C-101B-9397-08002B2CF9AE}" pid="443" name="FSC#SKPUPP@103.500:pupp_vybavit_ulohy">
    <vt:lpwstr/>
  </property>
  <property fmtid="{D5CDD505-2E9C-101B-9397-08002B2CF9AE}" pid="444" name="FSC#SKPUPP@103.500:pupp_orgutvar">
    <vt:lpwstr/>
  </property>
  <property fmtid="{D5CDD505-2E9C-101B-9397-08002B2CF9AE}" pid="445" name="FSC#COOELAK@1.1001:Subject">
    <vt:lpwstr/>
  </property>
  <property fmtid="{D5CDD505-2E9C-101B-9397-08002B2CF9AE}" pid="446" name="FSC#COOELAK@1.1001:FileReference">
    <vt:lpwstr/>
  </property>
  <property fmtid="{D5CDD505-2E9C-101B-9397-08002B2CF9AE}" pid="447" name="FSC#COOELAK@1.1001:FileRefYear">
    <vt:lpwstr/>
  </property>
  <property fmtid="{D5CDD505-2E9C-101B-9397-08002B2CF9AE}" pid="448" name="FSC#COOELAK@1.1001:FileRefOrdinal">
    <vt:lpwstr/>
  </property>
  <property fmtid="{D5CDD505-2E9C-101B-9397-08002B2CF9AE}" pid="449" name="FSC#COOELAK@1.1001:FileRefOU">
    <vt:lpwstr/>
  </property>
  <property fmtid="{D5CDD505-2E9C-101B-9397-08002B2CF9AE}" pid="450" name="FSC#COOELAK@1.1001:Organization">
    <vt:lpwstr/>
  </property>
  <property fmtid="{D5CDD505-2E9C-101B-9397-08002B2CF9AE}" pid="451" name="FSC#COOELAK@1.1001:Owner">
    <vt:lpwstr>Mgr. Zuzana Tarabíková</vt:lpwstr>
  </property>
  <property fmtid="{D5CDD505-2E9C-101B-9397-08002B2CF9AE}" pid="452" name="FSC#COOELAK@1.1001:OwnerExtension">
    <vt:lpwstr/>
  </property>
  <property fmtid="{D5CDD505-2E9C-101B-9397-08002B2CF9AE}" pid="453" name="FSC#COOELAK@1.1001:OwnerFaxExtension">
    <vt:lpwstr/>
  </property>
  <property fmtid="{D5CDD505-2E9C-101B-9397-08002B2CF9AE}" pid="454" name="FSC#COOELAK@1.1001:DispatchedBy">
    <vt:lpwstr/>
  </property>
  <property fmtid="{D5CDD505-2E9C-101B-9397-08002B2CF9AE}" pid="455" name="FSC#COOELAK@1.1001:DispatchedAt">
    <vt:lpwstr/>
  </property>
  <property fmtid="{D5CDD505-2E9C-101B-9397-08002B2CF9AE}" pid="456" name="FSC#COOELAK@1.1001:ApprovedBy">
    <vt:lpwstr/>
  </property>
  <property fmtid="{D5CDD505-2E9C-101B-9397-08002B2CF9AE}" pid="457" name="FSC#COOELAK@1.1001:ApprovedAt">
    <vt:lpwstr/>
  </property>
  <property fmtid="{D5CDD505-2E9C-101B-9397-08002B2CF9AE}" pid="458" name="FSC#COOELAK@1.1001:Department">
    <vt:lpwstr>SL (SEKCIA LEGISLATÍVY A PRÁVNYCH SLUŽIEB MV SR)</vt:lpwstr>
  </property>
  <property fmtid="{D5CDD505-2E9C-101B-9397-08002B2CF9AE}" pid="459" name="FSC#COOELAK@1.1001:CreatedAt">
    <vt:lpwstr>19.10.2026</vt:lpwstr>
  </property>
  <property fmtid="{D5CDD505-2E9C-101B-9397-08002B2CF9AE}" pid="460" name="FSC#COOELAK@1.1001:OU">
    <vt:lpwstr>SL (SEKCIA LEGISLATÍVY A PRÁVNYCH SLUŽIEB MV SR)</vt:lpwstr>
  </property>
  <property fmtid="{D5CDD505-2E9C-101B-9397-08002B2CF9AE}" pid="461" name="FSC#COOELAK@1.1001:Priority">
    <vt:lpwstr> ()</vt:lpwstr>
  </property>
  <property fmtid="{D5CDD505-2E9C-101B-9397-08002B2CF9AE}" pid="462" name="FSC#COOELAK@1.1001:ObjBarCode">
    <vt:lpwstr>*COO.2176.360.2.2550467*</vt:lpwstr>
  </property>
  <property fmtid="{D5CDD505-2E9C-101B-9397-08002B2CF9AE}" pid="463" name="FSC#COOELAK@1.1001:RefBarCode">
    <vt:lpwstr/>
  </property>
  <property fmtid="{D5CDD505-2E9C-101B-9397-08002B2CF9AE}" pid="464" name="FSC#COOELAK@1.1001:FileRefBarCode">
    <vt:lpwstr>**</vt:lpwstr>
  </property>
  <property fmtid="{D5CDD505-2E9C-101B-9397-08002B2CF9AE}" pid="465" name="FSC#COOELAK@1.1001:ExternalRef">
    <vt:lpwstr/>
  </property>
  <property fmtid="{D5CDD505-2E9C-101B-9397-08002B2CF9AE}" pid="466" name="FSC#COOELAK@1.1001:IncomingNumber">
    <vt:lpwstr/>
  </property>
  <property fmtid="{D5CDD505-2E9C-101B-9397-08002B2CF9AE}" pid="467" name="FSC#COOELAK@1.1001:IncomingSubject">
    <vt:lpwstr/>
  </property>
  <property fmtid="{D5CDD505-2E9C-101B-9397-08002B2CF9AE}" pid="468" name="FSC#COOELAK@1.1001:ProcessResponsible">
    <vt:lpwstr/>
  </property>
  <property fmtid="{D5CDD505-2E9C-101B-9397-08002B2CF9AE}" pid="469" name="FSC#COOELAK@1.1001:ProcessResponsiblePhone">
    <vt:lpwstr/>
  </property>
  <property fmtid="{D5CDD505-2E9C-101B-9397-08002B2CF9AE}" pid="470" name="FSC#COOELAK@1.1001:ProcessResponsibleMail">
    <vt:lpwstr/>
  </property>
  <property fmtid="{D5CDD505-2E9C-101B-9397-08002B2CF9AE}" pid="471" name="FSC#COOELAK@1.1001:ProcessResponsibleFax">
    <vt:lpwstr/>
  </property>
  <property fmtid="{D5CDD505-2E9C-101B-9397-08002B2CF9AE}" pid="472" name="FSC#COOELAK@1.1001:ApproverFirstName">
    <vt:lpwstr/>
  </property>
  <property fmtid="{D5CDD505-2E9C-101B-9397-08002B2CF9AE}" pid="473" name="FSC#COOELAK@1.1001:ApproverSurName">
    <vt:lpwstr/>
  </property>
  <property fmtid="{D5CDD505-2E9C-101B-9397-08002B2CF9AE}" pid="474" name="FSC#COOELAK@1.1001:ApproverTitle">
    <vt:lpwstr/>
  </property>
  <property fmtid="{D5CDD505-2E9C-101B-9397-08002B2CF9AE}" pid="475" name="FSC#COOELAK@1.1001:ExternalDate">
    <vt:lpwstr/>
  </property>
  <property fmtid="{D5CDD505-2E9C-101B-9397-08002B2CF9AE}" pid="476" name="FSC#COOELAK@1.1001:SettlementApprovedAt">
    <vt:lpwstr/>
  </property>
  <property fmtid="{D5CDD505-2E9C-101B-9397-08002B2CF9AE}" pid="477" name="FSC#COOELAK@1.1001:BaseNumber">
    <vt:lpwstr/>
  </property>
  <property fmtid="{D5CDD505-2E9C-101B-9397-08002B2CF9AE}" pid="478" name="FSC#COOELAK@1.1001:CurrentUserRolePos">
    <vt:lpwstr>referent 3</vt:lpwstr>
  </property>
  <property fmtid="{D5CDD505-2E9C-101B-9397-08002B2CF9AE}" pid="479" name="FSC#COOELAK@1.1001:CurrentUserEmail">
    <vt:lpwstr>Juraj.Benik@minv.sk</vt:lpwstr>
  </property>
  <property fmtid="{D5CDD505-2E9C-101B-9397-08002B2CF9AE}" pid="480" name="FSC#ELAKGOV@1.1001:PersonalSubjGender">
    <vt:lpwstr/>
  </property>
  <property fmtid="{D5CDD505-2E9C-101B-9397-08002B2CF9AE}" pid="481" name="FSC#ELAKGOV@1.1001:PersonalSubjFirstName">
    <vt:lpwstr/>
  </property>
  <property fmtid="{D5CDD505-2E9C-101B-9397-08002B2CF9AE}" pid="482" name="FSC#ELAKGOV@1.1001:PersonalSubjSurName">
    <vt:lpwstr/>
  </property>
  <property fmtid="{D5CDD505-2E9C-101B-9397-08002B2CF9AE}" pid="483" name="FSC#ELAKGOV@1.1001:PersonalSubjSalutation">
    <vt:lpwstr/>
  </property>
  <property fmtid="{D5CDD505-2E9C-101B-9397-08002B2CF9AE}" pid="484" name="FSC#ELAKGOV@1.1001:PersonalSubjAddress">
    <vt:lpwstr/>
  </property>
  <property fmtid="{D5CDD505-2E9C-101B-9397-08002B2CF9AE}" pid="485" name="FSC#ATSTATECFG@1.1001:Office">
    <vt:lpwstr/>
  </property>
  <property fmtid="{D5CDD505-2E9C-101B-9397-08002B2CF9AE}" pid="486" name="FSC#ATSTATECFG@1.1001:Agent">
    <vt:lpwstr/>
  </property>
  <property fmtid="{D5CDD505-2E9C-101B-9397-08002B2CF9AE}" pid="487" name="FSC#ATSTATECFG@1.1001:AgentPhone">
    <vt:lpwstr/>
  </property>
  <property fmtid="{D5CDD505-2E9C-101B-9397-08002B2CF9AE}" pid="488" name="FSC#ATSTATECFG@1.1001:DepartmentFax">
    <vt:lpwstr/>
  </property>
  <property fmtid="{D5CDD505-2E9C-101B-9397-08002B2CF9AE}" pid="489" name="FSC#ATSTATECFG@1.1001:DepartmentEmail">
    <vt:lpwstr/>
  </property>
  <property fmtid="{D5CDD505-2E9C-101B-9397-08002B2CF9AE}" pid="490" name="FSC#ATSTATECFG@1.1001:SubfileDate">
    <vt:lpwstr/>
  </property>
  <property fmtid="{D5CDD505-2E9C-101B-9397-08002B2CF9AE}" pid="491" name="FSC#ATSTATECFG@1.1001:SubfileSubject">
    <vt:lpwstr/>
  </property>
  <property fmtid="{D5CDD505-2E9C-101B-9397-08002B2CF9AE}" pid="492" name="FSC#ATSTATECFG@1.1001:DepartmentZipCode">
    <vt:lpwstr/>
  </property>
  <property fmtid="{D5CDD505-2E9C-101B-9397-08002B2CF9AE}" pid="493" name="FSC#ATSTATECFG@1.1001:DepartmentCountry">
    <vt:lpwstr/>
  </property>
  <property fmtid="{D5CDD505-2E9C-101B-9397-08002B2CF9AE}" pid="494" name="FSC#ATSTATECFG@1.1001:DepartmentCity">
    <vt:lpwstr/>
  </property>
  <property fmtid="{D5CDD505-2E9C-101B-9397-08002B2CF9AE}" pid="495" name="FSC#ATSTATECFG@1.1001:DepartmentStreet">
    <vt:lpwstr/>
  </property>
  <property fmtid="{D5CDD505-2E9C-101B-9397-08002B2CF9AE}" pid="496" name="FSC#CCAPRECONFIGG@15.1001:DepartmentON">
    <vt:lpwstr/>
  </property>
  <property fmtid="{D5CDD505-2E9C-101B-9397-08002B2CF9AE}" pid="497" name="FSC#CCAPRECONFIGG@15.1001:DepartmentWebsite">
    <vt:lpwstr/>
  </property>
  <property fmtid="{D5CDD505-2E9C-101B-9397-08002B2CF9AE}" pid="498" name="FSC#ATSTATECFG@1.1001:DepartmentDVR">
    <vt:lpwstr/>
  </property>
  <property fmtid="{D5CDD505-2E9C-101B-9397-08002B2CF9AE}" pid="499" name="FSC#ATSTATECFG@1.1001:DepartmentUID">
    <vt:lpwstr/>
  </property>
  <property fmtid="{D5CDD505-2E9C-101B-9397-08002B2CF9AE}" pid="500" name="FSC#ATSTATECFG@1.1001:SubfileReference">
    <vt:lpwstr/>
  </property>
  <property fmtid="{D5CDD505-2E9C-101B-9397-08002B2CF9AE}" pid="501" name="FSC#ATSTATECFG@1.1001:Clause">
    <vt:lpwstr/>
  </property>
  <property fmtid="{D5CDD505-2E9C-101B-9397-08002B2CF9AE}" pid="502" name="FSC#ATSTATECFG@1.1001:ApprovedSignature">
    <vt:lpwstr/>
  </property>
  <property fmtid="{D5CDD505-2E9C-101B-9397-08002B2CF9AE}" pid="503" name="FSC#ATSTATECFG@1.1001:BankAccount">
    <vt:lpwstr/>
  </property>
  <property fmtid="{D5CDD505-2E9C-101B-9397-08002B2CF9AE}" pid="504" name="FSC#ATSTATECFG@1.1001:BankAccountOwner">
    <vt:lpwstr/>
  </property>
  <property fmtid="{D5CDD505-2E9C-101B-9397-08002B2CF9AE}" pid="505" name="FSC#ATSTATECFG@1.1001:BankInstitute">
    <vt:lpwstr/>
  </property>
  <property fmtid="{D5CDD505-2E9C-101B-9397-08002B2CF9AE}" pid="506" name="FSC#ATSTATECFG@1.1001:BankAccountID">
    <vt:lpwstr/>
  </property>
  <property fmtid="{D5CDD505-2E9C-101B-9397-08002B2CF9AE}" pid="507" name="FSC#ATSTATECFG@1.1001:BankAccountIBAN">
    <vt:lpwstr/>
  </property>
  <property fmtid="{D5CDD505-2E9C-101B-9397-08002B2CF9AE}" pid="508" name="FSC#ATSTATECFG@1.1001:BankAccountBIC">
    <vt:lpwstr/>
  </property>
  <property fmtid="{D5CDD505-2E9C-101B-9397-08002B2CF9AE}" pid="509" name="FSC#ATSTATECFG@1.1001:BankName">
    <vt:lpwstr/>
  </property>
  <property fmtid="{D5CDD505-2E9C-101B-9397-08002B2CF9AE}" pid="510" name="FSC#COOELAK@1.1001:ObjectAddressees">
    <vt:lpwstr/>
  </property>
  <property fmtid="{D5CDD505-2E9C-101B-9397-08002B2CF9AE}" pid="511" name="FSC#COOELAK@1.1001:replyreference">
    <vt:lpwstr/>
  </property>
  <property fmtid="{D5CDD505-2E9C-101B-9397-08002B2CF9AE}" pid="512" name="FSC#COOELAK@1.1001:OfficeHours">
    <vt:lpwstr/>
  </property>
  <property fmtid="{D5CDD505-2E9C-101B-9397-08002B2CF9AE}" pid="513" name="FSC#COOELAK@1.1001:FileRefOULong">
    <vt:lpwstr/>
  </property>
  <property fmtid="{D5CDD505-2E9C-101B-9397-08002B2CF9AE}" pid="514" name="FSC#COOSYSTEM@1.1:Container">
    <vt:lpwstr>COO.2176.360.2.2550467</vt:lpwstr>
  </property>
  <property fmtid="{D5CDD505-2E9C-101B-9397-08002B2CF9AE}" pid="515" name="FSC#FSCFOLIO@1.1001:docpropproject">
    <vt:lpwstr/>
  </property>
</Properties>
</file>