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8C161" w14:textId="77777777" w:rsidR="0032122F" w:rsidRPr="00287C7E" w:rsidRDefault="0032122F" w:rsidP="003212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C7E">
        <w:rPr>
          <w:rFonts w:ascii="Times New Roman" w:hAnsi="Times New Roman" w:cs="Times New Roman"/>
          <w:b/>
          <w:sz w:val="24"/>
          <w:szCs w:val="24"/>
        </w:rPr>
        <w:t>DOLOŽKA ZLUČITEĽNOSTI</w:t>
      </w:r>
    </w:p>
    <w:p w14:paraId="6FBF68FF" w14:textId="20A13A55" w:rsidR="0032122F" w:rsidRPr="00287C7E" w:rsidRDefault="0032122F" w:rsidP="003212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C7E">
        <w:rPr>
          <w:rFonts w:ascii="Times New Roman" w:hAnsi="Times New Roman" w:cs="Times New Roman"/>
          <w:b/>
          <w:sz w:val="24"/>
          <w:szCs w:val="24"/>
        </w:rPr>
        <w:t xml:space="preserve">návrhu </w:t>
      </w:r>
      <w:r w:rsidR="005D1668">
        <w:rPr>
          <w:rFonts w:ascii="Times New Roman" w:hAnsi="Times New Roman" w:cs="Times New Roman"/>
          <w:b/>
          <w:sz w:val="24"/>
          <w:szCs w:val="24"/>
        </w:rPr>
        <w:t>zákona</w:t>
      </w:r>
      <w:r w:rsidRPr="00287C7E">
        <w:rPr>
          <w:rFonts w:ascii="Times New Roman" w:hAnsi="Times New Roman" w:cs="Times New Roman"/>
          <w:b/>
          <w:sz w:val="24"/>
          <w:szCs w:val="24"/>
        </w:rPr>
        <w:t xml:space="preserve"> s právom Európskej únie</w:t>
      </w:r>
    </w:p>
    <w:p w14:paraId="1D2BF8C6" w14:textId="77777777" w:rsidR="0032122F" w:rsidRPr="00287C7E" w:rsidRDefault="0032122F" w:rsidP="003212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F37A67" w14:textId="4BC7B7E4" w:rsidR="0032122F" w:rsidRPr="00287C7E" w:rsidRDefault="0032122F" w:rsidP="0032122F">
      <w:p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1.</w:t>
      </w:r>
      <w:r w:rsidRPr="00287C7E">
        <w:rPr>
          <w:rFonts w:ascii="Times New Roman" w:hAnsi="Times New Roman" w:cs="Times New Roman"/>
          <w:sz w:val="24"/>
          <w:szCs w:val="24"/>
        </w:rPr>
        <w:tab/>
      </w:r>
      <w:r w:rsidRPr="00287C7E">
        <w:rPr>
          <w:rFonts w:ascii="Times New Roman" w:hAnsi="Times New Roman" w:cs="Times New Roman"/>
          <w:b/>
          <w:sz w:val="24"/>
          <w:szCs w:val="24"/>
        </w:rPr>
        <w:t xml:space="preserve">Navrhovateľ </w:t>
      </w:r>
      <w:r w:rsidR="00143149">
        <w:rPr>
          <w:rFonts w:ascii="Times New Roman" w:hAnsi="Times New Roman" w:cs="Times New Roman"/>
          <w:b/>
          <w:sz w:val="24"/>
          <w:szCs w:val="24"/>
        </w:rPr>
        <w:t>zákona</w:t>
      </w:r>
      <w:r w:rsidRPr="00287C7E">
        <w:rPr>
          <w:rFonts w:ascii="Times New Roman" w:hAnsi="Times New Roman" w:cs="Times New Roman"/>
          <w:b/>
          <w:sz w:val="24"/>
          <w:szCs w:val="24"/>
        </w:rPr>
        <w:t>:</w:t>
      </w:r>
      <w:r w:rsidRPr="00287C7E">
        <w:rPr>
          <w:rFonts w:ascii="Times New Roman" w:hAnsi="Times New Roman" w:cs="Times New Roman"/>
          <w:sz w:val="24"/>
          <w:szCs w:val="24"/>
        </w:rPr>
        <w:t xml:space="preserve"> Ministerstvo zdra</w:t>
      </w:r>
      <w:r w:rsidR="0004567C" w:rsidRPr="00287C7E">
        <w:rPr>
          <w:rFonts w:ascii="Times New Roman" w:hAnsi="Times New Roman" w:cs="Times New Roman"/>
          <w:sz w:val="24"/>
          <w:szCs w:val="24"/>
        </w:rPr>
        <w:t>votníctva Slovenskej republiky</w:t>
      </w:r>
      <w:r w:rsidR="0004567C" w:rsidRPr="00287C7E">
        <w:rPr>
          <w:rFonts w:ascii="Times New Roman" w:hAnsi="Times New Roman" w:cs="Times New Roman"/>
          <w:sz w:val="24"/>
          <w:szCs w:val="24"/>
        </w:rPr>
        <w:cr/>
      </w:r>
    </w:p>
    <w:p w14:paraId="1FF72408" w14:textId="27461397" w:rsidR="005D1668" w:rsidRDefault="0032122F" w:rsidP="00361321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2.</w:t>
      </w:r>
      <w:r w:rsidRPr="00287C7E">
        <w:rPr>
          <w:rFonts w:ascii="Times New Roman" w:hAnsi="Times New Roman" w:cs="Times New Roman"/>
          <w:sz w:val="24"/>
          <w:szCs w:val="24"/>
        </w:rPr>
        <w:tab/>
      </w:r>
      <w:r w:rsidRPr="00287C7E">
        <w:rPr>
          <w:rFonts w:ascii="Times New Roman" w:hAnsi="Times New Roman" w:cs="Times New Roman"/>
          <w:b/>
          <w:sz w:val="24"/>
          <w:szCs w:val="24"/>
        </w:rPr>
        <w:t xml:space="preserve">Názov návrhu </w:t>
      </w:r>
      <w:r w:rsidR="005D1668">
        <w:rPr>
          <w:rFonts w:ascii="Times New Roman" w:hAnsi="Times New Roman" w:cs="Times New Roman"/>
          <w:b/>
          <w:sz w:val="24"/>
          <w:szCs w:val="24"/>
        </w:rPr>
        <w:t>zákona</w:t>
      </w:r>
      <w:r w:rsidRPr="00287C7E">
        <w:rPr>
          <w:rFonts w:ascii="Times New Roman" w:hAnsi="Times New Roman" w:cs="Times New Roman"/>
          <w:b/>
          <w:sz w:val="24"/>
          <w:szCs w:val="24"/>
        </w:rPr>
        <w:t>:</w:t>
      </w:r>
      <w:r w:rsidRPr="00287C7E">
        <w:rPr>
          <w:rFonts w:ascii="Times New Roman" w:hAnsi="Times New Roman" w:cs="Times New Roman"/>
          <w:sz w:val="24"/>
          <w:szCs w:val="24"/>
        </w:rPr>
        <w:t xml:space="preserve"> </w:t>
      </w:r>
      <w:r w:rsidR="005D1668">
        <w:rPr>
          <w:rFonts w:ascii="Times New Roman" w:hAnsi="Times New Roman" w:cs="Times New Roman"/>
          <w:sz w:val="24"/>
          <w:szCs w:val="24"/>
        </w:rPr>
        <w:t>zákon, ktorým sa mení</w:t>
      </w:r>
      <w:r w:rsidR="00361321" w:rsidRPr="00287C7E">
        <w:rPr>
          <w:rFonts w:ascii="Times New Roman" w:hAnsi="Times New Roman" w:cs="Times New Roman"/>
          <w:sz w:val="24"/>
          <w:szCs w:val="24"/>
        </w:rPr>
        <w:t xml:space="preserve"> </w:t>
      </w:r>
      <w:r w:rsidR="00361321" w:rsidRPr="00C601C0">
        <w:rPr>
          <w:rFonts w:ascii="Times New Roman" w:hAnsi="Times New Roman" w:cs="Times New Roman"/>
          <w:sz w:val="24"/>
          <w:szCs w:val="24"/>
        </w:rPr>
        <w:t>a</w:t>
      </w:r>
      <w:r w:rsidR="005D1668" w:rsidRPr="00C601C0">
        <w:rPr>
          <w:rFonts w:ascii="Times New Roman" w:hAnsi="Times New Roman" w:cs="Times New Roman"/>
          <w:sz w:val="24"/>
          <w:szCs w:val="24"/>
        </w:rPr>
        <w:t> </w:t>
      </w:r>
      <w:r w:rsidR="00361321" w:rsidRPr="00C601C0">
        <w:rPr>
          <w:rFonts w:ascii="Times New Roman" w:hAnsi="Times New Roman" w:cs="Times New Roman"/>
          <w:sz w:val="24"/>
          <w:szCs w:val="24"/>
        </w:rPr>
        <w:t>dopĺňa</w:t>
      </w:r>
      <w:r w:rsidR="005D1668">
        <w:rPr>
          <w:rFonts w:ascii="Times New Roman" w:hAnsi="Times New Roman" w:cs="Times New Roman"/>
          <w:sz w:val="24"/>
          <w:szCs w:val="24"/>
        </w:rPr>
        <w:t xml:space="preserve"> </w:t>
      </w:r>
      <w:r w:rsidR="005D1668" w:rsidRPr="005D1668">
        <w:rPr>
          <w:rFonts w:ascii="Times New Roman" w:hAnsi="Times New Roman" w:cs="Times New Roman"/>
          <w:sz w:val="24"/>
          <w:szCs w:val="24"/>
        </w:rPr>
        <w:t>zákon č. 578/2004 Z. z. o poskytovateľoch zdravotnej starostlivosti, zdravotníckych pracovníkoch, stavovských organizáciách v zdravotníctve a o zmene a doplnení niektorých zákonov v znení neskorších predpisov</w:t>
      </w:r>
    </w:p>
    <w:p w14:paraId="6D18CEAC" w14:textId="77777777" w:rsidR="005D1668" w:rsidRDefault="005D1668" w:rsidP="00361321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00DC58BF" w14:textId="2066B7F1" w:rsidR="0032122F" w:rsidRPr="00287C7E" w:rsidRDefault="0032122F" w:rsidP="0032122F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3.</w:t>
      </w:r>
      <w:r w:rsidRPr="00287C7E">
        <w:rPr>
          <w:rFonts w:ascii="Times New Roman" w:hAnsi="Times New Roman" w:cs="Times New Roman"/>
          <w:sz w:val="24"/>
          <w:szCs w:val="24"/>
        </w:rPr>
        <w:tab/>
      </w:r>
      <w:r w:rsidRPr="00287C7E">
        <w:rPr>
          <w:rFonts w:ascii="Times New Roman" w:hAnsi="Times New Roman" w:cs="Times New Roman"/>
          <w:b/>
          <w:sz w:val="24"/>
          <w:szCs w:val="24"/>
        </w:rPr>
        <w:t xml:space="preserve">Predmet návrhu </w:t>
      </w:r>
      <w:r w:rsidR="00143149">
        <w:rPr>
          <w:rFonts w:ascii="Times New Roman" w:hAnsi="Times New Roman" w:cs="Times New Roman"/>
          <w:b/>
          <w:sz w:val="24"/>
          <w:szCs w:val="24"/>
        </w:rPr>
        <w:t>zákona</w:t>
      </w:r>
      <w:r w:rsidRPr="00287C7E">
        <w:rPr>
          <w:rFonts w:ascii="Times New Roman" w:hAnsi="Times New Roman" w:cs="Times New Roman"/>
          <w:b/>
          <w:sz w:val="24"/>
          <w:szCs w:val="24"/>
        </w:rPr>
        <w:t xml:space="preserve"> je upravený v práve Európskej únie</w:t>
      </w:r>
    </w:p>
    <w:p w14:paraId="2045495E" w14:textId="77777777" w:rsidR="0032122F" w:rsidRPr="00287C7E" w:rsidRDefault="0032122F" w:rsidP="003212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1C548C" w14:textId="77777777" w:rsidR="0032122F" w:rsidRPr="00287C7E" w:rsidRDefault="0032122F" w:rsidP="0032122F">
      <w:pPr>
        <w:tabs>
          <w:tab w:val="left" w:pos="851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a)</w:t>
      </w:r>
      <w:r w:rsidRPr="00287C7E">
        <w:rPr>
          <w:rFonts w:ascii="Times New Roman" w:hAnsi="Times New Roman" w:cs="Times New Roman"/>
          <w:sz w:val="24"/>
          <w:szCs w:val="24"/>
        </w:rPr>
        <w:tab/>
        <w:t>v primárnom práve</w:t>
      </w:r>
    </w:p>
    <w:p w14:paraId="62E44314" w14:textId="77777777" w:rsidR="0032122F" w:rsidRPr="00287C7E" w:rsidRDefault="0032122F" w:rsidP="003212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EE5202" w14:textId="2E97F7E6" w:rsidR="0032122F" w:rsidRPr="00287C7E" w:rsidRDefault="0032122F" w:rsidP="0032122F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 xml:space="preserve">Zmluva o fungovaní Európskej únie čl. 4 ods. 2 písm. a), čl. 45, </w:t>
      </w:r>
      <w:r w:rsidR="0061021C">
        <w:rPr>
          <w:rFonts w:ascii="Times New Roman" w:hAnsi="Times New Roman" w:cs="Times New Roman"/>
          <w:sz w:val="24"/>
          <w:szCs w:val="24"/>
        </w:rPr>
        <w:t xml:space="preserve">čl. </w:t>
      </w:r>
      <w:r w:rsidRPr="00287C7E">
        <w:rPr>
          <w:rFonts w:ascii="Times New Roman" w:hAnsi="Times New Roman" w:cs="Times New Roman"/>
          <w:sz w:val="24"/>
          <w:szCs w:val="24"/>
        </w:rPr>
        <w:t xml:space="preserve">49, </w:t>
      </w:r>
      <w:r w:rsidR="0061021C">
        <w:rPr>
          <w:rFonts w:ascii="Times New Roman" w:hAnsi="Times New Roman" w:cs="Times New Roman"/>
          <w:sz w:val="24"/>
          <w:szCs w:val="24"/>
        </w:rPr>
        <w:t xml:space="preserve">čl. </w:t>
      </w:r>
      <w:r w:rsidRPr="00287C7E">
        <w:rPr>
          <w:rFonts w:ascii="Times New Roman" w:hAnsi="Times New Roman" w:cs="Times New Roman"/>
          <w:sz w:val="24"/>
          <w:szCs w:val="24"/>
        </w:rPr>
        <w:t xml:space="preserve">56, </w:t>
      </w:r>
      <w:r w:rsidR="0061021C">
        <w:rPr>
          <w:rFonts w:ascii="Times New Roman" w:hAnsi="Times New Roman" w:cs="Times New Roman"/>
          <w:sz w:val="24"/>
          <w:szCs w:val="24"/>
        </w:rPr>
        <w:t xml:space="preserve">čl. </w:t>
      </w:r>
      <w:r w:rsidRPr="00287C7E">
        <w:rPr>
          <w:rFonts w:ascii="Times New Roman" w:hAnsi="Times New Roman" w:cs="Times New Roman"/>
          <w:sz w:val="24"/>
          <w:szCs w:val="24"/>
        </w:rPr>
        <w:t xml:space="preserve">78, </w:t>
      </w:r>
      <w:r w:rsidR="0061021C">
        <w:rPr>
          <w:rFonts w:ascii="Times New Roman" w:hAnsi="Times New Roman" w:cs="Times New Roman"/>
          <w:sz w:val="24"/>
          <w:szCs w:val="24"/>
        </w:rPr>
        <w:t xml:space="preserve">čl. </w:t>
      </w:r>
      <w:r w:rsidRPr="00287C7E">
        <w:rPr>
          <w:rFonts w:ascii="Times New Roman" w:hAnsi="Times New Roman" w:cs="Times New Roman"/>
          <w:sz w:val="24"/>
          <w:szCs w:val="24"/>
        </w:rPr>
        <w:t>79 a</w:t>
      </w:r>
      <w:r w:rsidR="009163E4">
        <w:rPr>
          <w:rFonts w:ascii="Times New Roman" w:hAnsi="Times New Roman" w:cs="Times New Roman"/>
          <w:sz w:val="24"/>
          <w:szCs w:val="24"/>
        </w:rPr>
        <w:t> </w:t>
      </w:r>
      <w:r w:rsidRPr="00287C7E">
        <w:rPr>
          <w:rFonts w:ascii="Times New Roman" w:hAnsi="Times New Roman" w:cs="Times New Roman"/>
          <w:sz w:val="24"/>
          <w:szCs w:val="24"/>
        </w:rPr>
        <w:t>165</w:t>
      </w:r>
      <w:r w:rsidR="009163E4">
        <w:rPr>
          <w:rFonts w:ascii="Times New Roman" w:hAnsi="Times New Roman" w:cs="Times New Roman"/>
          <w:sz w:val="24"/>
          <w:szCs w:val="24"/>
        </w:rPr>
        <w:t>;</w:t>
      </w:r>
    </w:p>
    <w:p w14:paraId="76CD02EC" w14:textId="77777777" w:rsidR="0032122F" w:rsidRPr="00287C7E" w:rsidRDefault="0032122F" w:rsidP="003212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F5FCAA" w14:textId="77777777" w:rsidR="0032122F" w:rsidRPr="00287C7E" w:rsidRDefault="0032122F" w:rsidP="0032122F">
      <w:pPr>
        <w:spacing w:after="0" w:line="240" w:lineRule="auto"/>
        <w:ind w:left="851" w:hanging="425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b)</w:t>
      </w:r>
      <w:r w:rsidRPr="00287C7E">
        <w:rPr>
          <w:rFonts w:ascii="Times New Roman" w:hAnsi="Times New Roman" w:cs="Times New Roman"/>
          <w:sz w:val="24"/>
          <w:szCs w:val="24"/>
        </w:rPr>
        <w:tab/>
        <w:t>v  sekundárnom práve</w:t>
      </w:r>
    </w:p>
    <w:p w14:paraId="2220F37D" w14:textId="0FF7530A" w:rsidR="00361321" w:rsidRPr="00287C7E" w:rsidRDefault="00361321" w:rsidP="002014F3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highlight w:val="yellow"/>
        </w:rPr>
      </w:pPr>
    </w:p>
    <w:p w14:paraId="6529D341" w14:textId="088A0A28" w:rsidR="0032122F" w:rsidRPr="00287C7E" w:rsidRDefault="00B15B20" w:rsidP="005D1668">
      <w:pPr>
        <w:spacing w:after="0" w:line="240" w:lineRule="auto"/>
        <w:ind w:left="851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</w:t>
      </w:r>
      <w:r w:rsidRPr="005D1668">
        <w:rPr>
          <w:rFonts w:asciiTheme="majorBidi" w:hAnsiTheme="majorBidi" w:cstheme="majorBidi"/>
          <w:sz w:val="24"/>
          <w:szCs w:val="24"/>
        </w:rPr>
        <w:t xml:space="preserve">elegované rozhodnutie </w:t>
      </w:r>
      <w:r w:rsidR="005D1668" w:rsidRPr="005D1668">
        <w:rPr>
          <w:rFonts w:asciiTheme="majorBidi" w:hAnsiTheme="majorBidi" w:cstheme="majorBidi"/>
          <w:sz w:val="24"/>
          <w:szCs w:val="24"/>
        </w:rPr>
        <w:t>K</w:t>
      </w:r>
      <w:r w:rsidRPr="005D1668">
        <w:rPr>
          <w:rFonts w:asciiTheme="majorBidi" w:hAnsiTheme="majorBidi" w:cstheme="majorBidi"/>
          <w:sz w:val="24"/>
          <w:szCs w:val="24"/>
        </w:rPr>
        <w:t>omisie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5D1668" w:rsidRPr="005D1668">
        <w:rPr>
          <w:rFonts w:asciiTheme="majorBidi" w:hAnsiTheme="majorBidi" w:cstheme="majorBidi"/>
          <w:sz w:val="24"/>
          <w:szCs w:val="24"/>
        </w:rPr>
        <w:t>(EÚ) 2025/2187 z 30. júla 2025, ktorým sa mení smernica Európskeho parlamentu a Rady 2005/36/ES, pokiaľ ide o doklady o formálnej kvalifikácii a názvy špecializačných odborov</w:t>
      </w:r>
      <w:r w:rsidR="005D1668">
        <w:rPr>
          <w:rFonts w:asciiTheme="majorBidi" w:hAnsiTheme="majorBidi" w:cstheme="majorBidi"/>
          <w:sz w:val="24"/>
          <w:szCs w:val="24"/>
        </w:rPr>
        <w:t xml:space="preserve"> </w:t>
      </w:r>
      <w:r w:rsidR="005D1668" w:rsidRPr="005D1668">
        <w:rPr>
          <w:rFonts w:asciiTheme="majorBidi" w:hAnsiTheme="majorBidi" w:cstheme="majorBidi"/>
          <w:sz w:val="24"/>
          <w:szCs w:val="24"/>
        </w:rPr>
        <w:t>(</w:t>
      </w:r>
      <w:r w:rsidR="00BD165B" w:rsidRPr="00BD165B">
        <w:rPr>
          <w:rFonts w:asciiTheme="majorBidi" w:hAnsiTheme="majorBidi" w:cstheme="majorBidi"/>
          <w:sz w:val="24"/>
          <w:szCs w:val="24"/>
        </w:rPr>
        <w:t>Ú. v. EÚ L, 2025/2187</w:t>
      </w:r>
      <w:r w:rsidR="00BD165B">
        <w:rPr>
          <w:rFonts w:asciiTheme="majorBidi" w:hAnsiTheme="majorBidi" w:cstheme="majorBidi"/>
          <w:sz w:val="24"/>
          <w:szCs w:val="24"/>
        </w:rPr>
        <w:t xml:space="preserve">, </w:t>
      </w:r>
      <w:r w:rsidR="005D1668">
        <w:rPr>
          <w:rFonts w:asciiTheme="majorBidi" w:hAnsiTheme="majorBidi" w:cstheme="majorBidi"/>
          <w:sz w:val="24"/>
          <w:szCs w:val="24"/>
        </w:rPr>
        <w:t>29.10.2025</w:t>
      </w:r>
      <w:r w:rsidR="005D1668" w:rsidRPr="005D1668">
        <w:rPr>
          <w:rFonts w:asciiTheme="majorBidi" w:hAnsiTheme="majorBidi" w:cstheme="majorBidi"/>
          <w:sz w:val="24"/>
          <w:szCs w:val="24"/>
        </w:rPr>
        <w:t>)</w:t>
      </w:r>
      <w:r w:rsidR="00110EC1" w:rsidRPr="00287C7E">
        <w:rPr>
          <w:rFonts w:asciiTheme="majorBidi" w:hAnsiTheme="majorBidi" w:cstheme="majorBidi"/>
          <w:sz w:val="24"/>
          <w:szCs w:val="24"/>
        </w:rPr>
        <w:t xml:space="preserve"> - gestor Ministerstvo školstva, v</w:t>
      </w:r>
      <w:r w:rsidR="005D1668">
        <w:rPr>
          <w:rFonts w:asciiTheme="majorBidi" w:hAnsiTheme="majorBidi" w:cstheme="majorBidi"/>
          <w:sz w:val="24"/>
          <w:szCs w:val="24"/>
        </w:rPr>
        <w:t>ýskumu, vývoja a</w:t>
      </w:r>
      <w:r w:rsidR="00110EC1" w:rsidRPr="00287C7E">
        <w:rPr>
          <w:rFonts w:asciiTheme="majorBidi" w:hAnsiTheme="majorBidi" w:cstheme="majorBidi"/>
          <w:sz w:val="24"/>
          <w:szCs w:val="24"/>
        </w:rPr>
        <w:t xml:space="preserve"> mládeže Slovenskej republiky</w:t>
      </w:r>
      <w:r w:rsidR="00F044E7" w:rsidRPr="00287C7E">
        <w:rPr>
          <w:rFonts w:asciiTheme="majorBidi" w:hAnsiTheme="majorBidi" w:cstheme="majorBidi"/>
          <w:sz w:val="24"/>
          <w:szCs w:val="24"/>
        </w:rPr>
        <w:t>;</w:t>
      </w:r>
    </w:p>
    <w:p w14:paraId="109A6472" w14:textId="77777777" w:rsidR="00F044E7" w:rsidRPr="00287C7E" w:rsidRDefault="00F044E7" w:rsidP="00F044E7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</w:p>
    <w:p w14:paraId="0E0C183F" w14:textId="77777777" w:rsidR="0032122F" w:rsidRPr="00287C7E" w:rsidRDefault="0032122F" w:rsidP="0032122F">
      <w:pPr>
        <w:spacing w:after="0" w:line="240" w:lineRule="auto"/>
        <w:ind w:left="851" w:hanging="425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c)</w:t>
      </w:r>
      <w:r w:rsidRPr="00287C7E">
        <w:rPr>
          <w:rFonts w:ascii="Times New Roman" w:hAnsi="Times New Roman" w:cs="Times New Roman"/>
          <w:sz w:val="24"/>
          <w:szCs w:val="24"/>
        </w:rPr>
        <w:tab/>
        <w:t>v judikatúre Súdneho dvora Európskej únie</w:t>
      </w:r>
    </w:p>
    <w:p w14:paraId="010AF086" w14:textId="77777777" w:rsidR="0032122F" w:rsidRPr="00287C7E" w:rsidRDefault="0032122F" w:rsidP="003212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ab/>
      </w:r>
      <w:r w:rsidRPr="00287C7E">
        <w:rPr>
          <w:rFonts w:ascii="Times New Roman" w:hAnsi="Times New Roman" w:cs="Times New Roman"/>
          <w:sz w:val="24"/>
          <w:szCs w:val="24"/>
        </w:rPr>
        <w:tab/>
      </w:r>
    </w:p>
    <w:p w14:paraId="1BB9EAAC" w14:textId="3EA2CEA8" w:rsidR="0032122F" w:rsidRPr="00287C7E" w:rsidRDefault="0032122F" w:rsidP="0032122F">
      <w:pPr>
        <w:spacing w:after="0" w:line="240" w:lineRule="auto"/>
        <w:ind w:left="285" w:firstLine="566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nie je</w:t>
      </w:r>
      <w:r w:rsidR="00D23795">
        <w:rPr>
          <w:rFonts w:ascii="Times New Roman" w:hAnsi="Times New Roman" w:cs="Times New Roman"/>
          <w:sz w:val="24"/>
          <w:szCs w:val="24"/>
        </w:rPr>
        <w:t>.</w:t>
      </w:r>
    </w:p>
    <w:p w14:paraId="466C7F7C" w14:textId="77777777" w:rsidR="0032122F" w:rsidRPr="00287C7E" w:rsidRDefault="0032122F" w:rsidP="003212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638376" w14:textId="77777777" w:rsidR="0032122F" w:rsidRPr="00287C7E" w:rsidRDefault="0032122F" w:rsidP="0032122F">
      <w:pPr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4.</w:t>
      </w:r>
      <w:r w:rsidRPr="00287C7E">
        <w:rPr>
          <w:rFonts w:ascii="Times New Roman" w:hAnsi="Times New Roman" w:cs="Times New Roman"/>
          <w:sz w:val="24"/>
          <w:szCs w:val="24"/>
        </w:rPr>
        <w:tab/>
      </w:r>
      <w:r w:rsidRPr="00287C7E">
        <w:rPr>
          <w:rFonts w:ascii="Times New Roman" w:hAnsi="Times New Roman" w:cs="Times New Roman"/>
          <w:b/>
          <w:sz w:val="24"/>
          <w:szCs w:val="24"/>
        </w:rPr>
        <w:t>Záväzky Slovenskej republiky vo vzťahu k Európskej únii:</w:t>
      </w:r>
    </w:p>
    <w:p w14:paraId="43B72C12" w14:textId="77777777" w:rsidR="0032122F" w:rsidRPr="00287C7E" w:rsidRDefault="0032122F" w:rsidP="003212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5227F16" w14:textId="77777777" w:rsidR="0032122F" w:rsidRPr="00287C7E" w:rsidRDefault="0032122F" w:rsidP="0032122F">
      <w:pPr>
        <w:pStyle w:val="Odsekzoznamu"/>
        <w:numPr>
          <w:ilvl w:val="0"/>
          <w:numId w:val="1"/>
        </w:numPr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lehota na prebratie smernice alebo lehota na implementáciu nariadenia alebo rozhodnutia</w:t>
      </w:r>
    </w:p>
    <w:p w14:paraId="0A2A542C" w14:textId="7A5A1C98" w:rsidR="0004567C" w:rsidRPr="00287C7E" w:rsidRDefault="0004567C" w:rsidP="002014F3">
      <w:pPr>
        <w:spacing w:after="0" w:line="240" w:lineRule="auto"/>
        <w:jc w:val="lowKashida"/>
        <w:rPr>
          <w:rFonts w:ascii="Times New Roman" w:hAnsi="Times New Roman" w:cs="Times New Roman"/>
          <w:sz w:val="24"/>
          <w:szCs w:val="24"/>
        </w:rPr>
      </w:pPr>
    </w:p>
    <w:p w14:paraId="1223776C" w14:textId="18E45B7D" w:rsidR="00B15B20" w:rsidRDefault="0032122F" w:rsidP="00B15B20">
      <w:pPr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Lehota na prebratie predmetn</w:t>
      </w:r>
      <w:r w:rsidR="00B15B20">
        <w:rPr>
          <w:rFonts w:ascii="Times New Roman" w:hAnsi="Times New Roman" w:cs="Times New Roman"/>
          <w:sz w:val="24"/>
          <w:szCs w:val="24"/>
        </w:rPr>
        <w:t>ého</w:t>
      </w:r>
      <w:r w:rsidRPr="00287C7E">
        <w:rPr>
          <w:rFonts w:ascii="Times New Roman" w:hAnsi="Times New Roman" w:cs="Times New Roman"/>
          <w:sz w:val="24"/>
          <w:szCs w:val="24"/>
        </w:rPr>
        <w:t xml:space="preserve"> </w:t>
      </w:r>
      <w:r w:rsidR="005D1668" w:rsidRPr="005D1668">
        <w:rPr>
          <w:rFonts w:ascii="Times New Roman" w:hAnsi="Times New Roman" w:cs="Times New Roman"/>
          <w:sz w:val="24"/>
          <w:szCs w:val="24"/>
        </w:rPr>
        <w:t>Delegované</w:t>
      </w:r>
      <w:r w:rsidR="005D1668">
        <w:rPr>
          <w:rFonts w:ascii="Times New Roman" w:hAnsi="Times New Roman" w:cs="Times New Roman"/>
          <w:sz w:val="24"/>
          <w:szCs w:val="24"/>
        </w:rPr>
        <w:t>ho</w:t>
      </w:r>
      <w:r w:rsidR="005D1668" w:rsidRPr="005D1668">
        <w:rPr>
          <w:rFonts w:ascii="Times New Roman" w:hAnsi="Times New Roman" w:cs="Times New Roman"/>
          <w:sz w:val="24"/>
          <w:szCs w:val="24"/>
        </w:rPr>
        <w:t xml:space="preserve"> Rozhodnuti</w:t>
      </w:r>
      <w:r w:rsidR="005D1668">
        <w:rPr>
          <w:rFonts w:ascii="Times New Roman" w:hAnsi="Times New Roman" w:cs="Times New Roman"/>
          <w:sz w:val="24"/>
          <w:szCs w:val="24"/>
        </w:rPr>
        <w:t>a</w:t>
      </w:r>
      <w:r w:rsidR="005D1668" w:rsidRPr="005D1668">
        <w:rPr>
          <w:rFonts w:ascii="Times New Roman" w:hAnsi="Times New Roman" w:cs="Times New Roman"/>
          <w:sz w:val="24"/>
          <w:szCs w:val="24"/>
        </w:rPr>
        <w:t xml:space="preserve"> Komisie</w:t>
      </w:r>
      <w:r w:rsidR="005D1668">
        <w:rPr>
          <w:rFonts w:ascii="Times New Roman" w:hAnsi="Times New Roman" w:cs="Times New Roman"/>
          <w:sz w:val="24"/>
          <w:szCs w:val="24"/>
        </w:rPr>
        <w:t xml:space="preserve"> </w:t>
      </w:r>
      <w:r w:rsidR="005D1668" w:rsidRPr="005D1668">
        <w:rPr>
          <w:rFonts w:ascii="Times New Roman" w:hAnsi="Times New Roman" w:cs="Times New Roman"/>
          <w:sz w:val="24"/>
          <w:szCs w:val="24"/>
        </w:rPr>
        <w:t>(EÚ) 2025/2187 z 30. júla 2025, ktorým sa mení smernica Európskeho parlamentu a Rady 2005/36/ES, pokiaľ ide o</w:t>
      </w:r>
      <w:r w:rsidR="005D1668">
        <w:rPr>
          <w:rFonts w:ascii="Times New Roman" w:hAnsi="Times New Roman" w:cs="Times New Roman"/>
          <w:sz w:val="24"/>
          <w:szCs w:val="24"/>
        </w:rPr>
        <w:t> </w:t>
      </w:r>
      <w:r w:rsidR="005D1668" w:rsidRPr="005D1668">
        <w:rPr>
          <w:rFonts w:ascii="Times New Roman" w:hAnsi="Times New Roman" w:cs="Times New Roman"/>
          <w:sz w:val="24"/>
          <w:szCs w:val="24"/>
        </w:rPr>
        <w:t>doklady</w:t>
      </w:r>
      <w:r w:rsidR="005D1668">
        <w:rPr>
          <w:rFonts w:ascii="Times New Roman" w:hAnsi="Times New Roman" w:cs="Times New Roman"/>
          <w:sz w:val="24"/>
          <w:szCs w:val="24"/>
        </w:rPr>
        <w:t xml:space="preserve"> </w:t>
      </w:r>
      <w:r w:rsidR="005D1668" w:rsidRPr="005D1668">
        <w:rPr>
          <w:rFonts w:ascii="Times New Roman" w:hAnsi="Times New Roman" w:cs="Times New Roman"/>
          <w:sz w:val="24"/>
          <w:szCs w:val="24"/>
        </w:rPr>
        <w:t>o formálnej kvalifikácii a názvy špecializačných odborov</w:t>
      </w:r>
      <w:r w:rsidR="005D1668">
        <w:rPr>
          <w:rFonts w:ascii="Times New Roman" w:hAnsi="Times New Roman" w:cs="Times New Roman"/>
          <w:sz w:val="24"/>
          <w:szCs w:val="24"/>
        </w:rPr>
        <w:t xml:space="preserve"> </w:t>
      </w:r>
      <w:r w:rsidR="00B15B20">
        <w:rPr>
          <w:rFonts w:ascii="Times New Roman" w:hAnsi="Times New Roman" w:cs="Times New Roman"/>
          <w:sz w:val="24"/>
          <w:szCs w:val="24"/>
        </w:rPr>
        <w:t>nie je určená</w:t>
      </w:r>
      <w:r w:rsidR="00B15B20" w:rsidRPr="00B15B20">
        <w:rPr>
          <w:rFonts w:ascii="Times New Roman" w:hAnsi="Times New Roman" w:cs="Times New Roman"/>
          <w:sz w:val="24"/>
          <w:szCs w:val="24"/>
        </w:rPr>
        <w:t>, nakoľko nadobúda účinnosť dňom oznámenia členským štátom (</w:t>
      </w:r>
      <w:r w:rsidR="00BD165B" w:rsidRPr="00BD165B">
        <w:rPr>
          <w:rFonts w:ascii="Times New Roman" w:hAnsi="Times New Roman" w:cs="Times New Roman"/>
          <w:sz w:val="24"/>
          <w:szCs w:val="24"/>
        </w:rPr>
        <w:t>Ú. v. EÚ L, 2025/2187, 29.10.2025)</w:t>
      </w:r>
      <w:r w:rsidR="00BD165B">
        <w:rPr>
          <w:rFonts w:ascii="Times New Roman" w:hAnsi="Times New Roman" w:cs="Times New Roman"/>
          <w:sz w:val="24"/>
          <w:szCs w:val="24"/>
        </w:rPr>
        <w:t>.</w:t>
      </w:r>
    </w:p>
    <w:p w14:paraId="774F7979" w14:textId="77777777" w:rsidR="00B15B20" w:rsidRDefault="00B15B20" w:rsidP="005D1668">
      <w:pPr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</w:p>
    <w:p w14:paraId="35B0B179" w14:textId="77777777" w:rsidR="0032122F" w:rsidRPr="00287C7E" w:rsidRDefault="0032122F" w:rsidP="0032122F">
      <w:pPr>
        <w:spacing w:after="0" w:line="240" w:lineRule="auto"/>
        <w:jc w:val="lowKashida"/>
        <w:rPr>
          <w:rFonts w:ascii="Times New Roman" w:hAnsi="Times New Roman" w:cs="Times New Roman"/>
          <w:sz w:val="24"/>
          <w:szCs w:val="24"/>
        </w:rPr>
      </w:pPr>
    </w:p>
    <w:p w14:paraId="56952CC6" w14:textId="37B37E5B" w:rsidR="0032122F" w:rsidRPr="00287C7E" w:rsidRDefault="0032122F" w:rsidP="0032122F">
      <w:pPr>
        <w:pStyle w:val="Odsekzoznamu"/>
        <w:numPr>
          <w:ilvl w:val="0"/>
          <w:numId w:val="1"/>
        </w:numPr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>informácia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 Rady (ES) č. 1049/2001 z 30. mája 2001 o prístupe verejnosti k dokumentom Európskeho parlamentu, Rady a</w:t>
      </w:r>
      <w:r w:rsidR="00143149">
        <w:rPr>
          <w:rFonts w:ascii="Times New Roman" w:hAnsi="Times New Roman" w:cs="Times New Roman"/>
          <w:sz w:val="24"/>
          <w:szCs w:val="24"/>
        </w:rPr>
        <w:t> </w:t>
      </w:r>
      <w:r w:rsidRPr="00287C7E">
        <w:rPr>
          <w:rFonts w:ascii="Times New Roman" w:hAnsi="Times New Roman" w:cs="Times New Roman"/>
          <w:sz w:val="24"/>
          <w:szCs w:val="24"/>
        </w:rPr>
        <w:t>Komisie</w:t>
      </w:r>
      <w:r w:rsidR="00143149">
        <w:rPr>
          <w:rFonts w:ascii="Times New Roman" w:hAnsi="Times New Roman" w:cs="Times New Roman"/>
          <w:sz w:val="24"/>
          <w:szCs w:val="24"/>
        </w:rPr>
        <w:t>.</w:t>
      </w:r>
    </w:p>
    <w:p w14:paraId="33E37C26" w14:textId="77777777" w:rsidR="0032122F" w:rsidRPr="00287C7E" w:rsidRDefault="0032122F" w:rsidP="0032122F">
      <w:pPr>
        <w:pStyle w:val="Odsekzoznamu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1E9DF0" w14:textId="023B9A33" w:rsidR="0032122F" w:rsidRPr="00287C7E" w:rsidRDefault="0032122F" w:rsidP="0032122F">
      <w:pPr>
        <w:tabs>
          <w:tab w:val="left" w:pos="1134"/>
        </w:tabs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 xml:space="preserve">Ku dňu predloženia návrhu </w:t>
      </w:r>
      <w:r w:rsidR="00200FB5">
        <w:rPr>
          <w:rFonts w:ascii="Times New Roman" w:hAnsi="Times New Roman" w:cs="Times New Roman"/>
          <w:sz w:val="24"/>
          <w:szCs w:val="24"/>
        </w:rPr>
        <w:t>zákona</w:t>
      </w:r>
      <w:r w:rsidRPr="00287C7E">
        <w:rPr>
          <w:rFonts w:ascii="Times New Roman" w:hAnsi="Times New Roman" w:cs="Times New Roman"/>
          <w:sz w:val="24"/>
          <w:szCs w:val="24"/>
        </w:rPr>
        <w:t xml:space="preserve"> v oblasti jeho právnej úpravy</w:t>
      </w:r>
    </w:p>
    <w:p w14:paraId="669DDBBF" w14:textId="77777777" w:rsidR="0032122F" w:rsidRPr="000C2776" w:rsidRDefault="0032122F" w:rsidP="0032122F">
      <w:pPr>
        <w:tabs>
          <w:tab w:val="left" w:pos="1134"/>
        </w:tabs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</w:p>
    <w:p w14:paraId="51042D3D" w14:textId="77777777" w:rsidR="0032122F" w:rsidRPr="000C2776" w:rsidRDefault="0032122F" w:rsidP="0032122F">
      <w:pPr>
        <w:pStyle w:val="Odsekzoznamu"/>
        <w:numPr>
          <w:ilvl w:val="0"/>
          <w:numId w:val="2"/>
        </w:numPr>
        <w:tabs>
          <w:tab w:val="left" w:pos="1134"/>
        </w:tabs>
        <w:spacing w:after="0"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0C2776">
        <w:rPr>
          <w:rFonts w:ascii="Times New Roman" w:hAnsi="Times New Roman" w:cs="Times New Roman"/>
          <w:sz w:val="24"/>
          <w:szCs w:val="24"/>
        </w:rPr>
        <w:t>nebolo začaté konanie v rámci „EÚ Pilot“,</w:t>
      </w:r>
    </w:p>
    <w:p w14:paraId="28486ADB" w14:textId="0EDCCF11" w:rsidR="0032122F" w:rsidRPr="000C2776" w:rsidRDefault="0032122F" w:rsidP="0032122F">
      <w:pPr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A8204CA" w14:textId="57E43EEF" w:rsidR="009104DC" w:rsidRPr="000C2776" w:rsidRDefault="009104DC" w:rsidP="00E82ACB">
      <w:pPr>
        <w:pStyle w:val="Odsekzoznamu"/>
        <w:numPr>
          <w:ilvl w:val="0"/>
          <w:numId w:val="2"/>
        </w:numPr>
        <w:tabs>
          <w:tab w:val="left" w:pos="1134"/>
        </w:tabs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0C2776">
        <w:rPr>
          <w:rFonts w:ascii="Times New Roman" w:hAnsi="Times New Roman" w:cs="Times New Roman"/>
          <w:sz w:val="24"/>
          <w:szCs w:val="24"/>
        </w:rPr>
        <w:t>nebol začatý postup Európskej komisie,</w:t>
      </w:r>
    </w:p>
    <w:p w14:paraId="3911DFF7" w14:textId="5D2C7D19" w:rsidR="00E82ACB" w:rsidRPr="000C2776" w:rsidRDefault="00E82ACB" w:rsidP="009104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0683B6" w14:textId="3A61C254" w:rsidR="00E82ACB" w:rsidRPr="000C2776" w:rsidRDefault="009104DC" w:rsidP="009A7D63">
      <w:pPr>
        <w:pStyle w:val="Odsekzoznamu"/>
        <w:numPr>
          <w:ilvl w:val="0"/>
          <w:numId w:val="2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  <w:r w:rsidRPr="000C277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ne</w:t>
      </w:r>
      <w:r w:rsidR="00E82ACB" w:rsidRPr="000C277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bolo začaté konanie Súdneho dvora Európskej </w:t>
      </w:r>
      <w:r w:rsidRPr="000C2776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>únie proti Slovenskej republike.</w:t>
      </w:r>
    </w:p>
    <w:p w14:paraId="29CFB94A" w14:textId="7BD83950" w:rsidR="009104DC" w:rsidRPr="009104DC" w:rsidRDefault="009104DC" w:rsidP="009104D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</w:pPr>
    </w:p>
    <w:p w14:paraId="7D382A66" w14:textId="77777777" w:rsidR="0032122F" w:rsidRPr="00C601C0" w:rsidRDefault="0032122F" w:rsidP="0032122F">
      <w:pPr>
        <w:pStyle w:val="Odsekzoznamu"/>
        <w:numPr>
          <w:ilvl w:val="0"/>
          <w:numId w:val="1"/>
        </w:numPr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C601C0">
        <w:rPr>
          <w:rFonts w:ascii="Times New Roman" w:hAnsi="Times New Roman" w:cs="Times New Roman"/>
          <w:sz w:val="24"/>
          <w:szCs w:val="24"/>
        </w:rPr>
        <w:t>informácia o právnych predpisoch, v ktorých sú preberané smernice už prebraté spolu s uvedením rozsahu tohto prebratia</w:t>
      </w:r>
    </w:p>
    <w:p w14:paraId="45094E31" w14:textId="77777777" w:rsidR="00B15B20" w:rsidRPr="00C601C0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</w:p>
    <w:p w14:paraId="56D52488" w14:textId="2989061E" w:rsidR="00B15B20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Smernica Európskeho parlamentu a Rady 2005/36/ES v platnom znení bola prebratá do </w:t>
      </w:r>
    </w:p>
    <w:p w14:paraId="16B143F7" w14:textId="08BC66E6" w:rsidR="00B15B20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15B20">
        <w:rPr>
          <w:rFonts w:ascii="Times New Roman" w:hAnsi="Times New Roman" w:cs="Times New Roman"/>
          <w:sz w:val="24"/>
          <w:szCs w:val="24"/>
        </w:rPr>
        <w:t xml:space="preserve"> zákona č. 422/2015 Z. z. o uznávaní dokladov o vzdelaní a o uznávaní odborných kvalifikácii a o zmene a doplnení niektorých zákonov v znení neskorších predpisov, </w:t>
      </w:r>
    </w:p>
    <w:p w14:paraId="68E643F4" w14:textId="77777777" w:rsidR="001B2BBA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- zákona č. 455/1991 Zb. o živnostenskom podnikaní (živnostenský zákon) v znení neskorších predpisov, </w:t>
      </w:r>
    </w:p>
    <w:p w14:paraId="303D81BD" w14:textId="77777777" w:rsidR="001B2BBA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- zákona č. 78/1992 Zb. o daňových poradcoch a Slovenskej komore daňových poradcov v znení neskorších predpisov, </w:t>
      </w:r>
    </w:p>
    <w:p w14:paraId="1A13887B" w14:textId="77777777" w:rsidR="001B2BBA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- zákona č. 138/1992 Zb. o autorizovaných architektoch a autorizovaných stavebných inžinieroch v znení neskorších predpisov, </w:t>
      </w:r>
    </w:p>
    <w:p w14:paraId="72FAE3BE" w14:textId="77777777" w:rsidR="001B2BBA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- zákona č. 586/2003 Z. z. o advokácii a o zmene a doplnení zákona č. 455/1991 Zb. o živnostenskom podnikaní (živnostenský zákon) v znení neskorších predpisov v znení neskorších predpisov, </w:t>
      </w:r>
    </w:p>
    <w:p w14:paraId="7CEF46FD" w14:textId="77777777" w:rsidR="001B2BBA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- zákona č. 442/2004 Z. z. o súkromných veterinárnych lekároch, o Komore veterinárnych lekárov Slovenskej republiky a o zmene a doplnení zákona č. 88/2002 Z. z. o veterinárnej starostlivosti a o zmene niektorých zákonov v znení neskorších predpisov v znení neskorších predpisov, </w:t>
      </w:r>
    </w:p>
    <w:p w14:paraId="036DC725" w14:textId="77777777" w:rsidR="001B2BBA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- zákona č. 576/2004 Z. z. o zdravotnej starostlivosti, službách súvisiacich s poskytovaním zdravotnej starostlivosti a o zmene a doplnení niektorých zákonov v znení neskorších predpisov, </w:t>
      </w:r>
    </w:p>
    <w:p w14:paraId="5E00EF70" w14:textId="77777777" w:rsidR="001B2BBA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- zákona č. 578/2004 Z. z. o poskytovateľoch zdravotnej starostlivosti, zdravotníckych pracovníkoch, stavovských organizáciách v zdravotníctve a o zmene a doplnení niektorých zákonov v znení neskorších predpisov, </w:t>
      </w:r>
    </w:p>
    <w:p w14:paraId="2D826232" w14:textId="77777777" w:rsidR="001B2BBA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- zákona č. 39/2007 Z. z. o veterinárnej starostlivosti v znení neskorších predpisov, - zákona č. 569/2007 Z. z. o geologických prácach (geologický zákon) v znení neskorších predpisov, </w:t>
      </w:r>
    </w:p>
    <w:p w14:paraId="12A15D62" w14:textId="77777777" w:rsidR="001B2BBA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- nariadenia vlády Slovenskej republiky č. 296/2010 Z. z. o odbornej spôsobilosti na výkon zdravotníckeho povolania, spôsobe ďalšieho vzdelávania zdravotníckych pracovníkov, sústave špecializačných odborov a sústave certifikovaných pracovných činností v znení neskorších predpisov, </w:t>
      </w:r>
    </w:p>
    <w:p w14:paraId="2AC7C4AA" w14:textId="77777777" w:rsidR="001B2BBA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 xml:space="preserve">- vyhlášky Ministerstva školstva, vedy, výskumu a športu Slovenskej republiky č. 16/2016 Z. z., ktorou sa ustanovujú profesijné organizácie, ktorých členovia vykonávajú regulované povolanie s právom používať profesijné tituly a regulované povolania s koordináciou vzdelania v znení vyhlášky č. 359/2016 Z. z., ktorou sa mení a dopĺňa vyhláška Ministerstva školstva, vedy, výskumu a športu Slovenskej republiky č. 16/2016 Z. z., ktorou sa ustanovujú profesijné organizácie, ktorých členovia vykonávajú regulované povolanie s právom používať profesijné tituly a regulované povolania s koordináciou vzdelania. </w:t>
      </w:r>
    </w:p>
    <w:p w14:paraId="31F4F84D" w14:textId="538830DF" w:rsidR="00B15B20" w:rsidRPr="00B15B20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  <w:r w:rsidRPr="00B15B20">
        <w:rPr>
          <w:rFonts w:ascii="Times New Roman" w:hAnsi="Times New Roman" w:cs="Times New Roman"/>
          <w:sz w:val="24"/>
          <w:szCs w:val="24"/>
        </w:rPr>
        <w:t>Delegované rozhodnutie bude premietnuté do návrhu zákona v častiach týkajúcich sa uznávania špecializovaných kvalifikácií lekárov a zubných lekárov.</w:t>
      </w:r>
    </w:p>
    <w:p w14:paraId="33AB8703" w14:textId="77777777" w:rsidR="00B15B20" w:rsidRPr="00B15B20" w:rsidRDefault="00B15B20" w:rsidP="00B15B20">
      <w:pPr>
        <w:pStyle w:val="Odsekzoznamu"/>
        <w:spacing w:after="0" w:line="240" w:lineRule="auto"/>
        <w:ind w:left="851"/>
        <w:jc w:val="lowKashida"/>
        <w:rPr>
          <w:rFonts w:ascii="Times New Roman" w:hAnsi="Times New Roman" w:cs="Times New Roman"/>
          <w:sz w:val="24"/>
          <w:szCs w:val="24"/>
        </w:rPr>
      </w:pPr>
    </w:p>
    <w:p w14:paraId="7126094B" w14:textId="77777777" w:rsidR="0032122F" w:rsidRPr="00287C7E" w:rsidRDefault="0032122F" w:rsidP="003212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B3F6C91" w14:textId="2310C942" w:rsidR="0032122F" w:rsidRPr="00287C7E" w:rsidRDefault="0032122F" w:rsidP="0032122F">
      <w:pPr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87C7E">
        <w:rPr>
          <w:rFonts w:ascii="Times New Roman" w:hAnsi="Times New Roman" w:cs="Times New Roman"/>
          <w:b/>
          <w:sz w:val="24"/>
          <w:szCs w:val="24"/>
        </w:rPr>
        <w:t>5.</w:t>
      </w:r>
      <w:r w:rsidRPr="00287C7E">
        <w:rPr>
          <w:rFonts w:ascii="Times New Roman" w:hAnsi="Times New Roman" w:cs="Times New Roman"/>
          <w:b/>
          <w:sz w:val="24"/>
          <w:szCs w:val="24"/>
        </w:rPr>
        <w:tab/>
        <w:t xml:space="preserve">Návrh </w:t>
      </w:r>
      <w:r w:rsidR="00143149">
        <w:rPr>
          <w:rFonts w:ascii="Times New Roman" w:hAnsi="Times New Roman" w:cs="Times New Roman"/>
          <w:b/>
          <w:sz w:val="24"/>
          <w:szCs w:val="24"/>
        </w:rPr>
        <w:t>zákona</w:t>
      </w:r>
      <w:r w:rsidRPr="00287C7E">
        <w:rPr>
          <w:rFonts w:ascii="Times New Roman" w:hAnsi="Times New Roman" w:cs="Times New Roman"/>
          <w:b/>
          <w:sz w:val="24"/>
          <w:szCs w:val="24"/>
        </w:rPr>
        <w:t xml:space="preserve"> je zlučiteľný s právom s právom Európskej únie:</w:t>
      </w:r>
    </w:p>
    <w:p w14:paraId="2B34ED4A" w14:textId="77777777" w:rsidR="0032122F" w:rsidRPr="00287C7E" w:rsidRDefault="0032122F" w:rsidP="0032122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87FF7F7" w14:textId="06073C8D" w:rsidR="0032122F" w:rsidRPr="00287C7E" w:rsidRDefault="003D0AF6" w:rsidP="000058F8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87C7E">
        <w:rPr>
          <w:rFonts w:ascii="Times New Roman" w:hAnsi="Times New Roman" w:cs="Times New Roman"/>
          <w:sz w:val="24"/>
          <w:szCs w:val="24"/>
        </w:rPr>
        <w:t xml:space="preserve">     </w:t>
      </w:r>
      <w:r w:rsidR="0032122F" w:rsidRPr="00287C7E">
        <w:rPr>
          <w:rFonts w:ascii="Times New Roman" w:hAnsi="Times New Roman" w:cs="Times New Roman"/>
          <w:sz w:val="24"/>
          <w:szCs w:val="24"/>
        </w:rPr>
        <w:t>úplne</w:t>
      </w:r>
    </w:p>
    <w:p w14:paraId="50588E87" w14:textId="77777777" w:rsidR="00A212F7" w:rsidRPr="00287C7E" w:rsidRDefault="00A212F7"/>
    <w:sectPr w:rsidR="00A212F7" w:rsidRPr="00287C7E" w:rsidSect="009775F3">
      <w:footerReference w:type="default" r:id="rId7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6EE31" w14:textId="77777777" w:rsidR="00166CCE" w:rsidRDefault="00166CCE" w:rsidP="009775F3">
      <w:pPr>
        <w:spacing w:after="0" w:line="240" w:lineRule="auto"/>
      </w:pPr>
      <w:r>
        <w:separator/>
      </w:r>
    </w:p>
  </w:endnote>
  <w:endnote w:type="continuationSeparator" w:id="0">
    <w:p w14:paraId="4A642B52" w14:textId="77777777" w:rsidR="00166CCE" w:rsidRDefault="00166CCE" w:rsidP="00977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0664765"/>
      <w:docPartObj>
        <w:docPartGallery w:val="Page Numbers (Bottom of Page)"/>
        <w:docPartUnique/>
      </w:docPartObj>
    </w:sdtPr>
    <w:sdtContent>
      <w:p w14:paraId="5D16327F" w14:textId="2D6AB01F" w:rsidR="009775F3" w:rsidRDefault="009775F3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776">
          <w:rPr>
            <w:noProof/>
          </w:rPr>
          <w:t>1</w:t>
        </w:r>
        <w:r>
          <w:fldChar w:fldCharType="end"/>
        </w:r>
      </w:p>
    </w:sdtContent>
  </w:sdt>
  <w:p w14:paraId="3C4A08A7" w14:textId="77777777" w:rsidR="009775F3" w:rsidRDefault="009775F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EEB17" w14:textId="77777777" w:rsidR="00166CCE" w:rsidRDefault="00166CCE" w:rsidP="009775F3">
      <w:pPr>
        <w:spacing w:after="0" w:line="240" w:lineRule="auto"/>
      </w:pPr>
      <w:r>
        <w:separator/>
      </w:r>
    </w:p>
  </w:footnote>
  <w:footnote w:type="continuationSeparator" w:id="0">
    <w:p w14:paraId="7BA2E81C" w14:textId="77777777" w:rsidR="00166CCE" w:rsidRDefault="00166CCE" w:rsidP="009775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838C6"/>
    <w:multiLevelType w:val="hybridMultilevel"/>
    <w:tmpl w:val="BC04836C"/>
    <w:lvl w:ilvl="0" w:tplc="AA447542">
      <w:start w:val="2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26E2B16"/>
    <w:multiLevelType w:val="hybridMultilevel"/>
    <w:tmpl w:val="31C6CF7C"/>
    <w:lvl w:ilvl="0" w:tplc="041B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 w15:restartNumberingAfterBreak="0">
    <w:nsid w:val="4502237D"/>
    <w:multiLevelType w:val="hybridMultilevel"/>
    <w:tmpl w:val="8416CB2E"/>
    <w:lvl w:ilvl="0" w:tplc="01B4A2A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14839387">
    <w:abstractNumId w:val="2"/>
  </w:num>
  <w:num w:numId="2" w16cid:durableId="624386243">
    <w:abstractNumId w:val="0"/>
  </w:num>
  <w:num w:numId="3" w16cid:durableId="261887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22F"/>
    <w:rsid w:val="000058F8"/>
    <w:rsid w:val="0004567C"/>
    <w:rsid w:val="00056A77"/>
    <w:rsid w:val="000A2FE3"/>
    <w:rsid w:val="000C2776"/>
    <w:rsid w:val="000C4E22"/>
    <w:rsid w:val="000F07D2"/>
    <w:rsid w:val="00110EC1"/>
    <w:rsid w:val="00143149"/>
    <w:rsid w:val="00166CCE"/>
    <w:rsid w:val="001B2BBA"/>
    <w:rsid w:val="00200FB5"/>
    <w:rsid w:val="002014F3"/>
    <w:rsid w:val="00287C7E"/>
    <w:rsid w:val="0032122F"/>
    <w:rsid w:val="003362CD"/>
    <w:rsid w:val="00353C78"/>
    <w:rsid w:val="00361321"/>
    <w:rsid w:val="003632E3"/>
    <w:rsid w:val="003D0AF6"/>
    <w:rsid w:val="004124C8"/>
    <w:rsid w:val="004975A7"/>
    <w:rsid w:val="005455AB"/>
    <w:rsid w:val="00553910"/>
    <w:rsid w:val="005D1668"/>
    <w:rsid w:val="00601131"/>
    <w:rsid w:val="00605055"/>
    <w:rsid w:val="0061021C"/>
    <w:rsid w:val="00637ACF"/>
    <w:rsid w:val="00654C1D"/>
    <w:rsid w:val="006F5CFE"/>
    <w:rsid w:val="007A3F37"/>
    <w:rsid w:val="0086708C"/>
    <w:rsid w:val="0088276A"/>
    <w:rsid w:val="008F5F9A"/>
    <w:rsid w:val="009104DC"/>
    <w:rsid w:val="009163E4"/>
    <w:rsid w:val="009617A5"/>
    <w:rsid w:val="009775F3"/>
    <w:rsid w:val="00A212F7"/>
    <w:rsid w:val="00A30366"/>
    <w:rsid w:val="00AB0545"/>
    <w:rsid w:val="00B15B20"/>
    <w:rsid w:val="00B543F7"/>
    <w:rsid w:val="00BD165B"/>
    <w:rsid w:val="00BD3BE8"/>
    <w:rsid w:val="00C23809"/>
    <w:rsid w:val="00C601C0"/>
    <w:rsid w:val="00D00546"/>
    <w:rsid w:val="00D049F1"/>
    <w:rsid w:val="00D23795"/>
    <w:rsid w:val="00E037BB"/>
    <w:rsid w:val="00E82ACB"/>
    <w:rsid w:val="00F044E7"/>
    <w:rsid w:val="00F121C0"/>
    <w:rsid w:val="00F7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DC051"/>
  <w15:chartTrackingRefBased/>
  <w15:docId w15:val="{00E28A9B-AF43-426C-A932-C39DE6E1B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2122F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2122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775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775F3"/>
  </w:style>
  <w:style w:type="paragraph" w:styleId="Pta">
    <w:name w:val="footer"/>
    <w:basedOn w:val="Normlny"/>
    <w:link w:val="PtaChar"/>
    <w:uiPriority w:val="99"/>
    <w:unhideWhenUsed/>
    <w:rsid w:val="009775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775F3"/>
  </w:style>
  <w:style w:type="paragraph" w:customStyle="1" w:styleId="c02alineaalta">
    <w:name w:val="c02alineaalta"/>
    <w:basedOn w:val="Normlny"/>
    <w:rsid w:val="00E82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7" Type="http://schemas.openxmlformats.org/officeDocument/2006/relationships/footer" Target="footer1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endnotes" Target="endnotes.xml"></Relationship><Relationship Id="rId5" Type="http://schemas.openxmlformats.org/officeDocument/2006/relationships/footnotes" Target="footnotes.xml"></Relationship><Relationship Id="rId4" Type="http://schemas.openxmlformats.org/officeDocument/2006/relationships/webSettings" Target="webSettings.xml"></Relationship><Relationship Id="rId9" Type="http://schemas.openxmlformats.org/officeDocument/2006/relationships/theme" Target="theme/theme1.xml"></Relationship><Relationship Id="rId10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2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7_Doložka_zlučitelnosti"/>
    <f:field ref="objname" text="07_Doložka_zlučitelnosti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Hozlárová Monika</dc:creator>
  <cp:keywords/>
  <dc:description/>
  <cp:lastModifiedBy>Nagy Marián</cp:lastModifiedBy>
  <cp:revision>2</cp:revision>
  <dcterms:created xsi:type="dcterms:W3CDTF">2026-04-08T11:23:00Z</dcterms:created>
  <dcterms:modified xsi:type="dcterms:W3CDTF">2026-04-08T11:23:00Z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Beáta Pastorková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8. 7. 2026, 09:03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JUDr. Kristína Gálová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Beáta Pastorková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SLPAP (Sekcia legislatívy, práva a akcionárskych práv)</vt:lpwstr>
  </property>
  <property name="FSC#COOELAK@1.1001:CreatedAt" pid="346" fmtid="{D5CDD505-2E9C-101B-9397-08002B2CF9AE}">
    <vt:lpwstr>08.07.2026</vt:lpwstr>
  </property>
  <property name="FSC#COOELAK@1.1001:OU" pid="347" fmtid="{D5CDD505-2E9C-101B-9397-08002B2CF9AE}">
    <vt:lpwstr>SLPAP (Sekcia legislatívy, práva a akcionárskych práv)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*COO.2289.100.2.4763985*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1</vt:lpwstr>
  </property>
  <property name="FSC#COOELAK@1.1001:CurrentUserEmail" pid="366" fmtid="{D5CDD505-2E9C-101B-9397-08002B2CF9AE}">
    <vt:lpwstr>kristina.galova@health.gov.sk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COO.2289.100.2.4763985</vt:lpwstr>
  </property>
  <property name="FSC#FSCFOLIO@1.1001:docpropproject" pid="402" fmtid="{D5CDD505-2E9C-101B-9397-08002B2CF9AE}">
    <vt:lpwstr/>
  </property>
</Properties>
</file>