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513/1991 Zb. Obchodný zákonník v znení neskorších predpisov a o zmene a doplnení niektorých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LP/2026/130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43/0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24</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15</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159a ods. 1</w:t>
              <w:br/>
            </w:r>
            <w:r>
              <w:rPr>
                <w:b w:val="off"/>
                <w:color w:val="000000"/>
                <w:rFonts w:ascii="Times New Roman" w:hAnsi="Times New Roman" w:cs="Times New Roman" w:eastAsia="Times New Roman"/>
                <w:sz w:val="24"/>
              </w:rPr>
              <w:t xml:space="preserve">Navrhujeme v § 159a ods. 1, aby akcie s viacnásobnými hlasovacími právami boli upravené ako „kmeňové akcie s viacnásobnými hlasovacími právami“.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CDCP ide o akcie, ktoré sa od kmeňových akcií líšia iba v rozsahu navrhovaného § 159a, teda najmä z hľadiska práv rozsahom hlasovacích práv, obmedzením prevoditeľnosti.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úpravou a evidenciou cenných papierov je spojené aj prideľovanie identifikačných kódov, najmä ISIN, ale aj CFI a FISN, ktoré obsahujú údaje o konkrétnych cenných papieroch. V tejto súvislosti považujeme za vhodné, aby právna úprava, pokiaľ je to možné, nadväzovala na medzinárodné normy. CDCP pri prideľovaní CFI a FISN postupuje podľa: ISO 10962 (CFI kód), ISO 18774 (FISN).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by akcie s viacnásobnými hlasovacími právami bolo možné zaradiť medzi kmeňové akcie, pri emisii týchto akcií by CDCP uplatnil nasledovné:</w:t>
              <w:br/>
            </w:r>
            <w:r>
              <w:rPr>
                <w:b w:val="off"/>
                <w:color w:val="000000"/>
                <w:rFonts w:ascii="Times New Roman" w:hAnsi="Times New Roman" w:cs="Times New Roman" w:eastAsia="Times New Roman"/>
                <w:sz w:val="24"/>
              </w:rPr>
              <w:t>•	použil v rámci CFI kódu na tretej pozícii písmeno „E“, ktoré označuje „Enhanced voting (the shareholder is entitled to more than one vote per share)“,</w:t>
              <w:br/>
            </w:r>
            <w:r>
              <w:rPr>
                <w:b w:val="off"/>
                <w:color w:val="000000"/>
                <w:rFonts w:ascii="Times New Roman" w:hAnsi="Times New Roman" w:cs="Times New Roman" w:eastAsia="Times New Roman"/>
                <w:sz w:val="24"/>
              </w:rPr>
              <w:t>•	v rámci FISN (krátky názov cenného papiera) uviedol za lomkou skratku „ENCD VTG“ (Enhanced Voting) na vyjadrenie informácie o hlasovacích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Uvedeným by sa zabezpečila výpovedná hodnota predmetných identifikačných kódov.</w:t>
              <w:br/>
            </w:r>
            <w:r>
              <w:rPr>
                <w:b w:val="off"/>
                <w:color w:val="000000"/>
                <w:rFonts w:ascii="Times New Roman" w:hAnsi="Times New Roman" w:cs="Times New Roman" w:eastAsia="Times New Roman"/>
                <w:sz w:val="24"/>
              </w:rPr>
              <w:t>V prípade „iných“ akcií (ak by predmetné akcie nebolo možné zaradiť pojmovo medzi kmeňové) uvedené identifikátory neposkytujú dostatočnú výpovednú hodnotu.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má za to, že je vhodné vymedziť akcie s viacnásobnými hlasovacími právami ako samostatný druh akcií – od kmeňových sa líšia inými právami – zvýšeným počtom hlasovacích práv. Samostatným druhom akcií je úprava štandardná aj v iných právnych úpravách v Európskej únii.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159a ods. 3</w:t>
              <w:br/>
            </w:r>
            <w:r>
              <w:rPr>
                <w:b w:val="off"/>
                <w:color w:val="000000"/>
                <w:rFonts w:ascii="Times New Roman" w:hAnsi="Times New Roman" w:cs="Times New Roman" w:eastAsia="Times New Roman"/>
                <w:sz w:val="24"/>
              </w:rPr>
              <w:t xml:space="preserve">Navrhujeme spresniť ustanovenie § 159a ods. 3 tak, aby bolo jednoznačné, na základe akého právneho úkonu dochádza k zámene, (resp. výmene) akcie s viacnásobnými hlasovacími právami na kmeňovú akciu, a aby bolo zrejmé, že táto zmena sa premieta do evidencie zaknihovaných cenných papierov. Zároveň navrhujeme pojem „zamení“ nahradiť pojmom „vymení“.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navrhnutého ustanovenia vyplýva automatická zámena akcií, ak nastane zákonom určená skutočnosť. Z pohľadu CDCP ako subjektu vedúceho evidenciu zaknihovaných cenných papierov však takáto zmena vyžaduje vykonanie konkrétneho evidenčného úkonu v evidencii, ako aj zmenu pridelenia identifikačných kódov. Bez jednoznačnej úpravy môže vzniknúť právna neistota na základe akého podkladu CDCP vykoná zmenu v evidencii, rovnako či ide o zmenu existujúcej emisie alebo o jej zrušenie a vznik novej emisie.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jednoznačnej úpravy môže vzniknúť právna neistota:</w:t>
              <w:br/>
            </w:r>
            <w:r>
              <w:rPr>
                <w:b w:val="off"/>
                <w:color w:val="000000"/>
                <w:rFonts w:ascii="Times New Roman" w:hAnsi="Times New Roman" w:cs="Times New Roman" w:eastAsia="Times New Roman"/>
                <w:sz w:val="24"/>
              </w:rPr>
              <w:t>•	aký je okamih, ku ktorému má byť zmena zaevidovaná - V prípade registrácie emisií a zmien nie je možné vykonať zmeny spätne v rámci evidencie CDCP, a to aj v nadväznosti na prepojenie na T2S.</w:t>
              <w:br/>
            </w:r>
            <w:r>
              <w:rPr>
                <w:b w:val="off"/>
                <w:color w:val="000000"/>
                <w:rFonts w:ascii="Times New Roman" w:hAnsi="Times New Roman" w:cs="Times New Roman" w:eastAsia="Times New Roman"/>
                <w:sz w:val="24"/>
              </w:rPr>
              <w:t xml:space="preserve">•	na základe akého podkladu CDCP vykoná zmenu v evidencii  - V prípade uvedených skutočnosti nie je možné zohľadniť zmeny bez pokynu emitenta, v zásade CDCP nemá informácie, či nastali uvedené skutočnosti. </w:t>
              <w:br/>
            </w:r>
            <w:r>
              <w:rPr>
                <w:b w:val="off"/>
                <w:color w:val="000000"/>
                <w:rFonts w:ascii="Times New Roman" w:hAnsi="Times New Roman" w:cs="Times New Roman" w:eastAsia="Times New Roman"/>
                <w:sz w:val="24"/>
              </w:rPr>
              <w:t>•	či ide o zmenu existujúcej emisie alebo o jej zrušenie a vznik novej emisie - Za nevyhnutné považujeme nahradiť pojem „zamení“ pojmom „vymení“. Takáto výmena sa môže týkať celej emisie alebo len určitého počtu cenných papierov z emisie (v tomto prípade je rozdiel aj z pohľadu evidencie v CDCP). Zároveň sa tým zosúladia aj pojmy používané v rámci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povinnosti na strane emitenta: „Emitent je povinný bezodkladne po vzniku skutočnosti podľa písmen a) až d) zabezpečiť relevantné zmeny v evidencii zaknihovaných cenných papierov podľa osobitného predpisu“ (odkaz na z. 566/2001 Z.z.) alebo upraviť začiatok ods. 3 ako „Emitent vykoná výmenu kmeňových akcií s viacnásobnými hlasovacími právami za kmeňové 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názoru predkladateľa je zrejmé, že k výmene akcií dochádza zo zákona v prípade, ak nastane právna skutočnosť uvedená v zákone. Ustanovenie bolo upravené aj v súlade s pripomienkami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zákona – O:</w:t>
              <w:br/>
            </w:r>
            <w:r>
              <w:rPr>
                <w:b w:val="off"/>
                <w:color w:val="000000"/>
                <w:rFonts w:ascii="Times New Roman" w:hAnsi="Times New Roman" w:cs="Times New Roman" w:eastAsia="Times New Roman"/>
                <w:sz w:val="24"/>
              </w:rPr>
              <w:t>V súlade s bodom 29.1. Prílohy č. 1 k Legislatívnym pravidlám vlády Slovenskej  republiky odporúčame slová „o zmene a doplnení niektorých predpisov“ nahradiť slovami „ktorým sa menia a dopĺňajú niektoré zákony“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čl. I bode 2 odporúčame slová „nestanovuje“ nahradiť slovami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2.	V čl. I bode 4 navrhujeme vzhľadom k zneniu vety slová „o tom“ nahradiť uvedením konkrétnej skutočnosti o ktorej sa má  vyhotoviť notárska zápisnica.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nadväzuje na § 187 ods. 2 Obchodného zákonníka v aktuálne účinnom znení a z dôvodu zabezpečenia koherencie ustanovení pripomienka nie je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3.	V čl. I bode 6 odporúčame slová „bodom 15“ nahradiť slovami „pätnástym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w:t>
              <w:br/>
            </w:r>
            <w:r>
              <w:rPr>
                <w:b w:val="off"/>
                <w:color w:val="000000"/>
                <w:rFonts w:ascii="Times New Roman" w:hAnsi="Times New Roman" w:cs="Times New Roman" w:eastAsia="Times New Roman"/>
                <w:sz w:val="24"/>
              </w:rPr>
              <w:t>4.	V čl. II bode 4 v poslednej vete navrhujeme slová „je povinná oznámiť“ nahradiť slovom „oznámi“.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navrhované znenie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 a 8</w:t>
              <w:br/>
            </w:r>
            <w:r>
              <w:rPr>
                <w:b w:val="off"/>
                <w:color w:val="000000"/>
                <w:rFonts w:ascii="Times New Roman" w:hAnsi="Times New Roman" w:cs="Times New Roman" w:eastAsia="Times New Roman"/>
                <w:sz w:val="24"/>
              </w:rPr>
              <w:t>5.	V čl. II navrhujeme zlúčiť body 5 a 8 takto: „V § 86 sa vypúšťajú odseky 3 a 6. Doterajšie odseky 4, 5, 7 a 8 sa označujú ako odseky 3 až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legislatívnu techniku za vhodnejšiu z dôvodu zrozumiteľnosti a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w:t>
              <w:br/>
            </w:r>
            <w:r>
              <w:rPr>
                <w:b w:val="off"/>
                <w:color w:val="000000"/>
                <w:rFonts w:ascii="Times New Roman" w:hAnsi="Times New Roman" w:cs="Times New Roman" w:eastAsia="Times New Roman"/>
                <w:sz w:val="24"/>
              </w:rPr>
              <w:t>6.	V čl. II bode 5 sa navrhuje vypustiť v § 86 odsek 3 v nadväznosti na uvedené navrhujeme upraviť aj príslušné vnútorné odkazy napr. v § 156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legislatívnu techniku za vhodnejšiu z dôvodu zrozumiteľnosti a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w:t>
              <w:br/>
            </w:r>
            <w:r>
              <w:rPr>
                <w:b w:val="off"/>
                <w:color w:val="000000"/>
                <w:rFonts w:ascii="Times New Roman" w:hAnsi="Times New Roman" w:cs="Times New Roman" w:eastAsia="Times New Roman"/>
                <w:sz w:val="24"/>
              </w:rPr>
              <w:t>7.	V čl. II bode 12 odporúčame slová „nie je neschopný plniť“ nahradiť slovami „nie je schopný plniť“ alebo „je neschopný 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13</w:t>
              <w:br/>
            </w:r>
            <w:r>
              <w:rPr>
                <w:b w:val="off"/>
                <w:color w:val="000000"/>
                <w:rFonts w:ascii="Times New Roman" w:hAnsi="Times New Roman" w:cs="Times New Roman" w:eastAsia="Times New Roman"/>
                <w:sz w:val="24"/>
              </w:rPr>
              <w:t>8.	V čl. II bode 13 sa vkladá nový odsek 2, preto odporúčame upraviť príslušné vnútorné odkazy v terajšom § 88 ods. 9 a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14</w:t>
              <w:br/>
            </w:r>
            <w:r>
              <w:rPr>
                <w:b w:val="off"/>
                <w:color w:val="000000"/>
                <w:rFonts w:ascii="Times New Roman" w:hAnsi="Times New Roman" w:cs="Times New Roman" w:eastAsia="Times New Roman"/>
                <w:sz w:val="24"/>
              </w:rPr>
              <w:t>9.	V čl. II bode 14 v § 88 ods. 6 odporúčame  na konci predposlednej vety pripojiť čiarku a tieto slová „ktoré sú záväzné“ a vypustiť poslednú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16</w:t>
              <w:br/>
            </w:r>
            <w:r>
              <w:rPr>
                <w:b w:val="off"/>
                <w:color w:val="000000"/>
                <w:rFonts w:ascii="Times New Roman" w:hAnsi="Times New Roman" w:cs="Times New Roman" w:eastAsia="Times New Roman"/>
                <w:sz w:val="24"/>
              </w:rPr>
              <w:t>10.	V čl. II bode 16 navrhujeme slovo „lehote“ premiestniť za slovo „určenej“.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28</w:t>
              <w:br/>
            </w:r>
            <w:r>
              <w:rPr>
                <w:b w:val="off"/>
                <w:color w:val="000000"/>
                <w:rFonts w:ascii="Times New Roman" w:hAnsi="Times New Roman" w:cs="Times New Roman" w:eastAsia="Times New Roman"/>
                <w:sz w:val="24"/>
              </w:rPr>
              <w:t>11.	V čl. II bode 28 navrhujeme vzhľadom na použitie slova „ani“ vypustiť slovo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12.	V čl. III bode 1 odporúčame zachovať pôvodné znenie poznámky pod čiarou k odkazu 41 v plnom znení a v bode 2 v poznámke pod čiarou k odkazu 53ab použiť skrátenú formu (pôvodný odkaz 41).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Ustanovenie § 88 ods. 1 písm. c) informatívneho konsolidovaného znenia zákona č. 566/2001 Z. z. o cenných papieroch a investičných službách a o zmene a doplnení niektorých zákonov (zákon o cenných papieroch) odporúčame zosúladiť s čl. II bodom 12 navrhovanej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názve návrhu zákona slová „o zmene a doplnení niektorých zákonov“ nahradiť slovami „ktorým sa menia a dopĺňajú niektoré zákony“, v čl. I bode 2 slová „bodka nahrádza čiarkou a pripájajú sa“ nahradiť slovami „pripája čiarka a“ a slovo „nestanovuje“ nahradiť slovom „neustanovuje“, v bode 6 úvodnej vete slová „bodom 15“ nahradiť slovami „pätnástym bodom“, v čl. II bode 3 za slová „ods. 7“ vložiť slová „druhej vete“, v bode 6 za slová „ods. 3“ vložiť slová „prvej vete“, v bode 7 za slová „ods. 4“ vložiť slová „druhej vete“, v bode 12  slovo „neschopný“ nahradiť slovom „schopný“, v nadväznosti na bod 13 je potrebné z dôvodu úpravy vnútorného odkazu do návrhu vložiť nový novelizačný bod v tomto znení: „V § 88 ods. 12 sa slová „odsekov 5 a 9“ nahrádzajú slovami „odsekov 7 a 11.“, v bode 19 za slová „ods. 5“ vložiť slová „druhej vete“, v bode 23  za slová „ods. 12“ vložiť slová „druhej vete“, v bode 24 za slová „ods. 17“ vložiť slová „prvej vete“, v bode 26 za slová „ods. 7“ vložiť slová „prvej vete“, v bode 27 za slová „ods. 1“ vložiť slová „prvej vete“, v čl. III bod 1 preformulovať takto: „1. V poznámke pod čiarou k odkazu 41 sa na konci pripájajú tieto slová: „v platnom znení“.“, v bode 2 § 33 ods. 1 písm. d) úvodnej vete vypustiť dvojbodku, v poznámke pod čiarou k odkazu 53ab vypustiť slová „zo 14. júna 2017 o prospekte, ktorý sa má uverejniť pri verejnej ponuke cenných papierov alebo ich prijatí na obchodovanie na regulovanom trhu, a o zrušení smernice 2003/71/ES (Ú. v. EÚ L 168, 30. 6. 2017)“, pretože úplná citácia tohto nariadenia EÚ je už uvedená v poznámke pod čiarou k odkazu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Odporúčame predkladateľovi uviesť správne lokalizácie v tabuľkách zhody.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Tabuľky zhody obsahujú nepresné odkazy na paragrafy, odseky a články, ktoré nekorešpondujú s obsahom vlastného materiálu. Ide napríklad o TZ_1997 9 - Tuzemská legislatíva - Č: II; B: 4; §: 88; O: 4, vo vlastnom materiáli ide o B:14. TZ_2024_2810 - Tuzemská legislatíva - Č: II; B: 2; §: 33; O: 1; P: b), vo vlastnom materiáli ide o čl. III.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Odkazy v tabuľkách zhody sú v súlade s materiálom predloženým do MPK. Pripomienka vychádza z tabuliek zhody predložených do PPK.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w:t>
              <w:br/>
            </w:r>
            <w:r>
              <w:rPr>
                <w:b w:val="off"/>
                <w:color w:val="000000"/>
                <w:rFonts w:ascii="Times New Roman" w:hAnsi="Times New Roman" w:cs="Times New Roman" w:eastAsia="Times New Roman"/>
                <w:sz w:val="24"/>
              </w:rPr>
              <w:t>V názve návrhu zákona slová „o zmene a doplnení niektorých zákonov“ odporúčame nahradiť slovami „ktorým sa menia a dopĺňajú niektoré zákony“.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V bode 6 úvodnej vete slová „bodom 15“ odporúčame nahradiť slovami „pätnástym bodom“.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bodu 1 návrhu zákona</w:t>
              <w:br/>
            </w:r>
            <w:r>
              <w:rPr>
                <w:b w:val="off"/>
                <w:color w:val="000000"/>
                <w:rFonts w:ascii="Times New Roman" w:hAnsi="Times New Roman" w:cs="Times New Roman" w:eastAsia="Times New Roman"/>
                <w:sz w:val="24"/>
              </w:rPr>
              <w:t xml:space="preserve">V §159a ods. 3 písm. a) návrhu zákona odporúčame za slová „rozhodnutia“ vložiť slová „valného zhromaždenia“.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právnej istoty je nevyhnutné špecifikovať druh orgánu akciovej spoločnosti oprávnený na vydanie rozhodnutia o stiahnutí akcií spoločnosti z obchodovania na mnohostrannom obchodnom systéme (obdobne ako je tomu aj v prípadoch uvedených v písm. b) a c) predmetného odseku).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vzhľadom na zmeny v materiáli, na základe ktorých boli ustanovenia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159a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Odporúčame zvážiť systematické rozdelenie navrhovanej úpravy v § 159a. Pokiaľ ide o akcie s viacnásobnými hlasovacími právami, odporúčame napr. v rámci § 159a relatívne neutrálne upraviť, že ide o samostatný druh akcií, hoci nateraz s obmedzením ich emitovania na špecifické subjekty. Pokiaľ ide o osobitné pravidlá pre takéto subjekty t.j. pre akciové spoločnosti s akciovou štruktúrou s viacnásobnými hlasovacími právami, s ktorých akciami sa má obchodovať alebo sa s nimi obchoduje na mnohostrannom obchodnom systéme  odporúčame ich úpravu zvážiť napr. ako nový oddiel Dielu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nie je vylúčené, že vývoj právnej regulácie do budúcnosti dospeje, podobne ako v Českej republike, k všeobecnej možnosti vydávania akcií s rozdielnou váhou hlasov, resp. iných druhov akcií ako sú kmeňové a prioritné. Zo systematického pohľadu je potrebné túto možnosť zvážiť, a preto odporúčame upraviť osobitne akcie s viacnásobnými hlasovacími právami a osobitne pravidlá pre akciové spoločnosti s akciovou štruktúrou s viacnásobnými hlasovacími právami, s ktorých akciami sa má obchodovať alebo sa s nimi obchoduje na mnohostrannom obchodnom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vzhľadom na zmeny v materiáli, na základe ktorých boli ustanovenia vypustené. </w:t>
              <w:br/>
            </w:r>
            <w:r>
              <w:rPr>
                <w:b w:val="off"/>
                <w:color w:val="000000"/>
                <w:rFonts w:ascii="Times New Roman" w:hAnsi="Times New Roman" w:cs="Times New Roman" w:eastAsia="Times New Roman"/>
                <w:sz w:val="24"/>
              </w:rPr>
              <w:t>Pripomienka bola zapracovaná aj v rozsahu zásadnej pripomienky iného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159a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 159a ods. 2 vypustiť druhú vetu a upraviť znenie § 159a pokiaľ ide o ods. 3 písm. c) a d) nasledovne:</w:t>
              <w:br/>
            </w:r>
            <w:r>
              <w:rPr>
                <w:b w:val="off"/>
                <w:color w:val="000000"/>
                <w:rFonts w:ascii="Times New Roman" w:hAnsi="Times New Roman" w:cs="Times New Roman" w:eastAsia="Times New Roman"/>
                <w:sz w:val="24"/>
              </w:rPr>
              <w:t>„c) uplynutím doby určenej v stanovách; ak stanovy dobu neurčujú, uplynutím piatich rokov od začatia obchodovania akcií spoločnosti na mnohostrannom obchodnom systéme,</w:t>
              <w:br/>
            </w:r>
            <w:r>
              <w:rPr>
                <w:b w:val="off"/>
                <w:color w:val="000000"/>
                <w:rFonts w:ascii="Times New Roman" w:hAnsi="Times New Roman" w:cs="Times New Roman" w:eastAsia="Times New Roman"/>
                <w:sz w:val="24"/>
              </w:rPr>
              <w:t>d) dňom účinnosti prevodu alebo prechodu akcie na inú osobu; to neplatí v prípade prechodu akcie na dediča, ak tak určia stanovy.“.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Hlavným cieľom Smernice (EÚ) 2024/2810 je zatraktívniť európske burzy pre inovatívne firmy a rodinné podniky. Prísna regulácia, ktorá zakladateľa po relatívne krátkom čase (5 rokov) vystavuje riziku straty kontroly alebo ho núti opakovane žiadať o predĺženie práv na valnom zhromaždení, vnáša do riadenia spoločnosti dodatočné transakčné náklady ako aj právnu neistotu. Môže tak odrádzať úspešné spoločnosti od kótovania a motivuje ich hľadaniu financovania v jurisdikciách s flexibilnejšou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 159a ods. 2,  a teda riešenie otázky prevoditeľnosti, kogentný zákaz prevoditeľnosti odporúčame vypustiť, keďže ani zo smernice takýto zákaz nevyplýva. Úprava následkov prevodu a prechodu v navrhovanom ods. 3 je dostačujúca.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tzv. časový sunset v § 159a ods. 3 písm. c), návrh fixnej päťročnej lehoty s nutnosťou predlžovania na valnom zhromaždení sa v kontexte inovačného cyklu firiem (často presahujúceho 10 rokov) javí ako nepostačujúci. Odporúčame preto model, pri ktorom sa zakladateľom a investorom umožňuje dohodnúť sa na „dobe ochrany“ už pri vstupe na trh. Investor tak kupuje akcie s plným vedomím dĺžky trvania osobitných práv zakladateľa, čo zvyšuje transparentnosť a predvídateľnosť. Pravidlo o piatich rokoch by  malo zostať zachované pre prípad, že si akcionári v stanovách iný čas nedohodnú.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prechod na dediča, ustanovenie § 159a ods. 3 písm. d) by na takúto situáciu malo reagovať. Akcie s viacnásobnými hlasovacími právami by mali ostať nástrojom na zabezpečenie stability firmy pri medzigeneračnom prechode. Navrhovaná výnimka pre dedičov (ak tak stanovy určia) zabraňuje tomu, aby úmrtie zakladateľa automaticky viedlo k okamžitej strate kontroly zakladateľskej rodiny nad spoločnosťou, hoci na to nemusí byť ekonomický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zapracovaná, nakoľko vzhľadom na zvolené iné riešenie ustanovenia boli z návrhu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86 ods. 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 86 ods. 1 odporúčame na konci doplniť túto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„Odobratie povolenia na poskytovanie investičných služieb alebo zánik povolenia na poskytovanie investičných služieb podľa § 60 ods. 1 písm. a) nie je prekážkou na postup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86 ods. 1 by mohlo vo vzťahu k aktivácii mechanizmu vyplácania náhrad z Garančného fondu investícií (GFI) vyvolávať výkladové pochybnosti, pokiaľ ide o riešenie situácií, v ktorých neschopnosť plniť záväzky voči klientom nastane v blízkej časovej súvislosti s odobratím povolenia na poskytovanie investičných služieb alebo s jeho zánikom. Doplnením vety uvedenej v pripomienke by  sa malo predísť riziku takého výkladu. Navrhované doplnenie tak poskytuje vyššiu mieru istoty v tom, že ochrana klientov a ich nárok na náhradu z GFI zostávajú zachované bez ohľadu na aktuálny stav licencie subjektu, ak nároky klientov vznikli v čase, keď toto povolenie existovalo.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88 ods. 14</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Navrhované ustanovenie § 88 ods. 14 odporúčame rozdeliť do dvoch samostatných odsekov,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Obchodník s cennými papiermi, u ktorého sa stal klientsky majetok nedostupným podľa § 82 ods. 1, je povinný na žiadosť fondu a v lehote ním určenej poskytnúť podklady potrebné na overenie nárokov klientov a výpočet náhrady. Ak je nad obchodníkom s cennými papiermi zavedená nútená správa, má túto povinnosť nútený správca; ak je vyhlásený konkurz, má túto povinnosť správca.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(15) Štátne orgány a iné osoby, ktoré z úradnej moci alebo vzhľadom na predmet svojej činnosti vedú evidenciu osôb a ich majetku, sú povinné na účely podľa odseku 14 poskytnúť fondu potrebnú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odseku 14 je potrebné rozlíšiť, kto je primárnym nositeľom povinnosti (t.j. obchodník s cennými papiermi, nútený správca a správca) a kto k plneniu (primárnej) povinnosti poskytuje súčinnosť na to, aby sa dosiahol cieľ činnosti fondu. Povinnosť poskytnúť súčinnosť je zároveň vhodné zovšeobecniť.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navrhované znenie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86 ods. 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doplniť prechodné ustanovenie k § 86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doplnenia prechodného ustanovenia je zabezpečenie kontinuity ochrany klientov. Je potrebné zamedziť vzniku právnej neistoty pri subjektoch, ktoré by stratili povolenie krátko pred účinnosťou navrhovanej právnej úpravy, no ich neschopnosť uspokojiť nároky klientov pretrváva.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akceptovanie pripomienky k Čl. II; § 86 ods. 1, je táto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33</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Ustanovenie  § 33 navrhujeme 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Povinnosti týkajúce sa spoločností s akciovou štruktúrou s viacnásobnými hlasovacími právami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Spoločnosť s akciovou štruktúrou s viacnásobnými hlasovacími právami 53aa), s ktorej akciami sa má obchodovať alebo sa s nimi obchoduje na rastovom trhu pre malé a stredné podniky (ďalej len „rastový trh“) je povinná zahrnúť  informácie uvedené v odseku 3 do týchto dokumentov:</w:t>
              <w:br/>
            </w:r>
            <w:r>
              <w:rPr>
                <w:b w:val="off"/>
                <w:color w:val="000000"/>
                <w:rFonts w:ascii="Times New Roman" w:hAnsi="Times New Roman" w:cs="Times New Roman" w:eastAsia="Times New Roman"/>
                <w:sz w:val="24"/>
              </w:rPr>
              <w:t>a) do prospektu podľa osobitného predpisu, 53ab) alebo do vhodného dokumentu o prijatí bez ohľadu na to, ktorý z nich spoločnosť uverejní, a</w:t>
              <w:br/>
            </w:r>
            <w:r>
              <w:rPr>
                <w:b w:val="off"/>
                <w:color w:val="000000"/>
                <w:rFonts w:ascii="Times New Roman" w:hAnsi="Times New Roman" w:cs="Times New Roman" w:eastAsia="Times New Roman"/>
                <w:sz w:val="24"/>
              </w:rPr>
              <w:t>b) do ročnej finančnej správy, ak došlo k zmene informácií uvedených v odseku 3 od posledného uverejnenia týchto informácií v prospekte podľa osobitného predpisu, 53ab) alebo vo vhodnom dokumente o prijatí alebo v predchádzajúcej ročnej finančnej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Spoločnosť s akciovou štruktúrou s viacnásobnými hlasovacími právami 53aa), s ktorej akciami sa má obchodovať alebo sa s nimi obchoduje na mnohostrannom obchodnom systéme neregistrovanom ako rastový trh, je povinná zahrnúť informácie uvedené v odseku 3 do týchto dokumentov:</w:t>
              <w:br/>
            </w:r>
            <w:r>
              <w:rPr>
                <w:b w:val="off"/>
                <w:color w:val="000000"/>
                <w:rFonts w:ascii="Times New Roman" w:hAnsi="Times New Roman" w:cs="Times New Roman" w:eastAsia="Times New Roman"/>
                <w:sz w:val="24"/>
              </w:rPr>
              <w:t>a) do prospektu podľa osobitného predpisu, 53ab) alebo do dokumentu o prijatí, ak  spoločnosť takýto prospekt alebo dokument uverejní, a</w:t>
              <w:br/>
            </w:r>
            <w:r>
              <w:rPr>
                <w:b w:val="off"/>
                <w:color w:val="000000"/>
                <w:rFonts w:ascii="Times New Roman" w:hAnsi="Times New Roman" w:cs="Times New Roman" w:eastAsia="Times New Roman"/>
                <w:sz w:val="24"/>
              </w:rPr>
              <w:t>b) do ročnej finančnej správy, ak informácie uvedené v odseku 3 neboli predtým uverejnené alebo sa zmenili od posledného uverejnenia v prospekte podľa osobitného predpisu, 53ab) alebo v dokumente o prijatí alebo v predchádzajúcej ročnej finančnej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Informácie na účely podľa odsekov 1 a 2 sú:</w:t>
              <w:br/>
            </w:r>
            <w:r>
              <w:rPr>
                <w:b w:val="off"/>
                <w:color w:val="000000"/>
                <w:rFonts w:ascii="Times New Roman" w:hAnsi="Times New Roman" w:cs="Times New Roman" w:eastAsia="Times New Roman"/>
                <w:sz w:val="24"/>
              </w:rPr>
              <w:t>a) akciová štruktúra spoločnosti s uvedením jednotlivých tried akcií vrátane akcií, ktoré nie sú prijaté na obchodovanie, a pre každú triedu akcií:</w:t>
              <w:br/>
            </w:r>
            <w:r>
              <w:rPr>
                <w:b w:val="off"/>
                <w:color w:val="000000"/>
                <w:rFonts w:ascii="Times New Roman" w:hAnsi="Times New Roman" w:cs="Times New Roman" w:eastAsia="Times New Roman"/>
                <w:sz w:val="24"/>
              </w:rPr>
              <w:t>1. práva a povinnosti spojené s týmito akciami v uvedenej triede,</w:t>
              <w:br/>
            </w:r>
            <w:r>
              <w:rPr>
                <w:b w:val="off"/>
                <w:color w:val="000000"/>
                <w:rFonts w:ascii="Times New Roman" w:hAnsi="Times New Roman" w:cs="Times New Roman" w:eastAsia="Times New Roman"/>
                <w:sz w:val="24"/>
              </w:rPr>
              <w:t>2. percentuálny podiel celkového základného imania alebo celkového počtu akcií, ktoré akcie v uvedenej triede predstavujú, a</w:t>
              <w:br/>
            </w:r>
            <w:r>
              <w:rPr>
                <w:b w:val="off"/>
                <w:color w:val="000000"/>
                <w:rFonts w:ascii="Times New Roman" w:hAnsi="Times New Roman" w:cs="Times New Roman" w:eastAsia="Times New Roman"/>
                <w:sz w:val="24"/>
              </w:rPr>
              <w:t>3. celkový počet hlasov, ktoré akcie v uvedenej triede predstavujú,</w:t>
              <w:br/>
            </w:r>
            <w:r>
              <w:rPr>
                <w:b w:val="off"/>
                <w:color w:val="000000"/>
                <w:rFonts w:ascii="Times New Roman" w:hAnsi="Times New Roman" w:cs="Times New Roman" w:eastAsia="Times New Roman"/>
                <w:sz w:val="24"/>
              </w:rPr>
              <w:t>b) akékoľvek obmedzenia týkajúce sa prevodu akcií vrátane dohôd medzi akcionármi, ktoré sú jej známe a ktoré by mohli viesť k takýmto obmedzeniam,</w:t>
              <w:br/>
            </w:r>
            <w:r>
              <w:rPr>
                <w:b w:val="off"/>
                <w:color w:val="000000"/>
                <w:rFonts w:ascii="Times New Roman" w:hAnsi="Times New Roman" w:cs="Times New Roman" w:eastAsia="Times New Roman"/>
                <w:sz w:val="24"/>
              </w:rPr>
              <w:t>c) akékoľvek obmedzenia hlasovacích práv akcií vrátane dohôd medzi akcionármi, ktoré sú jej známe a ktoré by mohli viesť k takýmto obmedzeniam,</w:t>
              <w:br/>
            </w:r>
            <w:r>
              <w:rPr>
                <w:b w:val="off"/>
                <w:color w:val="000000"/>
                <w:rFonts w:ascii="Times New Roman" w:hAnsi="Times New Roman" w:cs="Times New Roman" w:eastAsia="Times New Roman"/>
                <w:sz w:val="24"/>
              </w:rPr>
              <w:t>d) totožnosť akcionárov, ak je jej známa, ktorí majú v držbe akcie s viacnásobnými hlasovacími právami predstavujúce viac ako 5 % hlasovacích práv jej všetkých akcií, a prípadne totožnosť fyzických osôb alebo právnických osôb oprávnených vykonávať hlasovacie práva v mene týchto akcionárov; pri fyzických osobách sa na tento účel uvádza len ich meno a priezvisko.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Burza a obchodník s cennými papiermi organizujúci mnohostranný obchodný systém identifikujú akcie s viacnásobnými hlasovacími právami prijaté na obchodovanie na mnohostrannom obchodnom systéme.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Spoločnosť s akciovou štruktúrou s viacnásobnými hlasovacími právami informuje burzu alebo obchodníka s cennými papiermi organizujúceho mnohostranný obchodný systém o skutočnosti, že vydala akcie s viacnásobnými hlasovacími právami, a to najneskôr pri podaní žiadosti o ich prijatie na obchodovanie.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Burza a obchodník s cennými papiermi organizujúci mnohostranný obchodný systém nesmú pri prijímaní akcií na obchodovanie spoločnosť s akciovou štruktúrou s viacnásobnými hlasovacími právami akýmkoľvek spôsobom diskriminovať.".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53aa až 53ac znejú:</w:t>
              <w:br/>
            </w:r>
            <w:r>
              <w:rPr>
                <w:b w:val="off"/>
                <w:color w:val="000000"/>
                <w:rFonts w:ascii="Times New Roman" w:hAnsi="Times New Roman" w:cs="Times New Roman" w:eastAsia="Times New Roman"/>
                <w:sz w:val="24"/>
              </w:rPr>
              <w:t>„53aa) Napríklad § 159a Obchodného zákonníka.</w:t>
              <w:br/>
            </w:r>
            <w:r>
              <w:rPr>
                <w:b w:val="off"/>
                <w:color w:val="000000"/>
                <w:rFonts w:ascii="Times New Roman" w:hAnsi="Times New Roman" w:cs="Times New Roman" w:eastAsia="Times New Roman"/>
                <w:sz w:val="24"/>
              </w:rPr>
              <w:t>53ab) Čl. 6 a 15a nariadenia Európskeho parlamentu a Rady (EÚ) 2017/1129 zo 14. júna 2017 o prospekte, ktorý sa má uverejniť pri verejnej ponuke cenných papierov alebo ich prijatí na obchodovanie na regulovanom trhu, a o zrušení smernice 2003/71/ES (Ú. v. EÚ L 168, 30. 6. 2017)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textové úpravy súvisia so zlepšením zrozumiteľnosti a efektívnou transpozíciou článku 5 smernice (EÚ) 2024/2810 o štruktúrach s akciami s viacnásobným hlasovacím právom.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1.	Pri preukazovaní transpozície čl. 2 smernice (EÚ) 2024/2810 žiadame nahradiť vo všetkých prípadoch označenie „O“ ako odsek, písmenom „B“ ako bod daného článku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2.	Pri preukazovaní transpozície čl. 2 bodu 3 smernice (EÚ) 2024/2810 žiadame doplniť do ôsmeho stĺpca tabuľky zhody informáciu, že z povahy transpozičného opatrenia vyplýva naplnenie definičných znakov akciovej štruktúry s viacnásobnými hlasovacími právami.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3.	Žiadame preukázať transpozíciu čl. 3 ods. 2 smernice (EÚ) 2024/2810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má za to, že vyjadrenie návrhu „Stanovy spoločnosti, ktorej akcie sa majú prijať na obchodovanie na mnohostrannom obchodnom systéme“ jednoznačne definujú, že sa stanovuje možnosť spoločnosti prijať takýto druh akcií pred tým, ako sa začne uchádzať o prijatie akcií na obchodovanie v systéme MTF.</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4.	Pri preukazovaní transpozície čl. 3 ods. 5 smernice (EÚ) 2024/2810 žiadame v treťom stĺpci tabuľky zhody uvádzať označenie „N“ a v siedmom stĺpci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5.	Žiadame spojiť do jedného riadku preukazovanie transpozície čl. 4 ods. 1 písm. b) smernice (EÚ) 2024/2810 s jeho bodom i) a ii), nakoľko ide o transpozíciu s možnosťou voľby, ktorú žiadame označiť písmenom „O“. V prípade tých častí transpozície, ku ktorých využitiu nedochádza, žiadame v siedmom stĺpci tabuľky zhody uvádzať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6.	Pri preukazovaní transpozície čl. 5 ods. 1 písm. a) nie je zrejmé, či uvádzaným transpozičným opatrením dochádza aj k zmene transpozície čl. 33 ods. 3 písm. c) smernice 2014/65/EÚ v platnom znení. V prípade, že tomu tak je, žiadame predložiť v ďalšom štádiu tohto legislatívneho procesu čiastkovú tabuľku zhody so smernicou 2014/65/EÚ v platnom znení, ktorou sa preukáže, že úplnosť a správnosť tejto transpozície je zachovaná.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Transpozíciou čl. 5 ods. 1 písm. a) smernice (EÚ) 2024/2810 nedochádza k zmene transpozície čl. 33 ods. 3 písm. c) smernice (EÚ) 2014/65. Smernica (EÚ) 2024/2810 vyžaduje zahrnutie určitých informácií buď do prospektu alebo do dokumentu o prijatí. </w:t>
              <w:br/>
            </w:r>
            <w:r>
              <w:rPr>
                <w:b w:val="off"/>
                <w:color w:val="000000"/>
                <w:rFonts w:ascii="Times New Roman" w:hAnsi="Times New Roman" w:cs="Times New Roman" w:eastAsia="Times New Roman"/>
                <w:sz w:val="24"/>
              </w:rPr>
              <w:t>Tento dokument o prijatí je definovaný v čl. 33 ods. 3 písm. c) smernice (EÚ) 2014/65 a uvedené ustanovenie je prebraté do zákona č. 429/2002 Z. z. o burze - § 56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má za to, že transpozícia bola preukázaná.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7.	Žiadame preukázať transpozíciu čl. 5 ods. 1 písm. b) smernice (EÚ) 2024/2810 do vnútroštátneho právneho poriadku a to pokiaľ ide o zhrnutie informácií do výročnej finančnej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 34 zákona č. 429/2002 Z. z. o burze je emitent povinný zverejniť ročnú finančnú správu. Uvedená požiadavka vyplýva z čl. 4 smernice 2004/109/ES. V anglickom origináli hovorí smernice o „Annual Financial Report“. Slovenské znenie je preložené ako „ročná finančná správa“. Smernica (EÚ) 2024/2810 rovnako vyžaduje „annual financial report“ v zmysle delegovaného nariadenia Komisie (EÚ) 2017/565, ktorý je preložený ako „výročná finančná správa“. Z uvedeného vyplýva, že transpozícia je úplná, je len rozdiel v preklade do slovenského jazyka.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2024/2810:</w:t>
              <w:br/>
            </w:r>
            <w:r>
              <w:rPr>
                <w:b w:val="off"/>
                <w:color w:val="000000"/>
                <w:rFonts w:ascii="Times New Roman" w:hAnsi="Times New Roman" w:cs="Times New Roman" w:eastAsia="Times New Roman"/>
                <w:sz w:val="24"/>
              </w:rPr>
              <w:t>8.	Žiadame preukázať transpozíciu čl. 5 ods. 2 písm. b) smernice (EÚ) 2024/2810 do vnútroštátneho právneho poriadku a to pokiaľ ide o zhrnutie informácií do výročnej finančnej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 34 zákona č. 429/2002 Z. z. o burze je emitent povinný zverejniť ročnú finančnú správu. Uvedená požiadavka vyplýva z čl. 4 smernice 2004/109/ES. V anglickom origináli hovorí smernice o „Annual Financial Report“. Slovenské znenie je preložené ako „ročná finančná správa“. Smernica (EÚ) 2024/2810 rovnako vyžaduje „annual financial report“ v zmysle delegovaného nariadenia Komisie (EÚ) 2017/565, ktorý je preložený ako „výročná finančná správa“. Z uvedeného vyplýva, že transpozícia je úplná, je len rozdiel v preklade do slovenského jazyka.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2017/828:</w:t>
              <w:br/>
            </w:r>
            <w:r>
              <w:rPr>
                <w:b w:val="off"/>
                <w:color w:val="000000"/>
                <w:rFonts w:ascii="Times New Roman" w:hAnsi="Times New Roman" w:cs="Times New Roman" w:eastAsia="Times New Roman"/>
                <w:sz w:val="24"/>
              </w:rPr>
              <w:t>Pri preukazovaní transpozície čl. 1 ods. 4 žiadame rozdeliť tento odsek na dve časti a rozlišovať medzi bežnou a dobrovoľnou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zvážil uvedenie tohto článku v tabuľke zhody a nakoľko sa v ňom nevykonáva zmena, ustanovenie nebude v tabuľke zhody uvádzať.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97/9/ES:</w:t>
              <w:br/>
            </w:r>
            <w:r>
              <w:rPr>
                <w:b w:val="off"/>
                <w:color w:val="000000"/>
                <w:rFonts w:ascii="Times New Roman" w:hAnsi="Times New Roman" w:cs="Times New Roman" w:eastAsia="Times New Roman"/>
                <w:sz w:val="24"/>
              </w:rPr>
              <w:t>1.	V ľavom záhlaví tabuľky zhody žiadame uvádzať citáciu smernice nasledovne: „Smernica Európskeho parlamentu a Rady 97/9/ES z 3. marca 1997 o systémoch náhrad pre investorov (Mimoriadne vydanie Ú. v. EÚ, kap. 6/zv. 2; Ú. v. ES L 84, 26.3.1997)“.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97/9/ES:</w:t>
              <w:br/>
            </w:r>
            <w:r>
              <w:rPr>
                <w:b w:val="off"/>
                <w:color w:val="000000"/>
                <w:rFonts w:ascii="Times New Roman" w:hAnsi="Times New Roman" w:cs="Times New Roman" w:eastAsia="Times New Roman"/>
                <w:sz w:val="24"/>
              </w:rPr>
              <w:t>2.	V súvislosti s transpozíciou čl. 2 ods. 2 smernice 97/9/ES žiadame vysvetliť, či dochádza k zabezpečeniu krytia aj keď vydal rozhodnutie súdny orgán.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zmysle smernice 97/9/ES dochádza ku krytiu náhrad pre investorov v prípade, ak príslušný orgán zistil, že spoločnosť nie je schopná plniť svoje záväzky alebo ak súdny orgán vydal rozhodnutie. Náhrada sa poskytuje za nedostupný klientsky majetok, ktorý je definovaný v § 82 ods. 1 zákona č. 566/2001 Z. z. o cenných papieroch a investičných službách, ktorý v písm. b) hovorí, že „ „Nedostupným klientskym majetkom je klientsky majetok prijatý obchodníkom s cennými papiermi alebo zahraničným obchodníkom s cennými papiermi, ktorému bolo pozastavené nakladanie s klientskym majetkom v dôsledku vyhlásenia konkurzu“. Uvedené je preukázané v TZ 1997-9.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97/9/ES:</w:t>
              <w:br/>
            </w:r>
            <w:r>
              <w:rPr>
                <w:b w:val="off"/>
                <w:color w:val="000000"/>
                <w:rFonts w:ascii="Times New Roman" w:hAnsi="Times New Roman" w:cs="Times New Roman" w:eastAsia="Times New Roman"/>
                <w:sz w:val="24"/>
              </w:rPr>
              <w:t>3.	Žiadame preukázať transpozíciu čl. 9 ods. 1 smernice 97/9/ES do vnútroštátneho právneho poriadku, a to pokiaľ ide o čo najskoršie odškodnenie.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transpozícii čl. 9 ods. 1 smernice 97/9/ES je potrebné vziať do úvahy aj odsek 2 daného článku, ktorý uvádza, že pohľadávku investora systém náhrad zaplatí najneskôr do troch mesiacov od zistenia vzniku nároku. Lehota na vyplatenie nie je určená pevne, ale relatívne, pričom najdôležitejším aspektom vyplatenia je overenie individuálnych nárokov a vypočítanie individuálnej výšky náhrady. K vyplateniu dochádza bezprostredne, teda bez zbytočného odkladu, po vykonaní uvedených úkonov, pričom náročnosť jednotlivých úkonov (overenie nárokov, dostupnosť a pravdivosť informácií, ocenenie) je veľmi rozličná a závisí od okolností prípadu.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uvádzať citáciu nariadení EÚ vrátane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doložke zlučiteľnosti žiadame uvádzať úplnú citáciu smernice 97/9/ES nasledovne: „smernica Európskeho parlamentu a Rady 97/9/ES z 3. marca 1997 o systémoch náhrad pre investorov (Mimoriadne vydanie Ú. v. EÚ, kap. 6/zv. 2; Ú. v. ES L 84, 26.3.1997)“.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Vo všetkých sprievodných dokumentoch žiadame uvádzať úplnú citáciu smernice 97/9/ES nasledovne: „smernica Európskeho parlamentu a Rady 97/9/ES z 3. marca 1997 o systémoch náhrad pre investorov (Mimoriadne vydanie Ú. v. EÚ, kap. 6/zv. 2; Ú. v. ES L 84, 26.3.1997)“.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159a)</w:t>
              <w:br/>
            </w:r>
            <w:r>
              <w:rPr>
                <w:b w:val="off"/>
                <w:color w:val="000000"/>
                <w:rFonts w:ascii="Times New Roman" w:hAnsi="Times New Roman" w:cs="Times New Roman" w:eastAsia="Times New Roman"/>
                <w:sz w:val="24"/>
              </w:rPr>
              <w:t>Navrhujeme umožniť vydávanie akcií s viacnásobnými hlasovacími právami všetkým akciovým spoločnostiam a obmedziť obchodovateľnosť takýchto akcií v súlade so smernicou.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159a novely zákona č. 513/1991 Zb. Obchodný zákonník v časti umožňujúcej vydávanie akcií s viacnásobnými hlasovacími právami výlučne akciovými spoločnosťami, ktorých akcie sa majú prijať na obchodovanie na mnohostrannom obchodnom systéme, považujeme za neodôvodnene reštriktívne.</w:t>
              <w:br/>
            </w:r>
            <w:r>
              <w:rPr>
                <w:b w:val="off"/>
                <w:color w:val="000000"/>
                <w:rFonts w:ascii="Times New Roman" w:hAnsi="Times New Roman" w:cs="Times New Roman" w:eastAsia="Times New Roman"/>
                <w:sz w:val="24"/>
              </w:rPr>
              <w:t xml:space="preserve">Upozorňujeme, že predmetná úprava má predstavovať transpozíciu smernice EU, ktorá je reakciou na už existujúcu prax v niektorých členských štátoch, v ktorých je možné vydávať akcie s viacnásobnými hlasovacími právami, za účelom nastavenia určitých obmedzení vo vzťahu k obchodovateľnosti takýchto akcií. Z tohto pohľadu je zrejmé, že smernica nevyžaduje, aby vnútroštátna právna úprava umožňovala vydávanie takýchto akcií len úzko vymedzenému okruhu subjektov. Nie je zrejmé, prečo by možnosť vydávať neobchodovateľné akcie s viacnásobnými hlasovacími právami nemala byť priznaná aj iným akciovým spoločnostiam. </w:t>
              <w:br/>
            </w:r>
            <w:r>
              <w:rPr>
                <w:b w:val="off"/>
                <w:color w:val="000000"/>
                <w:rFonts w:ascii="Times New Roman" w:hAnsi="Times New Roman" w:cs="Times New Roman" w:eastAsia="Times New Roman"/>
                <w:sz w:val="24"/>
              </w:rPr>
              <w:t>Okrem skutočnosti, že návrh je neodôvodnene reštriktívny, tak v podnikateľskom prostredí a praxi by daná úprava bola nevyužiteľná a existuje malý počet spoločností, ktorých akcie sa obchodujú na burze cenných papierov. Práve umožnenie vydávania akcií s viacnásobnými hlasovacími právami má rozšíriť možnosti pre všetky akciové spoločnosti a tak im dať väčšiu flexibilitu rozvoja podnikateľského prostredia a získania nových investorov.</w:t>
              <w:br/>
            </w:r>
            <w:r>
              <w:rPr>
                <w:b w:val="off"/>
                <w:color w:val="000000"/>
                <w:rFonts w:ascii="Times New Roman" w:hAnsi="Times New Roman" w:cs="Times New Roman" w:eastAsia="Times New Roman"/>
                <w:sz w:val="24"/>
              </w:rPr>
              <w:t>Tiež upozorňujeme, že v rozpore s legislatívnymi pravidlami navrhované znenie ustanovení zákona č. 566/2001 Z. z. o cenných papieroch a investičných službách upravuje záležitosti, ktoré nesúvisia s navrhovanými zmenami a doplneniami Obchodného zákonníka.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11. mája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prvej časti pripomienky predkladateľ pripomienku akceptoval a v spolupráci s pripomienkujúcim subjektom úpravu zapracoval - 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Druhá časť pripomienky bola vysvetlená, rozpor nevzniká.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43 (43o,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