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915A5A5" w:rsidR="00054C41" w:rsidRPr="001F1B43" w:rsidRDefault="00054C41" w:rsidP="007709A3">
      <w:pPr>
        <w:ind w:left="1985" w:hanging="1985"/>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EE34CE">
        <w:rPr>
          <w:rFonts w:ascii="Times New Roman" w:eastAsia="Calibri" w:hAnsi="Times New Roman" w:cs="Times New Roman"/>
          <w:b/>
          <w:sz w:val="24"/>
          <w:szCs w:val="24"/>
        </w:rPr>
        <w:t xml:space="preserve"> Návrh</w:t>
      </w:r>
      <w:r w:rsidR="00A54EA9">
        <w:rPr>
          <w:rFonts w:ascii="Times New Roman" w:eastAsia="Calibri" w:hAnsi="Times New Roman" w:cs="Times New Roman"/>
          <w:b/>
          <w:sz w:val="24"/>
          <w:szCs w:val="24"/>
        </w:rPr>
        <w:t xml:space="preserve"> </w:t>
      </w:r>
      <w:r w:rsidR="00EE34CE" w:rsidRPr="00EE34CE">
        <w:rPr>
          <w:rFonts w:ascii="Times New Roman" w:eastAsia="Calibri" w:hAnsi="Times New Roman" w:cs="Times New Roman"/>
          <w:b/>
          <w:sz w:val="24"/>
          <w:szCs w:val="24"/>
        </w:rPr>
        <w:t>zákona</w:t>
      </w:r>
      <w:r w:rsidR="005C1116">
        <w:rPr>
          <w:rFonts w:ascii="Times New Roman" w:eastAsia="Calibri" w:hAnsi="Times New Roman" w:cs="Times New Roman"/>
          <w:b/>
          <w:sz w:val="24"/>
          <w:szCs w:val="24"/>
        </w:rPr>
        <w:t>,</w:t>
      </w:r>
      <w:r w:rsidR="00EE34CE" w:rsidRPr="00EE34CE">
        <w:rPr>
          <w:rFonts w:ascii="Times New Roman" w:eastAsia="Calibri" w:hAnsi="Times New Roman" w:cs="Times New Roman"/>
          <w:b/>
          <w:sz w:val="24"/>
          <w:szCs w:val="24"/>
        </w:rPr>
        <w:t xml:space="preserve"> </w:t>
      </w:r>
      <w:r w:rsidR="005C1116" w:rsidRPr="005C1116">
        <w:rPr>
          <w:rFonts w:ascii="Times New Roman" w:eastAsia="Calibri" w:hAnsi="Times New Roman" w:cs="Times New Roman"/>
          <w:b/>
          <w:sz w:val="24"/>
          <w:szCs w:val="24"/>
        </w:rPr>
        <w:t>ktorým sa mení a d</w:t>
      </w:r>
      <w:r w:rsidR="005C1116">
        <w:rPr>
          <w:rFonts w:ascii="Times New Roman" w:eastAsia="Calibri" w:hAnsi="Times New Roman" w:cs="Times New Roman"/>
          <w:b/>
          <w:sz w:val="24"/>
          <w:szCs w:val="24"/>
        </w:rPr>
        <w:t>opĺňa zákon č. 297/2008 Z. z. o </w:t>
      </w:r>
      <w:r w:rsidR="005C1116" w:rsidRPr="005C1116">
        <w:rPr>
          <w:rFonts w:ascii="Times New Roman" w:eastAsia="Calibri" w:hAnsi="Times New Roman" w:cs="Times New Roman"/>
          <w:b/>
          <w:sz w:val="24"/>
          <w:szCs w:val="24"/>
        </w:rPr>
        <w:t>ochrane pred legalizáciou príjmov z trestnej činnosti a o ochrane pred financovaním terorizmu a o zmene a doplnení niektorých zákonov v znení neskorších predpisov a ktorým sa menia a dopĺňajú niektoré zákony</w:t>
      </w:r>
    </w:p>
    <w:p w14:paraId="2711DC2C" w14:textId="396D1D71"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A54EA9">
        <w:rPr>
          <w:rFonts w:ascii="Times New Roman" w:eastAsia="Calibri" w:hAnsi="Times New Roman" w:cs="Times New Roman"/>
          <w:b/>
          <w:sz w:val="24"/>
          <w:szCs w:val="24"/>
        </w:rPr>
        <w:t xml:space="preserve"> </w:t>
      </w:r>
      <w:r w:rsidR="00EE34CE">
        <w:rPr>
          <w:rFonts w:ascii="Times New Roman" w:eastAsia="Calibri" w:hAnsi="Times New Roman" w:cs="Times New Roman"/>
          <w:b/>
          <w:sz w:val="24"/>
          <w:szCs w:val="24"/>
        </w:rPr>
        <w:t>Ministerstvo vnútra</w:t>
      </w:r>
      <w:r w:rsidR="007709A3">
        <w:rPr>
          <w:rFonts w:ascii="Times New Roman" w:eastAsia="Calibri" w:hAnsi="Times New Roman" w:cs="Times New Roman"/>
          <w:b/>
          <w:sz w:val="24"/>
          <w:szCs w:val="24"/>
        </w:rPr>
        <w:t xml:space="preserve">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7709A3"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Tabuľka č. 1: Zmeny nákladov (ročne) v prepočte na podnikateľské prostredie (PP), vyhodnotenie mechanizmu znižovania byrokracie a náklado</w:t>
      </w:r>
      <w:r w:rsidR="000A6B7F" w:rsidRPr="007709A3">
        <w:rPr>
          <w:rFonts w:ascii="Times New Roman" w:eastAsia="Calibri" w:hAnsi="Times New Roman" w:cs="Times New Roman"/>
          <w:i/>
          <w:sz w:val="20"/>
          <w:szCs w:val="20"/>
        </w:rPr>
        <w:t>v</w:t>
      </w:r>
      <w:r w:rsidR="00C929AE" w:rsidRPr="007709A3">
        <w:rPr>
          <w:rFonts w:ascii="Times New Roman" w:eastAsia="Calibri" w:hAnsi="Times New Roman" w:cs="Times New Roman"/>
          <w:i/>
          <w:sz w:val="20"/>
          <w:szCs w:val="20"/>
        </w:rPr>
        <w:t>, náklady goldplatingu</w:t>
      </w:r>
      <w:r w:rsidR="00C929AE" w:rsidRPr="007709A3">
        <w:rPr>
          <w:rStyle w:val="Odkaznapoznmkupodiarou"/>
          <w:rFonts w:ascii="Times New Roman" w:eastAsia="Calibri" w:hAnsi="Times New Roman" w:cs="Times New Roman"/>
          <w:i/>
          <w:sz w:val="20"/>
          <w:szCs w:val="20"/>
        </w:rPr>
        <w:footnoteReference w:id="1"/>
      </w:r>
      <w:r w:rsidR="000A6B7F" w:rsidRPr="007709A3">
        <w:rPr>
          <w:rFonts w:ascii="Times New Roman" w:eastAsia="Calibri" w:hAnsi="Times New Roman" w:cs="Times New Roman"/>
          <w:i/>
          <w:sz w:val="20"/>
          <w:szCs w:val="20"/>
        </w:rPr>
        <w:t xml:space="preserve"> </w:t>
      </w:r>
      <w:r w:rsidR="00C929AE" w:rsidRPr="007709A3">
        <w:rPr>
          <w:rFonts w:ascii="Times New Roman" w:eastAsia="Calibri" w:hAnsi="Times New Roman" w:cs="Times New Roman"/>
          <w:i/>
          <w:sz w:val="20"/>
          <w:szCs w:val="20"/>
        </w:rPr>
        <w:t>na podnikateľské prostredie</w:t>
      </w:r>
      <w:r w:rsidRPr="007709A3">
        <w:rPr>
          <w:rFonts w:ascii="Times New Roman" w:eastAsia="Calibri" w:hAnsi="Times New Roman" w:cs="Times New Roman"/>
          <w:i/>
          <w:sz w:val="20"/>
          <w:szCs w:val="20"/>
        </w:rPr>
        <w:t xml:space="preserve">. </w:t>
      </w:r>
    </w:p>
    <w:p w14:paraId="1A77DC61" w14:textId="217E1013" w:rsidR="00054C41"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 xml:space="preserve">Nahraďte rovnakou tabuľkou po vyplnení Kalkulačky nákladov podnikateľského prostredia, ktorá je povinnou prílohou tejto analýzy a nájdete ju na </w:t>
      </w:r>
      <w:hyperlink r:id="rId9" w:history="1">
        <w:r w:rsidRPr="007709A3">
          <w:rPr>
            <w:rFonts w:ascii="Times New Roman" w:eastAsia="Calibri" w:hAnsi="Times New Roman" w:cs="Times New Roman"/>
            <w:i/>
            <w:color w:val="0563C1"/>
            <w:sz w:val="20"/>
            <w:szCs w:val="20"/>
            <w:u w:val="single"/>
          </w:rPr>
          <w:t>webovom sídle MH SR</w:t>
        </w:r>
      </w:hyperlink>
      <w:r w:rsidRPr="007709A3">
        <w:rPr>
          <w:rFonts w:ascii="Times New Roman" w:eastAsia="Calibri" w:hAnsi="Times New Roman" w:cs="Times New Roman"/>
          <w:i/>
          <w:sz w:val="20"/>
          <w:szCs w:val="20"/>
        </w:rPr>
        <w:t>, (ďalej len „Kalkulačka nákladov“):</w:t>
      </w:r>
    </w:p>
    <w:tbl>
      <w:tblPr>
        <w:tblW w:w="8300" w:type="dxa"/>
        <w:tblInd w:w="60" w:type="dxa"/>
        <w:tblCellMar>
          <w:left w:w="70" w:type="dxa"/>
          <w:right w:w="70" w:type="dxa"/>
        </w:tblCellMar>
        <w:tblLook w:val="04A0" w:firstRow="1" w:lastRow="0" w:firstColumn="1" w:lastColumn="0" w:noHBand="0" w:noVBand="1"/>
      </w:tblPr>
      <w:tblGrid>
        <w:gridCol w:w="4540"/>
        <w:gridCol w:w="1880"/>
        <w:gridCol w:w="1880"/>
      </w:tblGrid>
      <w:tr w:rsidR="00EE5F39" w:rsidRPr="00EE5F39" w14:paraId="795FFE4E" w14:textId="77777777" w:rsidTr="00EE5F39">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B8946BD" w14:textId="77777777" w:rsidR="00EE5F39" w:rsidRPr="00EE5F39" w:rsidRDefault="00EE5F39" w:rsidP="00EE5F39">
            <w:pPr>
              <w:spacing w:after="0" w:line="240" w:lineRule="auto"/>
              <w:jc w:val="center"/>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C6B930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5F37F1A"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Zníženie nákladov v € na PP</w:t>
            </w:r>
          </w:p>
        </w:tc>
      </w:tr>
      <w:tr w:rsidR="00EE5F39" w:rsidRPr="00EE5F39" w14:paraId="4044EF2C" w14:textId="77777777" w:rsidTr="00EE5F39">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72ABEBD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4882D04C"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D7DDAEF"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0CC4A7B5"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F98377D"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7D957B5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AA9BD00"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48E86AA4"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F628425"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317484E4"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E1AE5A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64B55D26" w14:textId="77777777" w:rsidTr="00EE5F39">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74FF9E9"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72331B6F"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DB06F94"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5A143EC9" w14:textId="77777777" w:rsidTr="00EE5F39">
        <w:trPr>
          <w:trHeight w:val="300"/>
        </w:trPr>
        <w:tc>
          <w:tcPr>
            <w:tcW w:w="4540" w:type="dxa"/>
            <w:tcBorders>
              <w:top w:val="nil"/>
              <w:left w:val="single" w:sz="8" w:space="0" w:color="auto"/>
              <w:bottom w:val="nil"/>
              <w:right w:val="single" w:sz="4" w:space="0" w:color="auto"/>
            </w:tcBorders>
            <w:shd w:val="clear" w:color="auto" w:fill="auto"/>
            <w:vAlign w:val="center"/>
            <w:hideMark/>
          </w:tcPr>
          <w:p w14:paraId="1CC37996"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121C2FDC" w14:textId="19AA1A07" w:rsidR="00EE5F39" w:rsidRPr="00EE5F39" w:rsidRDefault="00C57063"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28 630</w:t>
            </w:r>
          </w:p>
        </w:tc>
        <w:tc>
          <w:tcPr>
            <w:tcW w:w="1880" w:type="dxa"/>
            <w:tcBorders>
              <w:top w:val="nil"/>
              <w:left w:val="nil"/>
              <w:bottom w:val="nil"/>
              <w:right w:val="single" w:sz="8" w:space="0" w:color="auto"/>
            </w:tcBorders>
            <w:shd w:val="clear" w:color="000000" w:fill="92D050"/>
            <w:vAlign w:val="center"/>
            <w:hideMark/>
          </w:tcPr>
          <w:p w14:paraId="5E64BF85"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49C50D08" w14:textId="77777777" w:rsidTr="00EE5F39">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5B98D5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A6F56A2" w14:textId="7EAD5080" w:rsidR="00EE5F39" w:rsidRPr="00EE5F39" w:rsidRDefault="00C57063"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28 630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C5B6882"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611ED79C" w14:textId="77777777" w:rsidTr="00EE5F39">
        <w:trPr>
          <w:trHeight w:val="300"/>
        </w:trPr>
        <w:tc>
          <w:tcPr>
            <w:tcW w:w="4540" w:type="dxa"/>
            <w:tcBorders>
              <w:top w:val="nil"/>
              <w:left w:val="nil"/>
              <w:bottom w:val="nil"/>
              <w:right w:val="nil"/>
            </w:tcBorders>
            <w:shd w:val="clear" w:color="auto" w:fill="auto"/>
            <w:vAlign w:val="center"/>
            <w:hideMark/>
          </w:tcPr>
          <w:p w14:paraId="2791C286"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1DE0679F"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44F4098A"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p>
        </w:tc>
      </w:tr>
      <w:tr w:rsidR="00EE5F39" w:rsidRPr="00EE5F39" w14:paraId="6FCC2B40" w14:textId="77777777" w:rsidTr="00EE5F39">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7426BC3"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A2D0DDA"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D794155"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Zníženie nákladov v € na PP</w:t>
            </w:r>
          </w:p>
        </w:tc>
      </w:tr>
      <w:tr w:rsidR="00EE5F39" w:rsidRPr="00EE5F39" w14:paraId="2320E91D" w14:textId="77777777" w:rsidTr="00EE5F39">
        <w:trPr>
          <w:trHeight w:val="990"/>
        </w:trPr>
        <w:tc>
          <w:tcPr>
            <w:tcW w:w="4540" w:type="dxa"/>
            <w:tcBorders>
              <w:top w:val="nil"/>
              <w:left w:val="single" w:sz="8" w:space="0" w:color="auto"/>
              <w:bottom w:val="nil"/>
              <w:right w:val="single" w:sz="4" w:space="0" w:color="auto"/>
            </w:tcBorders>
            <w:shd w:val="clear" w:color="auto" w:fill="auto"/>
            <w:vAlign w:val="center"/>
            <w:hideMark/>
          </w:tcPr>
          <w:p w14:paraId="06A41A22"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F. Úplná harmonizácia práva EÚ</w:t>
            </w:r>
            <w:r w:rsidRPr="00EE5F39">
              <w:rPr>
                <w:rFonts w:ascii="Times New Roman" w:eastAsia="Times New Roman" w:hAnsi="Times New Roman" w:cs="Times New Roman"/>
                <w:b/>
                <w:bCs/>
                <w:i/>
                <w:iCs/>
                <w:color w:val="000000"/>
                <w:sz w:val="20"/>
                <w:szCs w:val="20"/>
                <w:lang w:eastAsia="sk-SK"/>
              </w:rPr>
              <w:br/>
            </w:r>
            <w:r w:rsidRPr="00EE5F39">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608B42C5" w14:textId="37DB37E6" w:rsidR="00EE5F39" w:rsidRPr="00EE5F39" w:rsidRDefault="00C57063" w:rsidP="00EE5F3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26 293</w:t>
            </w:r>
          </w:p>
        </w:tc>
        <w:tc>
          <w:tcPr>
            <w:tcW w:w="1880" w:type="dxa"/>
            <w:tcBorders>
              <w:top w:val="nil"/>
              <w:left w:val="nil"/>
              <w:bottom w:val="nil"/>
              <w:right w:val="single" w:sz="8" w:space="0" w:color="auto"/>
            </w:tcBorders>
            <w:shd w:val="clear" w:color="000000" w:fill="92D050"/>
            <w:vAlign w:val="center"/>
            <w:hideMark/>
          </w:tcPr>
          <w:p w14:paraId="598D772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0625DC26" w14:textId="77777777" w:rsidTr="00EE5F39">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09BBE20" w14:textId="77777777" w:rsidR="00EE5F39" w:rsidRPr="00EE5F39" w:rsidRDefault="00EE5F39" w:rsidP="00EE5F39">
            <w:pPr>
              <w:spacing w:after="0" w:line="240" w:lineRule="auto"/>
              <w:rPr>
                <w:rFonts w:ascii="Times New Roman" w:eastAsia="Times New Roman" w:hAnsi="Times New Roman" w:cs="Times New Roman"/>
                <w:b/>
                <w:bCs/>
                <w:i/>
                <w:iCs/>
                <w:color w:val="000000"/>
                <w:sz w:val="20"/>
                <w:szCs w:val="20"/>
                <w:lang w:eastAsia="sk-SK"/>
              </w:rPr>
            </w:pPr>
            <w:r w:rsidRPr="00EE5F39">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1D99B21"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2 337</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4212219"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r w:rsidR="00EE5F39" w:rsidRPr="00EE5F39" w14:paraId="7E8FB510" w14:textId="77777777" w:rsidTr="00EE5F39">
        <w:trPr>
          <w:trHeight w:val="270"/>
        </w:trPr>
        <w:tc>
          <w:tcPr>
            <w:tcW w:w="4540" w:type="dxa"/>
            <w:tcBorders>
              <w:top w:val="nil"/>
              <w:left w:val="nil"/>
              <w:bottom w:val="nil"/>
              <w:right w:val="nil"/>
            </w:tcBorders>
            <w:shd w:val="clear" w:color="auto" w:fill="auto"/>
            <w:noWrap/>
            <w:vAlign w:val="bottom"/>
            <w:hideMark/>
          </w:tcPr>
          <w:p w14:paraId="757B40B8" w14:textId="77777777" w:rsidR="00EE5F39" w:rsidRPr="00EE5F39" w:rsidRDefault="00EE5F39" w:rsidP="00EE5F39">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146EC569"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78981CA4"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r>
      <w:tr w:rsidR="00EE5F39" w:rsidRPr="00EE5F39" w14:paraId="2147751B" w14:textId="77777777" w:rsidTr="00EE5F39">
        <w:trPr>
          <w:trHeight w:val="270"/>
        </w:trPr>
        <w:tc>
          <w:tcPr>
            <w:tcW w:w="4540" w:type="dxa"/>
            <w:tcBorders>
              <w:top w:val="nil"/>
              <w:left w:val="nil"/>
              <w:bottom w:val="nil"/>
              <w:right w:val="nil"/>
            </w:tcBorders>
            <w:shd w:val="clear" w:color="auto" w:fill="auto"/>
            <w:noWrap/>
            <w:vAlign w:val="bottom"/>
            <w:hideMark/>
          </w:tcPr>
          <w:p w14:paraId="6A221FD2" w14:textId="77777777" w:rsidR="00EE5F39" w:rsidRPr="00EE5F39" w:rsidRDefault="00EE5F39" w:rsidP="00EE5F39">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3A2BA29E"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370A4D62"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p>
        </w:tc>
      </w:tr>
      <w:tr w:rsidR="00EE5F39" w:rsidRPr="00EE5F39" w14:paraId="13FB8446" w14:textId="77777777" w:rsidTr="00EE5F39">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D6451BE"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r w:rsidRPr="00EE5F39">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1CA0C410"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5E8E4BB7"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OUT</w:t>
            </w:r>
          </w:p>
        </w:tc>
      </w:tr>
      <w:tr w:rsidR="00EE5F39" w:rsidRPr="00EE5F39" w14:paraId="49C45D7A" w14:textId="77777777" w:rsidTr="00EE5F39">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330E2E46" w14:textId="77777777" w:rsidR="00EE5F39" w:rsidRPr="00EE5F39" w:rsidRDefault="00EE5F39" w:rsidP="00EE5F39">
            <w:pPr>
              <w:spacing w:after="0" w:line="240" w:lineRule="auto"/>
              <w:rPr>
                <w:rFonts w:ascii="Times New Roman" w:eastAsia="Times New Roman" w:hAnsi="Times New Roman" w:cs="Times New Roman"/>
                <w:i/>
                <w:iCs/>
                <w:color w:val="000000"/>
                <w:sz w:val="20"/>
                <w:szCs w:val="20"/>
                <w:lang w:eastAsia="sk-SK"/>
              </w:rPr>
            </w:pPr>
            <w:r w:rsidRPr="00EE5F39">
              <w:rPr>
                <w:rFonts w:ascii="Times New Roman" w:eastAsia="Times New Roman" w:hAnsi="Times New Roman" w:cs="Times New Roman"/>
                <w:i/>
                <w:iCs/>
                <w:color w:val="000000"/>
                <w:sz w:val="20"/>
                <w:szCs w:val="20"/>
                <w:lang w:eastAsia="sk-SK"/>
              </w:rPr>
              <w:t>H</w:t>
            </w:r>
            <w:r w:rsidRPr="00EE5F39">
              <w:rPr>
                <w:rFonts w:ascii="Times New Roman" w:eastAsia="Times New Roman" w:hAnsi="Times New Roman" w:cs="Times New Roman"/>
                <w:b/>
                <w:bCs/>
                <w:i/>
                <w:iCs/>
                <w:color w:val="000000"/>
                <w:sz w:val="20"/>
                <w:szCs w:val="20"/>
                <w:lang w:eastAsia="sk-SK"/>
              </w:rPr>
              <w:t>.</w:t>
            </w:r>
            <w:r w:rsidRPr="00EE5F39">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211F9CA"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2 337</w:t>
            </w:r>
          </w:p>
        </w:tc>
        <w:tc>
          <w:tcPr>
            <w:tcW w:w="1880" w:type="dxa"/>
            <w:tcBorders>
              <w:top w:val="nil"/>
              <w:left w:val="nil"/>
              <w:bottom w:val="single" w:sz="8" w:space="0" w:color="auto"/>
              <w:right w:val="single" w:sz="8" w:space="0" w:color="auto"/>
            </w:tcBorders>
            <w:shd w:val="clear" w:color="000000" w:fill="92D050"/>
            <w:vAlign w:val="center"/>
            <w:hideMark/>
          </w:tcPr>
          <w:p w14:paraId="46A8835D" w14:textId="77777777" w:rsidR="00EE5F39" w:rsidRPr="00EE5F39" w:rsidRDefault="00EE5F39" w:rsidP="00EE5F39">
            <w:pPr>
              <w:spacing w:after="0" w:line="240" w:lineRule="auto"/>
              <w:jc w:val="center"/>
              <w:rPr>
                <w:rFonts w:ascii="Times New Roman" w:eastAsia="Times New Roman" w:hAnsi="Times New Roman" w:cs="Times New Roman"/>
                <w:b/>
                <w:bCs/>
                <w:color w:val="000000"/>
                <w:sz w:val="20"/>
                <w:szCs w:val="20"/>
                <w:lang w:eastAsia="sk-SK"/>
              </w:rPr>
            </w:pPr>
            <w:r w:rsidRPr="00EE5F39">
              <w:rPr>
                <w:rFonts w:ascii="Times New Roman" w:eastAsia="Times New Roman" w:hAnsi="Times New Roman" w:cs="Times New Roman"/>
                <w:b/>
                <w:bCs/>
                <w:color w:val="000000"/>
                <w:sz w:val="20"/>
                <w:szCs w:val="20"/>
                <w:lang w:eastAsia="sk-SK"/>
              </w:rPr>
              <w:t>0</w:t>
            </w:r>
          </w:p>
        </w:tc>
      </w:tr>
    </w:tbl>
    <w:p w14:paraId="16F7C32A" w14:textId="52D61A07" w:rsidR="007709A3" w:rsidRDefault="007709A3" w:rsidP="00054C41">
      <w:pPr>
        <w:jc w:val="both"/>
        <w:rPr>
          <w:rFonts w:ascii="Times New Roman" w:eastAsia="Calibri" w:hAnsi="Times New Roman" w:cs="Times New Roman"/>
          <w:i/>
          <w:sz w:val="20"/>
          <w:szCs w:val="20"/>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5D247DA4"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5BF4EE18" w14:textId="294610CA" w:rsidR="006F61EB" w:rsidRDefault="006F61EB" w:rsidP="00054C41">
      <w:pPr>
        <w:jc w:val="both"/>
        <w:rPr>
          <w:rFonts w:ascii="Times New Roman" w:eastAsia="Calibri" w:hAnsi="Times New Roman" w:cs="Times New Roman"/>
          <w:i/>
          <w:sz w:val="24"/>
          <w:szCs w:val="24"/>
        </w:rPr>
      </w:pPr>
    </w:p>
    <w:tbl>
      <w:tblPr>
        <w:tblW w:w="14588" w:type="dxa"/>
        <w:tblInd w:w="65" w:type="dxa"/>
        <w:tblLayout w:type="fixed"/>
        <w:tblCellMar>
          <w:left w:w="70" w:type="dxa"/>
          <w:right w:w="70" w:type="dxa"/>
        </w:tblCellMar>
        <w:tblLook w:val="04A0" w:firstRow="1" w:lastRow="0" w:firstColumn="1" w:lastColumn="0" w:noHBand="0" w:noVBand="1"/>
      </w:tblPr>
      <w:tblGrid>
        <w:gridCol w:w="431"/>
        <w:gridCol w:w="2409"/>
        <w:gridCol w:w="851"/>
        <w:gridCol w:w="1134"/>
        <w:gridCol w:w="1276"/>
        <w:gridCol w:w="992"/>
        <w:gridCol w:w="1400"/>
        <w:gridCol w:w="726"/>
        <w:gridCol w:w="709"/>
        <w:gridCol w:w="850"/>
        <w:gridCol w:w="1418"/>
        <w:gridCol w:w="992"/>
        <w:gridCol w:w="1400"/>
      </w:tblGrid>
      <w:tr w:rsidR="00150966" w:rsidRPr="00150966" w14:paraId="0E670BB8" w14:textId="77777777" w:rsidTr="00150966">
        <w:trPr>
          <w:trHeight w:val="263"/>
        </w:trPr>
        <w:tc>
          <w:tcPr>
            <w:tcW w:w="43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E1DE8E6"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P.č.</w:t>
            </w:r>
          </w:p>
        </w:tc>
        <w:tc>
          <w:tcPr>
            <w:tcW w:w="24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C7C79C6"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Zrozumiteľný a stručný opis regulácie </w:t>
            </w:r>
            <w:r w:rsidRPr="00150966">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E587FF0"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Číslo normy</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(zákona, vyhlášky a pod.)</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4310052"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Lokalizácia</w:t>
            </w:r>
            <w:r w:rsidRPr="00150966">
              <w:rPr>
                <w:rFonts w:ascii="Times New Roman" w:eastAsia="Times New Roman" w:hAnsi="Times New Roman" w:cs="Times New Roman"/>
                <w:b/>
                <w:bCs/>
                <w:color w:val="000000"/>
                <w:sz w:val="20"/>
                <w:szCs w:val="20"/>
                <w:lang w:eastAsia="sk-SK"/>
              </w:rPr>
              <w:br/>
              <w:t>(§, ods., čl.,...)</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6E5ED01"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Pôvod regulácie: </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SK/EÚ úplná harm./</w:t>
            </w:r>
            <w:r w:rsidRPr="00150966">
              <w:rPr>
                <w:rFonts w:ascii="Times New Roman" w:eastAsia="Times New Roman" w:hAnsi="Times New Roman" w:cs="Times New Roman"/>
                <w:color w:val="000000"/>
                <w:sz w:val="20"/>
                <w:szCs w:val="20"/>
                <w:lang w:eastAsia="sk-SK"/>
              </w:rPr>
              <w:br/>
              <w:t>goldplating</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C22771"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Účinnosť regulácie</w:t>
            </w:r>
          </w:p>
        </w:tc>
        <w:tc>
          <w:tcPr>
            <w:tcW w:w="14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C6FD8FE"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Kategória dotk. subjektov</w:t>
            </w:r>
          </w:p>
        </w:tc>
        <w:tc>
          <w:tcPr>
            <w:tcW w:w="72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9E451EE"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Počet dotk. subjektov spolu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27E024"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Vplyv na 1 podnik. v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FCEA643"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Vplyv na kategóriu dotk. subjektov v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5CD225F"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Druh vplyvu</w:t>
            </w:r>
            <w:r w:rsidRPr="00150966">
              <w:rPr>
                <w:rFonts w:ascii="Times New Roman" w:eastAsia="Times New Roman" w:hAnsi="Times New Roman" w:cs="Times New Roman"/>
                <w:b/>
                <w:bCs/>
                <w:color w:val="000000"/>
                <w:sz w:val="20"/>
                <w:szCs w:val="20"/>
                <w:lang w:eastAsia="sk-SK"/>
              </w:rPr>
              <w:br/>
            </w:r>
            <w:r w:rsidRPr="00150966">
              <w:rPr>
                <w:rFonts w:ascii="Times New Roman" w:eastAsia="Times New Roman" w:hAnsi="Times New Roman" w:cs="Times New Roman"/>
                <w:color w:val="000000"/>
                <w:sz w:val="20"/>
                <w:szCs w:val="20"/>
                <w:lang w:eastAsia="sk-SK"/>
              </w:rPr>
              <w:t xml:space="preserve">In (zvyšuje náklady) / </w:t>
            </w:r>
            <w:r w:rsidRPr="00150966">
              <w:rPr>
                <w:rFonts w:ascii="Times New Roman" w:eastAsia="Times New Roman" w:hAnsi="Times New Roman" w:cs="Times New Roman"/>
                <w:color w:val="000000"/>
                <w:sz w:val="20"/>
                <w:szCs w:val="20"/>
                <w:lang w:eastAsia="sk-SK"/>
              </w:rPr>
              <w:br/>
              <w:t>Out (znižuje náklady) / Nemení sa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AC5BAC"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 xml:space="preserve">1in2out </w:t>
            </w:r>
            <w:r w:rsidRPr="00150966">
              <w:rPr>
                <w:rFonts w:ascii="Times New Roman" w:eastAsia="Times New Roman" w:hAnsi="Times New Roman" w:cs="Times New Roman"/>
                <w:b/>
                <w:bCs/>
                <w:color w:val="000000"/>
                <w:sz w:val="20"/>
                <w:szCs w:val="20"/>
                <w:lang w:eastAsia="sk-SK"/>
              </w:rPr>
              <w:br/>
              <w:t>celkom</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45A20F" w14:textId="77777777" w:rsidR="00150966" w:rsidRPr="00150966" w:rsidRDefault="00150966" w:rsidP="00150966">
            <w:pPr>
              <w:spacing w:after="0" w:line="240" w:lineRule="auto"/>
              <w:jc w:val="center"/>
              <w:rPr>
                <w:rFonts w:ascii="Times New Roman" w:eastAsia="Times New Roman" w:hAnsi="Times New Roman" w:cs="Times New Roman"/>
                <w:b/>
                <w:bCs/>
                <w:color w:val="000000"/>
                <w:sz w:val="20"/>
                <w:szCs w:val="20"/>
                <w:lang w:eastAsia="sk-SK"/>
              </w:rPr>
            </w:pPr>
            <w:r w:rsidRPr="00150966">
              <w:rPr>
                <w:rFonts w:ascii="Times New Roman" w:eastAsia="Times New Roman" w:hAnsi="Times New Roman" w:cs="Times New Roman"/>
                <w:b/>
                <w:bCs/>
                <w:color w:val="000000"/>
                <w:sz w:val="20"/>
                <w:szCs w:val="20"/>
                <w:lang w:eastAsia="sk-SK"/>
              </w:rPr>
              <w:t>Goldplating celkom</w:t>
            </w:r>
          </w:p>
        </w:tc>
      </w:tr>
      <w:tr w:rsidR="00150966" w:rsidRPr="00150966" w14:paraId="1D5B6F98" w14:textId="77777777" w:rsidTr="00150966">
        <w:trPr>
          <w:trHeight w:val="2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2239456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A280C5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3D6DEE2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D55F6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5DABC0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36B9CD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626C2D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6B16D80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66B72C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31FAA3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D0E87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735F85"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3A244AE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48B26601" w14:textId="77777777" w:rsidTr="00150966">
        <w:trPr>
          <w:trHeight w:val="2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57D4D99B"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1BAD02C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7503C3F"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C24205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0F89EB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CECA8E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4E1917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339B61C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B030B3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D2742D"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ABFE6E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F09C57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44E9641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799B31EB" w14:textId="77777777" w:rsidTr="00150966">
        <w:trPr>
          <w:trHeight w:val="2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7F001A6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42023D7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6AFD83F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ABC138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C465E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98351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5439DBD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4AB4C11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361843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F196C6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5F5C2B"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E5FA76D"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76A6D73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6138282E" w14:textId="77777777" w:rsidTr="00150966">
        <w:trPr>
          <w:trHeight w:val="2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51D6F59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3E98670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77B4D10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6EC3EBC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D3A3E3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E70971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7062587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07E82C0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0EE43A3"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FA5B36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E08BE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B63DEC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51666B8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1F3580BC" w14:textId="77777777" w:rsidTr="00150966">
        <w:trPr>
          <w:trHeight w:val="255"/>
        </w:trPr>
        <w:tc>
          <w:tcPr>
            <w:tcW w:w="431" w:type="dxa"/>
            <w:vMerge/>
            <w:tcBorders>
              <w:top w:val="single" w:sz="4" w:space="0" w:color="auto"/>
              <w:left w:val="single" w:sz="4" w:space="0" w:color="auto"/>
              <w:bottom w:val="single" w:sz="4" w:space="0" w:color="auto"/>
              <w:right w:val="single" w:sz="4" w:space="0" w:color="auto"/>
            </w:tcBorders>
            <w:vAlign w:val="center"/>
            <w:hideMark/>
          </w:tcPr>
          <w:p w14:paraId="426A5C81"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56B9B02"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0C263C8C"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1ED8FC4"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B121EE"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36F6522"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63876946"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26" w:type="dxa"/>
            <w:vMerge/>
            <w:tcBorders>
              <w:top w:val="single" w:sz="4" w:space="0" w:color="auto"/>
              <w:left w:val="single" w:sz="4" w:space="0" w:color="auto"/>
              <w:bottom w:val="single" w:sz="4" w:space="0" w:color="auto"/>
              <w:right w:val="single" w:sz="4" w:space="0" w:color="auto"/>
            </w:tcBorders>
            <w:vAlign w:val="center"/>
            <w:hideMark/>
          </w:tcPr>
          <w:p w14:paraId="5CDE7B70"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E326827"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ED292A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F5125D9"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725E878"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3454405A" w14:textId="77777777" w:rsidR="00150966" w:rsidRPr="00150966" w:rsidRDefault="00150966" w:rsidP="00150966">
            <w:pPr>
              <w:spacing w:after="0" w:line="240" w:lineRule="auto"/>
              <w:rPr>
                <w:rFonts w:ascii="Times New Roman" w:eastAsia="Times New Roman" w:hAnsi="Times New Roman" w:cs="Times New Roman"/>
                <w:b/>
                <w:bCs/>
                <w:color w:val="000000"/>
                <w:sz w:val="20"/>
                <w:szCs w:val="20"/>
                <w:lang w:eastAsia="sk-SK"/>
              </w:rPr>
            </w:pPr>
          </w:p>
        </w:tc>
      </w:tr>
      <w:tr w:rsidR="00150966" w:rsidRPr="00150966" w14:paraId="04D1688D" w14:textId="77777777" w:rsidTr="00150966">
        <w:trPr>
          <w:trHeight w:val="1275"/>
        </w:trPr>
        <w:tc>
          <w:tcPr>
            <w:tcW w:w="431" w:type="dxa"/>
            <w:tcBorders>
              <w:top w:val="nil"/>
              <w:left w:val="single" w:sz="4" w:space="0" w:color="auto"/>
              <w:bottom w:val="single" w:sz="4" w:space="0" w:color="auto"/>
              <w:right w:val="single" w:sz="4" w:space="0" w:color="auto"/>
            </w:tcBorders>
            <w:shd w:val="clear" w:color="auto" w:fill="auto"/>
            <w:vAlign w:val="center"/>
            <w:hideMark/>
          </w:tcPr>
          <w:p w14:paraId="2FCBC16D" w14:textId="75133921"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w:t>
            </w:r>
          </w:p>
        </w:tc>
        <w:tc>
          <w:tcPr>
            <w:tcW w:w="2409" w:type="dxa"/>
            <w:tcBorders>
              <w:top w:val="nil"/>
              <w:left w:val="nil"/>
              <w:bottom w:val="single" w:sz="4" w:space="0" w:color="auto"/>
              <w:right w:val="single" w:sz="4" w:space="0" w:color="auto"/>
            </w:tcBorders>
            <w:shd w:val="clear" w:color="auto" w:fill="auto"/>
            <w:vAlign w:val="center"/>
            <w:hideMark/>
          </w:tcPr>
          <w:p w14:paraId="36C83177" w14:textId="694767D2" w:rsidR="00150966" w:rsidRPr="00150966" w:rsidRDefault="0083218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U</w:t>
            </w:r>
            <w:r w:rsidR="00150966" w:rsidRPr="00150966">
              <w:rPr>
                <w:rFonts w:ascii="Times New Roman" w:eastAsia="Times New Roman" w:hAnsi="Times New Roman" w:cs="Times New Roman"/>
                <w:color w:val="000000"/>
                <w:sz w:val="20"/>
                <w:szCs w:val="20"/>
                <w:lang w:eastAsia="sk-SK"/>
              </w:rPr>
              <w:t>platňovanie základnej staros</w:t>
            </w:r>
            <w:r>
              <w:rPr>
                <w:rFonts w:ascii="Times New Roman" w:eastAsia="Times New Roman" w:hAnsi="Times New Roman" w:cs="Times New Roman"/>
                <w:color w:val="000000"/>
                <w:sz w:val="20"/>
                <w:szCs w:val="20"/>
                <w:lang w:eastAsia="sk-SK"/>
              </w:rPr>
              <w:t>t</w:t>
            </w:r>
            <w:r w:rsidR="00150966" w:rsidRPr="00150966">
              <w:rPr>
                <w:rFonts w:ascii="Times New Roman" w:eastAsia="Times New Roman" w:hAnsi="Times New Roman" w:cs="Times New Roman"/>
                <w:color w:val="000000"/>
                <w:sz w:val="20"/>
                <w:szCs w:val="20"/>
                <w:lang w:eastAsia="sk-SK"/>
              </w:rPr>
              <w:t>livosti v celom rozsahu pri vykonaní príležitostných prevodov finančných prostriedkov alebo kryptoaktív v hodnote najmenej 1000 eur</w:t>
            </w:r>
          </w:p>
        </w:tc>
        <w:tc>
          <w:tcPr>
            <w:tcW w:w="851" w:type="dxa"/>
            <w:tcBorders>
              <w:top w:val="nil"/>
              <w:left w:val="nil"/>
              <w:bottom w:val="single" w:sz="4" w:space="0" w:color="auto"/>
              <w:right w:val="single" w:sz="4" w:space="0" w:color="auto"/>
            </w:tcBorders>
            <w:shd w:val="clear" w:color="auto" w:fill="auto"/>
            <w:vAlign w:val="center"/>
            <w:hideMark/>
          </w:tcPr>
          <w:p w14:paraId="391E64EB"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.../2024</w:t>
            </w:r>
          </w:p>
        </w:tc>
        <w:tc>
          <w:tcPr>
            <w:tcW w:w="1134" w:type="dxa"/>
            <w:tcBorders>
              <w:top w:val="nil"/>
              <w:left w:val="nil"/>
              <w:bottom w:val="single" w:sz="4" w:space="0" w:color="auto"/>
              <w:right w:val="single" w:sz="4" w:space="0" w:color="auto"/>
            </w:tcBorders>
            <w:shd w:val="clear" w:color="auto" w:fill="auto"/>
            <w:vAlign w:val="center"/>
            <w:hideMark/>
          </w:tcPr>
          <w:p w14:paraId="5E12582C"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§10 ods. 2 písm. g)</w:t>
            </w:r>
          </w:p>
        </w:tc>
        <w:tc>
          <w:tcPr>
            <w:tcW w:w="1276" w:type="dxa"/>
            <w:tcBorders>
              <w:top w:val="nil"/>
              <w:left w:val="nil"/>
              <w:bottom w:val="single" w:sz="4" w:space="0" w:color="auto"/>
              <w:right w:val="single" w:sz="4" w:space="0" w:color="auto"/>
            </w:tcBorders>
            <w:shd w:val="clear" w:color="auto" w:fill="auto"/>
            <w:vAlign w:val="center"/>
            <w:hideMark/>
          </w:tcPr>
          <w:p w14:paraId="00CD70CC"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646CE94C" w14:textId="2E61CE3E" w:rsidR="00150966" w:rsidRPr="00150966" w:rsidRDefault="00733BED"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15.1.2025</w:t>
            </w:r>
          </w:p>
        </w:tc>
        <w:tc>
          <w:tcPr>
            <w:tcW w:w="1400" w:type="dxa"/>
            <w:tcBorders>
              <w:top w:val="nil"/>
              <w:left w:val="nil"/>
              <w:bottom w:val="single" w:sz="4" w:space="0" w:color="auto"/>
              <w:right w:val="single" w:sz="4" w:space="0" w:color="auto"/>
            </w:tcBorders>
            <w:shd w:val="clear" w:color="auto" w:fill="auto"/>
            <w:vAlign w:val="center"/>
            <w:hideMark/>
          </w:tcPr>
          <w:p w14:paraId="413EE260"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poskytovatelia platobných služieb a služieb kryptoaktív</w:t>
            </w:r>
          </w:p>
        </w:tc>
        <w:tc>
          <w:tcPr>
            <w:tcW w:w="726" w:type="dxa"/>
            <w:tcBorders>
              <w:top w:val="nil"/>
              <w:left w:val="nil"/>
              <w:bottom w:val="single" w:sz="4" w:space="0" w:color="auto"/>
              <w:right w:val="single" w:sz="4" w:space="0" w:color="auto"/>
            </w:tcBorders>
            <w:shd w:val="clear" w:color="auto" w:fill="auto"/>
            <w:vAlign w:val="center"/>
            <w:hideMark/>
          </w:tcPr>
          <w:p w14:paraId="247F530B" w14:textId="090D7F34" w:rsidR="00150966" w:rsidRPr="00150966" w:rsidRDefault="005D7221" w:rsidP="00150966">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               1</w:t>
            </w:r>
            <w:r w:rsidR="00396443">
              <w:rPr>
                <w:rFonts w:ascii="Times New Roman" w:eastAsia="Times New Roman" w:hAnsi="Times New Roman" w:cs="Times New Roman"/>
                <w:color w:val="000000"/>
                <w:sz w:val="20"/>
                <w:szCs w:val="20"/>
                <w:lang w:eastAsia="sk-SK"/>
              </w:rPr>
              <w:t>116</w:t>
            </w:r>
          </w:p>
        </w:tc>
        <w:tc>
          <w:tcPr>
            <w:tcW w:w="709" w:type="dxa"/>
            <w:tcBorders>
              <w:top w:val="nil"/>
              <w:left w:val="nil"/>
              <w:bottom w:val="single" w:sz="4" w:space="0" w:color="auto"/>
              <w:right w:val="single" w:sz="4" w:space="0" w:color="auto"/>
            </w:tcBorders>
            <w:shd w:val="clear" w:color="auto" w:fill="auto"/>
            <w:vAlign w:val="center"/>
            <w:hideMark/>
          </w:tcPr>
          <w:p w14:paraId="43A1A27D" w14:textId="3D02A7F2"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850" w:type="dxa"/>
            <w:tcBorders>
              <w:top w:val="nil"/>
              <w:left w:val="nil"/>
              <w:bottom w:val="single" w:sz="4" w:space="0" w:color="auto"/>
              <w:right w:val="single" w:sz="4" w:space="0" w:color="auto"/>
            </w:tcBorders>
            <w:shd w:val="clear" w:color="auto" w:fill="auto"/>
            <w:vAlign w:val="center"/>
            <w:hideMark/>
          </w:tcPr>
          <w:p w14:paraId="2AE378EB" w14:textId="3D5312E7"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3A28B3C"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3DC48205" w14:textId="77777777" w:rsidR="00150966" w:rsidRPr="00150966" w:rsidRDefault="00150966" w:rsidP="00150966">
            <w:pPr>
              <w:spacing w:after="0" w:line="240" w:lineRule="auto"/>
              <w:jc w:val="center"/>
              <w:rPr>
                <w:rFonts w:ascii="Times New Roman" w:eastAsia="Times New Roman" w:hAnsi="Times New Roman" w:cs="Times New Roman"/>
                <w:sz w:val="20"/>
                <w:szCs w:val="20"/>
                <w:lang w:eastAsia="sk-SK"/>
              </w:rPr>
            </w:pPr>
            <w:r w:rsidRPr="00150966">
              <w:rPr>
                <w:rFonts w:ascii="Times New Roman" w:eastAsia="Times New Roman" w:hAnsi="Times New Roman" w:cs="Times New Roman"/>
                <w:sz w:val="20"/>
                <w:szCs w:val="20"/>
                <w:lang w:eastAsia="sk-SK"/>
              </w:rPr>
              <w:t>0</w:t>
            </w:r>
          </w:p>
        </w:tc>
        <w:tc>
          <w:tcPr>
            <w:tcW w:w="1400" w:type="dxa"/>
            <w:tcBorders>
              <w:top w:val="nil"/>
              <w:left w:val="nil"/>
              <w:bottom w:val="single" w:sz="4" w:space="0" w:color="auto"/>
              <w:right w:val="single" w:sz="4" w:space="0" w:color="auto"/>
            </w:tcBorders>
            <w:shd w:val="clear" w:color="auto" w:fill="auto"/>
            <w:vAlign w:val="center"/>
            <w:hideMark/>
          </w:tcPr>
          <w:p w14:paraId="36BCD202"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0</w:t>
            </w:r>
          </w:p>
        </w:tc>
      </w:tr>
      <w:tr w:rsidR="00150966" w:rsidRPr="00150966" w14:paraId="152A9F64" w14:textId="77777777" w:rsidTr="00150966">
        <w:trPr>
          <w:trHeight w:val="1020"/>
        </w:trPr>
        <w:tc>
          <w:tcPr>
            <w:tcW w:w="431" w:type="dxa"/>
            <w:tcBorders>
              <w:top w:val="nil"/>
              <w:left w:val="single" w:sz="4" w:space="0" w:color="auto"/>
              <w:bottom w:val="single" w:sz="4" w:space="0" w:color="auto"/>
              <w:right w:val="single" w:sz="4" w:space="0" w:color="auto"/>
            </w:tcBorders>
            <w:shd w:val="clear" w:color="auto" w:fill="auto"/>
            <w:vAlign w:val="center"/>
            <w:hideMark/>
          </w:tcPr>
          <w:p w14:paraId="21DB69E1" w14:textId="7155ACF9"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w:t>
            </w:r>
          </w:p>
        </w:tc>
        <w:tc>
          <w:tcPr>
            <w:tcW w:w="2409" w:type="dxa"/>
            <w:tcBorders>
              <w:top w:val="nil"/>
              <w:left w:val="nil"/>
              <w:bottom w:val="single" w:sz="4" w:space="0" w:color="auto"/>
              <w:right w:val="single" w:sz="4" w:space="0" w:color="auto"/>
            </w:tcBorders>
            <w:shd w:val="clear" w:color="auto" w:fill="auto"/>
            <w:vAlign w:val="center"/>
            <w:hideMark/>
          </w:tcPr>
          <w:p w14:paraId="797994DB" w14:textId="14410C07" w:rsidR="00150966" w:rsidRPr="00150966" w:rsidRDefault="005E3433"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U</w:t>
            </w:r>
            <w:r w:rsidR="00150966" w:rsidRPr="00150966">
              <w:rPr>
                <w:rFonts w:ascii="Times New Roman" w:eastAsia="Times New Roman" w:hAnsi="Times New Roman" w:cs="Times New Roman"/>
                <w:color w:val="000000"/>
                <w:sz w:val="20"/>
                <w:szCs w:val="20"/>
                <w:lang w:eastAsia="sk-SK"/>
              </w:rPr>
              <w:t>platňovanie zvýšenej starostlivosti pri cezhraničnom korešpondenčnom bankovníctve bez ohľadu na krajinu pôvodu partnerskej inštitúcie</w:t>
            </w:r>
          </w:p>
        </w:tc>
        <w:tc>
          <w:tcPr>
            <w:tcW w:w="851" w:type="dxa"/>
            <w:tcBorders>
              <w:top w:val="nil"/>
              <w:left w:val="nil"/>
              <w:bottom w:val="single" w:sz="4" w:space="0" w:color="auto"/>
              <w:right w:val="single" w:sz="4" w:space="0" w:color="auto"/>
            </w:tcBorders>
            <w:shd w:val="clear" w:color="auto" w:fill="auto"/>
            <w:vAlign w:val="center"/>
            <w:hideMark/>
          </w:tcPr>
          <w:p w14:paraId="485097A2"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.../2024</w:t>
            </w:r>
          </w:p>
        </w:tc>
        <w:tc>
          <w:tcPr>
            <w:tcW w:w="1134" w:type="dxa"/>
            <w:tcBorders>
              <w:top w:val="nil"/>
              <w:left w:val="nil"/>
              <w:bottom w:val="single" w:sz="4" w:space="0" w:color="auto"/>
              <w:right w:val="single" w:sz="4" w:space="0" w:color="auto"/>
            </w:tcBorders>
            <w:shd w:val="clear" w:color="auto" w:fill="auto"/>
            <w:vAlign w:val="center"/>
            <w:hideMark/>
          </w:tcPr>
          <w:p w14:paraId="56D60847"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 12 ods.1</w:t>
            </w:r>
          </w:p>
        </w:tc>
        <w:tc>
          <w:tcPr>
            <w:tcW w:w="1276" w:type="dxa"/>
            <w:tcBorders>
              <w:top w:val="nil"/>
              <w:left w:val="nil"/>
              <w:bottom w:val="single" w:sz="4" w:space="0" w:color="auto"/>
              <w:right w:val="single" w:sz="4" w:space="0" w:color="auto"/>
            </w:tcBorders>
            <w:shd w:val="clear" w:color="auto" w:fill="auto"/>
            <w:vAlign w:val="center"/>
            <w:hideMark/>
          </w:tcPr>
          <w:p w14:paraId="6C08713E"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 xml:space="preserve">3b)  Navýšenie  požiadaviek nad rámec minimálnych požiadaviek smernice EÚ, </w:t>
            </w:r>
          </w:p>
        </w:tc>
        <w:tc>
          <w:tcPr>
            <w:tcW w:w="992" w:type="dxa"/>
            <w:tcBorders>
              <w:top w:val="nil"/>
              <w:left w:val="nil"/>
              <w:bottom w:val="single" w:sz="4" w:space="0" w:color="auto"/>
              <w:right w:val="single" w:sz="4" w:space="0" w:color="auto"/>
            </w:tcBorders>
            <w:shd w:val="clear" w:color="auto" w:fill="auto"/>
            <w:vAlign w:val="center"/>
            <w:hideMark/>
          </w:tcPr>
          <w:p w14:paraId="1AED557B" w14:textId="3C581B63" w:rsidR="00150966" w:rsidRPr="00150966" w:rsidRDefault="00733BED"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15.1.2025</w:t>
            </w:r>
          </w:p>
        </w:tc>
        <w:tc>
          <w:tcPr>
            <w:tcW w:w="1400" w:type="dxa"/>
            <w:tcBorders>
              <w:top w:val="nil"/>
              <w:left w:val="nil"/>
              <w:bottom w:val="single" w:sz="4" w:space="0" w:color="auto"/>
              <w:right w:val="single" w:sz="4" w:space="0" w:color="auto"/>
            </w:tcBorders>
            <w:shd w:val="clear" w:color="auto" w:fill="auto"/>
            <w:vAlign w:val="center"/>
            <w:hideMark/>
          </w:tcPr>
          <w:p w14:paraId="1DF51033"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banky a pobočky zahraničných bánk</w:t>
            </w:r>
          </w:p>
        </w:tc>
        <w:tc>
          <w:tcPr>
            <w:tcW w:w="726" w:type="dxa"/>
            <w:tcBorders>
              <w:top w:val="nil"/>
              <w:left w:val="nil"/>
              <w:bottom w:val="single" w:sz="4" w:space="0" w:color="auto"/>
              <w:right w:val="single" w:sz="4" w:space="0" w:color="auto"/>
            </w:tcBorders>
            <w:shd w:val="clear" w:color="auto" w:fill="auto"/>
            <w:vAlign w:val="center"/>
            <w:hideMark/>
          </w:tcPr>
          <w:p w14:paraId="5D7B3710" w14:textId="77777777" w:rsidR="00150966" w:rsidRPr="00150966" w:rsidRDefault="00150966" w:rsidP="00150966">
            <w:pPr>
              <w:spacing w:after="0" w:line="240" w:lineRule="auto"/>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 xml:space="preserve">                 24 </w:t>
            </w:r>
          </w:p>
        </w:tc>
        <w:tc>
          <w:tcPr>
            <w:tcW w:w="709" w:type="dxa"/>
            <w:tcBorders>
              <w:top w:val="nil"/>
              <w:left w:val="nil"/>
              <w:bottom w:val="single" w:sz="4" w:space="0" w:color="auto"/>
              <w:right w:val="single" w:sz="4" w:space="0" w:color="auto"/>
            </w:tcBorders>
            <w:shd w:val="clear" w:color="auto" w:fill="auto"/>
            <w:vAlign w:val="center"/>
            <w:hideMark/>
          </w:tcPr>
          <w:p w14:paraId="5AFC460A" w14:textId="0020B41A"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97</w:t>
            </w:r>
          </w:p>
        </w:tc>
        <w:tc>
          <w:tcPr>
            <w:tcW w:w="850" w:type="dxa"/>
            <w:tcBorders>
              <w:top w:val="nil"/>
              <w:left w:val="nil"/>
              <w:bottom w:val="single" w:sz="4" w:space="0" w:color="auto"/>
              <w:right w:val="single" w:sz="4" w:space="0" w:color="auto"/>
            </w:tcBorders>
            <w:shd w:val="clear" w:color="auto" w:fill="auto"/>
            <w:vAlign w:val="center"/>
            <w:hideMark/>
          </w:tcPr>
          <w:p w14:paraId="1B17D6AF" w14:textId="3892A5DE"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2 337</w:t>
            </w:r>
          </w:p>
        </w:tc>
        <w:tc>
          <w:tcPr>
            <w:tcW w:w="1418" w:type="dxa"/>
            <w:tcBorders>
              <w:top w:val="nil"/>
              <w:left w:val="nil"/>
              <w:bottom w:val="single" w:sz="4" w:space="0" w:color="auto"/>
              <w:right w:val="single" w:sz="4" w:space="0" w:color="auto"/>
            </w:tcBorders>
            <w:shd w:val="clear" w:color="auto" w:fill="auto"/>
            <w:vAlign w:val="center"/>
            <w:hideMark/>
          </w:tcPr>
          <w:p w14:paraId="7C93C45F"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4BE177AF" w14:textId="61DA20A9"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2337</w:t>
            </w:r>
          </w:p>
        </w:tc>
        <w:tc>
          <w:tcPr>
            <w:tcW w:w="1400" w:type="dxa"/>
            <w:tcBorders>
              <w:top w:val="nil"/>
              <w:left w:val="nil"/>
              <w:bottom w:val="single" w:sz="4" w:space="0" w:color="auto"/>
              <w:right w:val="single" w:sz="4" w:space="0" w:color="auto"/>
            </w:tcBorders>
            <w:shd w:val="clear" w:color="auto" w:fill="auto"/>
            <w:vAlign w:val="center"/>
            <w:hideMark/>
          </w:tcPr>
          <w:p w14:paraId="23B94221"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2 337</w:t>
            </w:r>
          </w:p>
        </w:tc>
      </w:tr>
      <w:tr w:rsidR="00150966" w:rsidRPr="00150966" w14:paraId="3A35321E" w14:textId="77777777" w:rsidTr="00150966">
        <w:trPr>
          <w:trHeight w:val="278"/>
        </w:trPr>
        <w:tc>
          <w:tcPr>
            <w:tcW w:w="431" w:type="dxa"/>
            <w:tcBorders>
              <w:top w:val="nil"/>
              <w:left w:val="single" w:sz="4" w:space="0" w:color="auto"/>
              <w:bottom w:val="single" w:sz="4" w:space="0" w:color="auto"/>
              <w:right w:val="single" w:sz="4" w:space="0" w:color="auto"/>
            </w:tcBorders>
            <w:shd w:val="clear" w:color="auto" w:fill="auto"/>
            <w:vAlign w:val="center"/>
            <w:hideMark/>
          </w:tcPr>
          <w:p w14:paraId="4646F1CF" w14:textId="62095702"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w:t>
            </w:r>
          </w:p>
        </w:tc>
        <w:tc>
          <w:tcPr>
            <w:tcW w:w="2409" w:type="dxa"/>
            <w:tcBorders>
              <w:top w:val="nil"/>
              <w:left w:val="nil"/>
              <w:bottom w:val="single" w:sz="4" w:space="0" w:color="auto"/>
              <w:right w:val="single" w:sz="4" w:space="0" w:color="auto"/>
            </w:tcBorders>
            <w:shd w:val="clear" w:color="auto" w:fill="auto"/>
            <w:vAlign w:val="center"/>
            <w:hideMark/>
          </w:tcPr>
          <w:p w14:paraId="2AB76B71" w14:textId="5BC54E9D" w:rsidR="00150966" w:rsidRPr="00150966" w:rsidRDefault="005E3433"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V</w:t>
            </w:r>
            <w:r w:rsidR="00150966" w:rsidRPr="00150966">
              <w:rPr>
                <w:rFonts w:ascii="Times New Roman" w:eastAsia="Times New Roman" w:hAnsi="Times New Roman" w:cs="Times New Roman"/>
                <w:color w:val="000000"/>
                <w:sz w:val="20"/>
                <w:szCs w:val="20"/>
                <w:lang w:eastAsia="sk-SK"/>
              </w:rPr>
              <w:t xml:space="preserve">yhotovenie písomného záznamu pri ukončení obchodného vzťahu s partnerskou inštitúciou </w:t>
            </w:r>
          </w:p>
        </w:tc>
        <w:tc>
          <w:tcPr>
            <w:tcW w:w="851" w:type="dxa"/>
            <w:tcBorders>
              <w:top w:val="nil"/>
              <w:left w:val="nil"/>
              <w:bottom w:val="single" w:sz="4" w:space="0" w:color="auto"/>
              <w:right w:val="single" w:sz="4" w:space="0" w:color="auto"/>
            </w:tcBorders>
            <w:shd w:val="clear" w:color="auto" w:fill="auto"/>
            <w:vAlign w:val="center"/>
            <w:hideMark/>
          </w:tcPr>
          <w:p w14:paraId="59A18E57"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.../2024</w:t>
            </w:r>
          </w:p>
        </w:tc>
        <w:tc>
          <w:tcPr>
            <w:tcW w:w="1134" w:type="dxa"/>
            <w:tcBorders>
              <w:top w:val="nil"/>
              <w:left w:val="nil"/>
              <w:bottom w:val="single" w:sz="4" w:space="0" w:color="auto"/>
              <w:right w:val="single" w:sz="4" w:space="0" w:color="auto"/>
            </w:tcBorders>
            <w:shd w:val="clear" w:color="auto" w:fill="auto"/>
            <w:vAlign w:val="center"/>
            <w:hideMark/>
          </w:tcPr>
          <w:p w14:paraId="25DE739A"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§24a</w:t>
            </w:r>
          </w:p>
        </w:tc>
        <w:tc>
          <w:tcPr>
            <w:tcW w:w="1276" w:type="dxa"/>
            <w:tcBorders>
              <w:top w:val="nil"/>
              <w:left w:val="nil"/>
              <w:bottom w:val="single" w:sz="4" w:space="0" w:color="auto"/>
              <w:right w:val="single" w:sz="4" w:space="0" w:color="auto"/>
            </w:tcBorders>
            <w:shd w:val="clear" w:color="auto" w:fill="auto"/>
            <w:vAlign w:val="center"/>
            <w:hideMark/>
          </w:tcPr>
          <w:p w14:paraId="6205A62C"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0DC4CDEA" w14:textId="23E00489" w:rsidR="00150966" w:rsidRPr="00150966" w:rsidRDefault="00733BED"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15.1.2025</w:t>
            </w:r>
          </w:p>
        </w:tc>
        <w:tc>
          <w:tcPr>
            <w:tcW w:w="1400" w:type="dxa"/>
            <w:tcBorders>
              <w:top w:val="nil"/>
              <w:left w:val="nil"/>
              <w:bottom w:val="single" w:sz="4" w:space="0" w:color="auto"/>
              <w:right w:val="single" w:sz="4" w:space="0" w:color="auto"/>
            </w:tcBorders>
            <w:shd w:val="clear" w:color="auto" w:fill="auto"/>
            <w:vAlign w:val="center"/>
            <w:hideMark/>
          </w:tcPr>
          <w:p w14:paraId="521C3B03"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poskytovatelia služieb kryptoaktív</w:t>
            </w:r>
          </w:p>
        </w:tc>
        <w:tc>
          <w:tcPr>
            <w:tcW w:w="726" w:type="dxa"/>
            <w:tcBorders>
              <w:top w:val="nil"/>
              <w:left w:val="nil"/>
              <w:bottom w:val="single" w:sz="4" w:space="0" w:color="auto"/>
              <w:right w:val="single" w:sz="4" w:space="0" w:color="auto"/>
            </w:tcBorders>
            <w:shd w:val="clear" w:color="auto" w:fill="auto"/>
            <w:vAlign w:val="center"/>
            <w:hideMark/>
          </w:tcPr>
          <w:p w14:paraId="2010B3FD" w14:textId="2CE96926" w:rsidR="00150966" w:rsidRPr="00150966" w:rsidRDefault="002C2642" w:rsidP="00150966">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               </w:t>
            </w:r>
            <w:r w:rsidR="00285211">
              <w:rPr>
                <w:rFonts w:ascii="Times New Roman" w:eastAsia="Times New Roman" w:hAnsi="Times New Roman" w:cs="Times New Roman"/>
                <w:color w:val="000000"/>
                <w:sz w:val="20"/>
                <w:szCs w:val="20"/>
                <w:lang w:eastAsia="sk-SK"/>
              </w:rPr>
              <w:t>1080</w:t>
            </w:r>
          </w:p>
        </w:tc>
        <w:tc>
          <w:tcPr>
            <w:tcW w:w="709" w:type="dxa"/>
            <w:tcBorders>
              <w:top w:val="nil"/>
              <w:left w:val="nil"/>
              <w:bottom w:val="single" w:sz="4" w:space="0" w:color="auto"/>
              <w:right w:val="single" w:sz="4" w:space="0" w:color="auto"/>
            </w:tcBorders>
            <w:shd w:val="clear" w:color="auto" w:fill="auto"/>
            <w:vAlign w:val="center"/>
            <w:hideMark/>
          </w:tcPr>
          <w:p w14:paraId="3BD5B8D8" w14:textId="19EE4DEC" w:rsidR="00150966" w:rsidRPr="00150966" w:rsidRDefault="00285211" w:rsidP="00475318">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24</w:t>
            </w:r>
          </w:p>
        </w:tc>
        <w:tc>
          <w:tcPr>
            <w:tcW w:w="850" w:type="dxa"/>
            <w:tcBorders>
              <w:top w:val="nil"/>
              <w:left w:val="nil"/>
              <w:bottom w:val="single" w:sz="4" w:space="0" w:color="auto"/>
              <w:right w:val="single" w:sz="4" w:space="0" w:color="auto"/>
            </w:tcBorders>
            <w:shd w:val="clear" w:color="auto" w:fill="auto"/>
            <w:vAlign w:val="center"/>
            <w:hideMark/>
          </w:tcPr>
          <w:p w14:paraId="1120F855" w14:textId="6079B7F2" w:rsidR="00150966" w:rsidRPr="00150966" w:rsidRDefault="00285211" w:rsidP="00150966">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26 293</w:t>
            </w:r>
          </w:p>
        </w:tc>
        <w:tc>
          <w:tcPr>
            <w:tcW w:w="1418" w:type="dxa"/>
            <w:tcBorders>
              <w:top w:val="nil"/>
              <w:left w:val="nil"/>
              <w:bottom w:val="single" w:sz="4" w:space="0" w:color="auto"/>
              <w:right w:val="single" w:sz="4" w:space="0" w:color="auto"/>
            </w:tcBorders>
            <w:shd w:val="clear" w:color="auto" w:fill="auto"/>
            <w:vAlign w:val="center"/>
            <w:hideMark/>
          </w:tcPr>
          <w:p w14:paraId="38E3A1C2"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0FC150E4" w14:textId="77777777" w:rsidR="00150966" w:rsidRPr="00150966" w:rsidRDefault="00150966" w:rsidP="00150966">
            <w:pPr>
              <w:spacing w:after="0" w:line="240" w:lineRule="auto"/>
              <w:jc w:val="center"/>
              <w:rPr>
                <w:rFonts w:ascii="Times New Roman" w:eastAsia="Times New Roman" w:hAnsi="Times New Roman" w:cs="Times New Roman"/>
                <w:sz w:val="20"/>
                <w:szCs w:val="20"/>
                <w:lang w:eastAsia="sk-SK"/>
              </w:rPr>
            </w:pPr>
            <w:r w:rsidRPr="00150966">
              <w:rPr>
                <w:rFonts w:ascii="Times New Roman" w:eastAsia="Times New Roman" w:hAnsi="Times New Roman" w:cs="Times New Roman"/>
                <w:sz w:val="20"/>
                <w:szCs w:val="20"/>
                <w:lang w:eastAsia="sk-SK"/>
              </w:rPr>
              <w:t>0</w:t>
            </w:r>
          </w:p>
        </w:tc>
        <w:tc>
          <w:tcPr>
            <w:tcW w:w="1400" w:type="dxa"/>
            <w:tcBorders>
              <w:top w:val="nil"/>
              <w:left w:val="nil"/>
              <w:bottom w:val="single" w:sz="4" w:space="0" w:color="auto"/>
              <w:right w:val="single" w:sz="4" w:space="0" w:color="auto"/>
            </w:tcBorders>
            <w:shd w:val="clear" w:color="auto" w:fill="auto"/>
            <w:vAlign w:val="center"/>
            <w:hideMark/>
          </w:tcPr>
          <w:p w14:paraId="06490443" w14:textId="77777777" w:rsidR="00150966" w:rsidRPr="00150966" w:rsidRDefault="00150966" w:rsidP="00150966">
            <w:pPr>
              <w:spacing w:after="0" w:line="240" w:lineRule="auto"/>
              <w:jc w:val="center"/>
              <w:rPr>
                <w:rFonts w:ascii="Times New Roman" w:eastAsia="Times New Roman" w:hAnsi="Times New Roman" w:cs="Times New Roman"/>
                <w:color w:val="000000"/>
                <w:sz w:val="20"/>
                <w:szCs w:val="20"/>
                <w:lang w:eastAsia="sk-SK"/>
              </w:rPr>
            </w:pPr>
            <w:r w:rsidRPr="00150966">
              <w:rPr>
                <w:rFonts w:ascii="Times New Roman" w:eastAsia="Times New Roman" w:hAnsi="Times New Roman" w:cs="Times New Roman"/>
                <w:color w:val="000000"/>
                <w:sz w:val="20"/>
                <w:szCs w:val="20"/>
                <w:lang w:eastAsia="sk-SK"/>
              </w:rPr>
              <w:t>0</w:t>
            </w:r>
          </w:p>
        </w:tc>
      </w:tr>
    </w:tbl>
    <w:p w14:paraId="180397C4" w14:textId="7BB0BFC9" w:rsidR="006F61EB" w:rsidRDefault="006F61EB"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76370B" w:rsidRDefault="00054C41" w:rsidP="00054C41">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sidRPr="0076370B">
        <w:rPr>
          <w:rFonts w:ascii="Times New Roman" w:eastAsia="Calibri" w:hAnsi="Times New Roman" w:cs="Times New Roman"/>
          <w:bCs/>
          <w:i/>
          <w:iCs/>
          <w:color w:val="000000"/>
          <w:sz w:val="20"/>
          <w:szCs w:val="20"/>
        </w:rPr>
        <w:t xml:space="preserve"> a poplatky, ktorých cieľom je znižovať negatívne externality</w:t>
      </w:r>
      <w:r w:rsidRPr="0076370B">
        <w:rPr>
          <w:rFonts w:ascii="Times New Roman" w:eastAsia="Calibri" w:hAnsi="Times New Roman" w:cs="Times New Roman"/>
          <w:bCs/>
          <w:i/>
          <w:iCs/>
          <w:color w:val="000000"/>
          <w:sz w:val="20"/>
          <w:szCs w:val="20"/>
        </w:rPr>
        <w:t xml:space="preserve">, B. </w:t>
      </w:r>
      <w:r w:rsidR="00A000DA" w:rsidRPr="0076370B">
        <w:rPr>
          <w:rFonts w:ascii="Times New Roman" w:eastAsia="Calibri" w:hAnsi="Times New Roman" w:cs="Times New Roman"/>
          <w:bCs/>
          <w:i/>
          <w:iCs/>
          <w:color w:val="000000"/>
          <w:sz w:val="20"/>
          <w:szCs w:val="20"/>
        </w:rPr>
        <w:t>Iné p</w:t>
      </w:r>
      <w:r w:rsidRPr="0076370B">
        <w:rPr>
          <w:rFonts w:ascii="Times New Roman" w:eastAsia="Calibri" w:hAnsi="Times New Roman" w:cs="Times New Roman"/>
          <w:bCs/>
          <w:i/>
          <w:iCs/>
          <w:color w:val="000000"/>
          <w:sz w:val="20"/>
          <w:szCs w:val="20"/>
        </w:rPr>
        <w:t xml:space="preserve">oplatky, C. </w:t>
      </w:r>
      <w:r w:rsidR="00024EE4" w:rsidRPr="0076370B">
        <w:rPr>
          <w:rFonts w:ascii="Times New Roman" w:eastAsia="Calibri" w:hAnsi="Times New Roman" w:cs="Times New Roman"/>
          <w:bCs/>
          <w:i/>
          <w:iCs/>
          <w:color w:val="000000"/>
          <w:sz w:val="20"/>
          <w:szCs w:val="20"/>
        </w:rPr>
        <w:t>Sankcie</w:t>
      </w:r>
      <w:r w:rsidRPr="0076370B">
        <w:rPr>
          <w:rFonts w:ascii="Times New Roman" w:eastAsia="Calibri" w:hAnsi="Times New Roman" w:cs="Times New Roman"/>
          <w:bCs/>
          <w:i/>
          <w:iCs/>
          <w:color w:val="000000"/>
          <w:sz w:val="20"/>
          <w:szCs w:val="20"/>
        </w:rPr>
        <w:t xml:space="preserve">, D. </w:t>
      </w:r>
      <w:r w:rsidR="00024EE4" w:rsidRPr="0076370B">
        <w:rPr>
          <w:rFonts w:ascii="Times New Roman" w:eastAsia="Calibri" w:hAnsi="Times New Roman" w:cs="Times New Roman"/>
          <w:bCs/>
          <w:i/>
          <w:iCs/>
          <w:color w:val="000000"/>
          <w:sz w:val="20"/>
          <w:szCs w:val="20"/>
        </w:rPr>
        <w:t>Nepriame finančné náklady</w:t>
      </w:r>
      <w:r w:rsidR="00A94A0F" w:rsidRPr="0076370B">
        <w:rPr>
          <w:rFonts w:ascii="Times New Roman" w:eastAsia="Calibri" w:hAnsi="Times New Roman" w:cs="Times New Roman"/>
          <w:bCs/>
          <w:i/>
          <w:iCs/>
          <w:color w:val="000000"/>
          <w:sz w:val="20"/>
          <w:szCs w:val="20"/>
        </w:rPr>
        <w:t xml:space="preserve">, E. </w:t>
      </w:r>
      <w:r w:rsidRPr="0076370B">
        <w:rPr>
          <w:rFonts w:ascii="Times New Roman" w:eastAsia="Calibri" w:hAnsi="Times New Roman" w:cs="Times New Roman"/>
          <w:bCs/>
          <w:i/>
          <w:iCs/>
          <w:color w:val="000000"/>
          <w:sz w:val="20"/>
          <w:szCs w:val="20"/>
        </w:rPr>
        <w:t xml:space="preserve">Administratívne náklady). Rozčleňte ich a vypočítajte v súlade s metodickým postupom. </w:t>
      </w:r>
    </w:p>
    <w:p w14:paraId="1AABC353" w14:textId="44D1E9EA" w:rsidR="00A87D69" w:rsidRDefault="0076370B" w:rsidP="00054C41">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 xml:space="preserve">V predkladanom návrhu zákona bolo identifikovaných </w:t>
      </w:r>
      <w:r w:rsidR="00A87D69">
        <w:rPr>
          <w:rFonts w:ascii="Times New Roman" w:eastAsia="Calibri" w:hAnsi="Times New Roman" w:cs="Times New Roman"/>
          <w:bCs/>
          <w:iCs/>
          <w:color w:val="000000"/>
          <w:sz w:val="24"/>
          <w:szCs w:val="24"/>
        </w:rPr>
        <w:t>spolu 9</w:t>
      </w:r>
      <w:r w:rsidRPr="00281786">
        <w:rPr>
          <w:rFonts w:ascii="Times New Roman" w:eastAsia="Calibri" w:hAnsi="Times New Roman" w:cs="Times New Roman"/>
          <w:bCs/>
          <w:iCs/>
          <w:color w:val="000000"/>
          <w:sz w:val="24"/>
          <w:szCs w:val="24"/>
        </w:rPr>
        <w:t xml:space="preserve"> regulácií s vplyvom na podnikateľské prostredie. Predmetom kalkulačky nákladov sú </w:t>
      </w:r>
      <w:r w:rsidR="00A87D69">
        <w:rPr>
          <w:rFonts w:ascii="Times New Roman" w:eastAsia="Calibri" w:hAnsi="Times New Roman" w:cs="Times New Roman"/>
          <w:bCs/>
          <w:iCs/>
          <w:color w:val="000000"/>
          <w:sz w:val="24"/>
          <w:szCs w:val="24"/>
        </w:rPr>
        <w:t>však iba regulácie, pri ktorých bolo možné určiť počet dotknutých subjektov príslušnou reguláciou. Zvyšné regulácie sú uvedené v časti 3.1.4 a 3.4.</w:t>
      </w:r>
    </w:p>
    <w:p w14:paraId="40F74F3E" w14:textId="77777777" w:rsidR="007E4B98" w:rsidRPr="007E4B98" w:rsidRDefault="007E4B98" w:rsidP="007E4B98">
      <w:pPr>
        <w:jc w:val="both"/>
        <w:rPr>
          <w:rFonts w:ascii="Times New Roman" w:eastAsia="Calibri" w:hAnsi="Times New Roman" w:cs="Times New Roman"/>
          <w:bCs/>
          <w:iCs/>
          <w:color w:val="000000"/>
          <w:sz w:val="24"/>
          <w:szCs w:val="24"/>
        </w:rPr>
      </w:pPr>
      <w:r w:rsidRPr="007E4B98">
        <w:rPr>
          <w:rFonts w:ascii="Times New Roman" w:eastAsia="Calibri" w:hAnsi="Times New Roman" w:cs="Times New Roman"/>
          <w:bCs/>
          <w:iCs/>
          <w:color w:val="000000"/>
          <w:sz w:val="24"/>
          <w:szCs w:val="24"/>
        </w:rPr>
        <w:t xml:space="preserve">Okruh povinných subjektov sa s ohľadom na poskytovateľov služieb kryptoaktív nemení a to vzhľadom na skutočnosť, že poskytovatelia služieb kryptoaktív iba nahradia doposiaľ existujúce povinné subjekty poskytovateľ služieb zmenárne virtuálnej meny a poskytovateľ služieb peňaženky virtuálnej meny. </w:t>
      </w:r>
    </w:p>
    <w:p w14:paraId="439C20DB" w14:textId="77777777" w:rsidR="007E4B98" w:rsidRDefault="007E4B98" w:rsidP="00054C41">
      <w:pPr>
        <w:jc w:val="both"/>
        <w:rPr>
          <w:rFonts w:ascii="Times New Roman" w:eastAsia="Calibri" w:hAnsi="Times New Roman" w:cs="Times New Roman"/>
          <w:bCs/>
          <w:iCs/>
          <w:color w:val="000000"/>
          <w:sz w:val="24"/>
          <w:szCs w:val="24"/>
          <w:u w:val="single"/>
        </w:rPr>
      </w:pPr>
    </w:p>
    <w:p w14:paraId="0104AA47" w14:textId="56153C44" w:rsidR="00331B20" w:rsidRPr="00281786" w:rsidRDefault="00C8324B" w:rsidP="00054C41">
      <w:pPr>
        <w:jc w:val="both"/>
        <w:rPr>
          <w:rFonts w:ascii="Times New Roman" w:eastAsia="Calibri" w:hAnsi="Times New Roman" w:cs="Times New Roman"/>
          <w:bCs/>
          <w:iCs/>
          <w:color w:val="000000"/>
          <w:sz w:val="24"/>
          <w:szCs w:val="24"/>
          <w:u w:val="single"/>
        </w:rPr>
      </w:pPr>
      <w:r w:rsidRPr="00281786">
        <w:rPr>
          <w:rFonts w:ascii="Times New Roman" w:eastAsia="Calibri" w:hAnsi="Times New Roman" w:cs="Times New Roman"/>
          <w:bCs/>
          <w:iCs/>
          <w:color w:val="000000"/>
          <w:sz w:val="24"/>
          <w:szCs w:val="24"/>
          <w:u w:val="single"/>
        </w:rPr>
        <w:t>Opa</w:t>
      </w:r>
      <w:r w:rsidR="00737F9E">
        <w:rPr>
          <w:rFonts w:ascii="Times New Roman" w:eastAsia="Calibri" w:hAnsi="Times New Roman" w:cs="Times New Roman"/>
          <w:bCs/>
          <w:iCs/>
          <w:color w:val="000000"/>
          <w:sz w:val="24"/>
          <w:szCs w:val="24"/>
          <w:u w:val="single"/>
        </w:rPr>
        <w:t>trenia (opis regulácií) č. 1 – 3</w:t>
      </w:r>
      <w:r w:rsidRPr="00281786">
        <w:rPr>
          <w:rFonts w:ascii="Times New Roman" w:eastAsia="Calibri" w:hAnsi="Times New Roman" w:cs="Times New Roman"/>
          <w:bCs/>
          <w:iCs/>
          <w:color w:val="000000"/>
          <w:sz w:val="24"/>
          <w:szCs w:val="24"/>
          <w:u w:val="single"/>
        </w:rPr>
        <w:t>:</w:t>
      </w:r>
    </w:p>
    <w:p w14:paraId="141046DB" w14:textId="0F278604" w:rsidR="00BF5067" w:rsidRDefault="00BF5067" w:rsidP="00BF5067">
      <w:pPr>
        <w:pStyle w:val="Odsekzoznamu"/>
        <w:ind w:left="0"/>
        <w:jc w:val="both"/>
        <w:rPr>
          <w:rFonts w:ascii="Times New Roman" w:eastAsia="Calibri" w:hAnsi="Times New Roman" w:cs="Times New Roman"/>
          <w:bCs/>
          <w:iCs/>
          <w:color w:val="000000"/>
          <w:sz w:val="24"/>
          <w:szCs w:val="24"/>
        </w:rPr>
      </w:pPr>
    </w:p>
    <w:p w14:paraId="1C3A40C2" w14:textId="6F37A949" w:rsidR="00186414" w:rsidRPr="00281786" w:rsidRDefault="008D5CCF" w:rsidP="00186414">
      <w:pPr>
        <w:pStyle w:val="Odsekzoznamu"/>
        <w:numPr>
          <w:ilvl w:val="0"/>
          <w:numId w:val="15"/>
        </w:numPr>
        <w:ind w:left="426" w:hanging="426"/>
        <w:jc w:val="both"/>
        <w:rPr>
          <w:rFonts w:ascii="Times New Roman" w:eastAsia="Calibri" w:hAnsi="Times New Roman" w:cs="Times New Roman"/>
          <w:bCs/>
          <w:i/>
          <w:iCs/>
          <w:color w:val="000000"/>
          <w:sz w:val="24"/>
          <w:szCs w:val="24"/>
        </w:rPr>
      </w:pPr>
      <w:r w:rsidRPr="008D5CCF">
        <w:rPr>
          <w:rFonts w:ascii="Times New Roman" w:eastAsia="Calibri" w:hAnsi="Times New Roman" w:cs="Times New Roman"/>
          <w:bCs/>
          <w:i/>
          <w:iCs/>
          <w:color w:val="000000"/>
          <w:sz w:val="24"/>
          <w:szCs w:val="24"/>
        </w:rPr>
        <w:t>Uplatňovanie základnej starostlivosti pri vykonaní príležitostných prevodov finančných prostriedkov alebo kryptoaktív v hodnote najmenej 1000 eur</w:t>
      </w:r>
    </w:p>
    <w:p w14:paraId="560604CE" w14:textId="53F62AB1" w:rsidR="0004216E" w:rsidRDefault="0004216E" w:rsidP="00F6060E">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Výpočet vplyvu uvedenej regulácie na poskytovateľov služieb kryptoaktív a poskytovateľov platobných služieb vychádzal z údajov o počte dotknutých subjektov (zverejnený na stránke NBS</w:t>
      </w:r>
      <w:r w:rsidR="00B00EBE">
        <w:rPr>
          <w:rFonts w:ascii="Times New Roman" w:eastAsia="Times New Roman" w:hAnsi="Times New Roman" w:cs="Times New Roman"/>
          <w:bCs/>
          <w:color w:val="000000"/>
          <w:sz w:val="24"/>
          <w:szCs w:val="24"/>
          <w:lang w:eastAsia="sk-SK"/>
        </w:rPr>
        <w:t xml:space="preserve"> a </w:t>
      </w:r>
      <w:r w:rsidR="00985FCF">
        <w:rPr>
          <w:rFonts w:ascii="Times New Roman" w:eastAsia="Times New Roman" w:hAnsi="Times New Roman" w:cs="Times New Roman"/>
          <w:bCs/>
          <w:color w:val="000000"/>
          <w:sz w:val="24"/>
          <w:szCs w:val="24"/>
          <w:lang w:eastAsia="sk-SK"/>
        </w:rPr>
        <w:t>poskytnutý</w:t>
      </w:r>
      <w:r w:rsidR="00B00EBE">
        <w:rPr>
          <w:rFonts w:ascii="Times New Roman" w:eastAsia="Times New Roman" w:hAnsi="Times New Roman" w:cs="Times New Roman"/>
          <w:bCs/>
          <w:color w:val="000000"/>
          <w:sz w:val="24"/>
          <w:szCs w:val="24"/>
          <w:lang w:eastAsia="sk-SK"/>
        </w:rPr>
        <w:t xml:space="preserve"> odborom živnostenského podnikania MV SR</w:t>
      </w:r>
      <w:r>
        <w:rPr>
          <w:rFonts w:ascii="Times New Roman" w:eastAsia="Times New Roman" w:hAnsi="Times New Roman" w:cs="Times New Roman"/>
          <w:bCs/>
          <w:color w:val="000000"/>
          <w:sz w:val="24"/>
          <w:szCs w:val="24"/>
          <w:lang w:eastAsia="sk-SK"/>
        </w:rPr>
        <w:t xml:space="preserve">) a to konkrétne: banky a pobočky zahraničných bánk- 24, platobné inštitúcie a pobočky zahraničných platobných inštitúcií – 10, </w:t>
      </w:r>
      <w:r w:rsidR="00B00EBE">
        <w:rPr>
          <w:rFonts w:ascii="Times New Roman" w:eastAsia="Times New Roman" w:hAnsi="Times New Roman" w:cs="Times New Roman"/>
          <w:bCs/>
          <w:color w:val="000000"/>
          <w:sz w:val="24"/>
          <w:szCs w:val="24"/>
          <w:lang w:eastAsia="sk-SK"/>
        </w:rPr>
        <w:t>inštitúcie elektronických peňazí</w:t>
      </w:r>
      <w:r w:rsidR="00514467">
        <w:rPr>
          <w:rFonts w:ascii="Times New Roman" w:eastAsia="Times New Roman" w:hAnsi="Times New Roman" w:cs="Times New Roman"/>
          <w:bCs/>
          <w:color w:val="000000"/>
          <w:sz w:val="24"/>
          <w:szCs w:val="24"/>
          <w:lang w:eastAsia="sk-SK"/>
        </w:rPr>
        <w:t xml:space="preserve"> </w:t>
      </w:r>
      <w:r w:rsidR="00B00EBE">
        <w:rPr>
          <w:rFonts w:ascii="Times New Roman" w:eastAsia="Times New Roman" w:hAnsi="Times New Roman" w:cs="Times New Roman"/>
          <w:bCs/>
          <w:color w:val="000000"/>
          <w:sz w:val="24"/>
          <w:szCs w:val="24"/>
          <w:lang w:eastAsia="sk-SK"/>
        </w:rPr>
        <w:t xml:space="preserve">- 1, </w:t>
      </w:r>
      <w:r w:rsidR="00463621">
        <w:rPr>
          <w:rFonts w:ascii="Times New Roman" w:eastAsia="Times New Roman" w:hAnsi="Times New Roman" w:cs="Times New Roman"/>
          <w:bCs/>
          <w:color w:val="000000"/>
          <w:sz w:val="24"/>
          <w:szCs w:val="24"/>
          <w:lang w:eastAsia="sk-SK"/>
        </w:rPr>
        <w:t xml:space="preserve">pobočky zahraničných inštitúcií elektronických peňazí – 1, </w:t>
      </w:r>
      <w:r w:rsidR="00985FCF">
        <w:rPr>
          <w:rFonts w:ascii="Times New Roman" w:eastAsia="Times New Roman" w:hAnsi="Times New Roman" w:cs="Times New Roman"/>
          <w:bCs/>
          <w:color w:val="000000"/>
          <w:sz w:val="24"/>
          <w:szCs w:val="24"/>
          <w:lang w:eastAsia="sk-SK"/>
        </w:rPr>
        <w:t xml:space="preserve">poskytovatelia služieb peňaženky virtuálnej meny - </w:t>
      </w:r>
      <w:r w:rsidR="00334189">
        <w:rPr>
          <w:rFonts w:ascii="Times New Roman" w:eastAsia="Times New Roman" w:hAnsi="Times New Roman" w:cs="Times New Roman"/>
          <w:bCs/>
          <w:color w:val="000000"/>
          <w:sz w:val="24"/>
          <w:szCs w:val="24"/>
          <w:lang w:eastAsia="sk-SK"/>
        </w:rPr>
        <w:t>572</w:t>
      </w:r>
      <w:r w:rsidR="00985FCF">
        <w:rPr>
          <w:rFonts w:ascii="Times New Roman" w:eastAsia="Times New Roman" w:hAnsi="Times New Roman" w:cs="Times New Roman"/>
          <w:bCs/>
          <w:color w:val="000000"/>
          <w:sz w:val="24"/>
          <w:szCs w:val="24"/>
          <w:lang w:eastAsia="sk-SK"/>
        </w:rPr>
        <w:t xml:space="preserve">, poskytovatelia služieb zmenárne virtuálnej meny </w:t>
      </w:r>
      <w:r w:rsidR="00334189">
        <w:rPr>
          <w:rFonts w:ascii="Times New Roman" w:eastAsia="Times New Roman" w:hAnsi="Times New Roman" w:cs="Times New Roman"/>
          <w:bCs/>
          <w:color w:val="000000"/>
          <w:sz w:val="24"/>
          <w:szCs w:val="24"/>
          <w:lang w:eastAsia="sk-SK"/>
        </w:rPr>
        <w:t>–</w:t>
      </w:r>
      <w:r w:rsidR="00985FCF">
        <w:rPr>
          <w:rFonts w:ascii="Times New Roman" w:eastAsia="Times New Roman" w:hAnsi="Times New Roman" w:cs="Times New Roman"/>
          <w:bCs/>
          <w:color w:val="000000"/>
          <w:sz w:val="24"/>
          <w:szCs w:val="24"/>
          <w:lang w:eastAsia="sk-SK"/>
        </w:rPr>
        <w:t xml:space="preserve"> </w:t>
      </w:r>
      <w:r w:rsidR="00334189">
        <w:rPr>
          <w:rFonts w:ascii="Times New Roman" w:eastAsia="Times New Roman" w:hAnsi="Times New Roman" w:cs="Times New Roman"/>
          <w:bCs/>
          <w:color w:val="000000"/>
          <w:sz w:val="24"/>
          <w:szCs w:val="24"/>
          <w:lang w:eastAsia="sk-SK"/>
        </w:rPr>
        <w:t>508.</w:t>
      </w:r>
      <w:r w:rsidR="00A077C2">
        <w:rPr>
          <w:rFonts w:ascii="Times New Roman" w:eastAsia="Times New Roman" w:hAnsi="Times New Roman" w:cs="Times New Roman"/>
          <w:bCs/>
          <w:color w:val="000000"/>
          <w:sz w:val="24"/>
          <w:szCs w:val="24"/>
          <w:lang w:eastAsia="sk-SK"/>
        </w:rPr>
        <w:t xml:space="preserve"> Náklady spojené s reguláciou súvisia so zmenou vnútorných procesov štandardnej veľkosti a jednorazovou frekvenciou plnenia (t.j. jednorazovým nastavením vnútorných procesov). </w:t>
      </w:r>
    </w:p>
    <w:p w14:paraId="36585623" w14:textId="2F1B8A4D" w:rsidR="005E7C70" w:rsidRPr="00824DB6" w:rsidRDefault="000C798D" w:rsidP="00E041D5">
      <w:pPr>
        <w:pStyle w:val="Odsekzoznamu"/>
        <w:keepNext/>
        <w:numPr>
          <w:ilvl w:val="0"/>
          <w:numId w:val="15"/>
        </w:numPr>
        <w:ind w:left="426" w:hanging="426"/>
        <w:jc w:val="both"/>
        <w:rPr>
          <w:rFonts w:ascii="Times New Roman" w:eastAsia="Calibri" w:hAnsi="Times New Roman" w:cs="Times New Roman"/>
          <w:bCs/>
          <w:i/>
          <w:iCs/>
          <w:color w:val="000000"/>
          <w:sz w:val="24"/>
          <w:szCs w:val="24"/>
        </w:rPr>
      </w:pPr>
      <w:r w:rsidRPr="000C798D">
        <w:rPr>
          <w:rFonts w:ascii="Times New Roman" w:eastAsia="Calibri" w:hAnsi="Times New Roman" w:cs="Times New Roman"/>
          <w:bCs/>
          <w:i/>
          <w:iCs/>
          <w:color w:val="000000"/>
          <w:sz w:val="24"/>
          <w:szCs w:val="24"/>
        </w:rPr>
        <w:t>Uplatňovanie zvýšenej starostlivosti pri cezhraničnom korešpondenčnom bankovníctve bez ohľadu na krajinu pôvodu partnerskej inštitúcie</w:t>
      </w:r>
    </w:p>
    <w:p w14:paraId="3ECA3F33" w14:textId="5E5D191C" w:rsidR="00D30C7C" w:rsidRDefault="000C798D" w:rsidP="00FF7123">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 xml:space="preserve">Náklady spojené s uvedenou </w:t>
      </w:r>
      <w:r w:rsidR="00610BEB">
        <w:rPr>
          <w:rFonts w:ascii="Times New Roman" w:eastAsia="Times New Roman" w:hAnsi="Times New Roman" w:cs="Times New Roman"/>
          <w:bCs/>
          <w:color w:val="000000"/>
          <w:sz w:val="24"/>
          <w:szCs w:val="24"/>
          <w:lang w:eastAsia="sk-SK"/>
        </w:rPr>
        <w:t xml:space="preserve">reguláciou súvisia </w:t>
      </w:r>
      <w:r>
        <w:rPr>
          <w:rFonts w:ascii="Times New Roman" w:eastAsia="Times New Roman" w:hAnsi="Times New Roman" w:cs="Times New Roman"/>
          <w:bCs/>
          <w:color w:val="000000"/>
          <w:sz w:val="24"/>
          <w:szCs w:val="24"/>
          <w:lang w:eastAsia="sk-SK"/>
        </w:rPr>
        <w:t xml:space="preserve">s evidenciou a vedením záznamov </w:t>
      </w:r>
      <w:r w:rsidR="00610BEB">
        <w:rPr>
          <w:rFonts w:ascii="Times New Roman" w:eastAsia="Times New Roman" w:hAnsi="Times New Roman" w:cs="Times New Roman"/>
          <w:bCs/>
          <w:color w:val="000000"/>
          <w:sz w:val="24"/>
          <w:szCs w:val="24"/>
          <w:lang w:eastAsia="sk-SK"/>
        </w:rPr>
        <w:t>bankami a pobočkami zahraničných bánk</w:t>
      </w:r>
      <w:r w:rsidR="000A1386">
        <w:rPr>
          <w:rFonts w:ascii="Times New Roman" w:eastAsia="Times New Roman" w:hAnsi="Times New Roman" w:cs="Times New Roman"/>
          <w:bCs/>
          <w:color w:val="000000"/>
          <w:sz w:val="24"/>
          <w:szCs w:val="24"/>
          <w:lang w:eastAsia="sk-SK"/>
        </w:rPr>
        <w:t>, ktorých počet bol stanovený na 24, a to</w:t>
      </w:r>
      <w:r w:rsidR="00610BEB">
        <w:rPr>
          <w:rFonts w:ascii="Times New Roman" w:eastAsia="Times New Roman" w:hAnsi="Times New Roman" w:cs="Times New Roman"/>
          <w:bCs/>
          <w:color w:val="000000"/>
          <w:sz w:val="24"/>
          <w:szCs w:val="24"/>
          <w:lang w:eastAsia="sk-SK"/>
        </w:rPr>
        <w:t xml:space="preserve"> pri korešpondenčnom bankovníctve s partnerskou inštitúciou sídliacou v rámci EÚ/EHS a v tretích krajinách</w:t>
      </w:r>
      <w:r w:rsidR="00056204">
        <w:rPr>
          <w:rFonts w:ascii="Times New Roman" w:eastAsia="Times New Roman" w:hAnsi="Times New Roman" w:cs="Times New Roman"/>
          <w:bCs/>
          <w:color w:val="000000"/>
          <w:sz w:val="24"/>
          <w:szCs w:val="24"/>
          <w:lang w:eastAsia="sk-SK"/>
        </w:rPr>
        <w:t>. Náklady na evidenciu a vedenie záznamov sa odhadom stanovili v štandardnej veľkosti s frekvenciou revízie získ</w:t>
      </w:r>
      <w:r w:rsidR="003D6F43">
        <w:rPr>
          <w:rFonts w:ascii="Times New Roman" w:eastAsia="Times New Roman" w:hAnsi="Times New Roman" w:cs="Times New Roman"/>
          <w:bCs/>
          <w:color w:val="000000"/>
          <w:sz w:val="24"/>
          <w:szCs w:val="24"/>
          <w:lang w:eastAsia="sk-SK"/>
        </w:rPr>
        <w:t>aných informácií dvakrát ročne (viac informácií k uvedenej regulácii uvádzame v časti 3.1.4).</w:t>
      </w:r>
    </w:p>
    <w:p w14:paraId="7DED655D" w14:textId="79397185" w:rsidR="00137A05" w:rsidRPr="00146A15" w:rsidRDefault="007E4B98" w:rsidP="00146A15">
      <w:p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3</w:t>
      </w:r>
      <w:r w:rsidR="00146A15" w:rsidRPr="001C08DE">
        <w:rPr>
          <w:rFonts w:ascii="Times New Roman" w:eastAsia="Calibri" w:hAnsi="Times New Roman" w:cs="Times New Roman"/>
          <w:bCs/>
          <w:i/>
          <w:iCs/>
          <w:color w:val="000000"/>
          <w:sz w:val="24"/>
          <w:szCs w:val="24"/>
        </w:rPr>
        <w:t>.</w:t>
      </w:r>
      <w:r w:rsidR="00146A15">
        <w:rPr>
          <w:rFonts w:ascii="Times New Roman" w:eastAsia="Calibri" w:hAnsi="Times New Roman" w:cs="Times New Roman"/>
          <w:bCs/>
          <w:iCs/>
          <w:color w:val="000000"/>
          <w:sz w:val="24"/>
          <w:szCs w:val="24"/>
        </w:rPr>
        <w:t xml:space="preserve"> </w:t>
      </w:r>
      <w:r w:rsidR="00146A15" w:rsidRPr="00146A15">
        <w:rPr>
          <w:rFonts w:ascii="Times New Roman" w:eastAsia="Calibri" w:hAnsi="Times New Roman" w:cs="Times New Roman"/>
          <w:bCs/>
          <w:i/>
          <w:iCs/>
          <w:color w:val="000000"/>
          <w:sz w:val="24"/>
          <w:szCs w:val="24"/>
        </w:rPr>
        <w:t xml:space="preserve">Vyhotovenie písomného záznamu pri ukončení </w:t>
      </w:r>
      <w:r w:rsidR="006F0FDC">
        <w:rPr>
          <w:rFonts w:ascii="Times New Roman" w:eastAsia="Calibri" w:hAnsi="Times New Roman" w:cs="Times New Roman"/>
          <w:bCs/>
          <w:i/>
          <w:iCs/>
          <w:color w:val="000000"/>
          <w:sz w:val="24"/>
          <w:szCs w:val="24"/>
        </w:rPr>
        <w:t xml:space="preserve">obchodného vzťahu s partnerskou </w:t>
      </w:r>
      <w:r w:rsidR="00146A15" w:rsidRPr="00146A15">
        <w:rPr>
          <w:rFonts w:ascii="Times New Roman" w:eastAsia="Calibri" w:hAnsi="Times New Roman" w:cs="Times New Roman"/>
          <w:bCs/>
          <w:i/>
          <w:iCs/>
          <w:color w:val="000000"/>
          <w:sz w:val="24"/>
          <w:szCs w:val="24"/>
        </w:rPr>
        <w:t>inštitúciou</w:t>
      </w:r>
    </w:p>
    <w:p w14:paraId="21331657" w14:textId="0EEC4BB2" w:rsidR="00662A43" w:rsidRPr="00662A43" w:rsidRDefault="001F1390" w:rsidP="00662A43">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Návrh zákona ukladá novú povinnosť </w:t>
      </w:r>
      <w:r w:rsidR="005121E6">
        <w:rPr>
          <w:rFonts w:ascii="Times New Roman" w:eastAsia="Calibri" w:hAnsi="Times New Roman" w:cs="Times New Roman"/>
          <w:bCs/>
          <w:iCs/>
          <w:color w:val="000000"/>
          <w:sz w:val="24"/>
          <w:szCs w:val="24"/>
        </w:rPr>
        <w:t xml:space="preserve">pre poskytovateľov služieb kryptoaktív, a to </w:t>
      </w:r>
      <w:r>
        <w:rPr>
          <w:rFonts w:ascii="Times New Roman" w:eastAsia="Calibri" w:hAnsi="Times New Roman" w:cs="Times New Roman"/>
          <w:bCs/>
          <w:iCs/>
          <w:color w:val="000000"/>
          <w:sz w:val="24"/>
          <w:szCs w:val="24"/>
        </w:rPr>
        <w:t>vyhotoviť písomný záznam v</w:t>
      </w:r>
      <w:r w:rsidR="004C47C0">
        <w:rPr>
          <w:rFonts w:ascii="Times New Roman" w:eastAsia="Calibri" w:hAnsi="Times New Roman" w:cs="Times New Roman"/>
          <w:bCs/>
          <w:iCs/>
          <w:color w:val="000000"/>
          <w:sz w:val="24"/>
          <w:szCs w:val="24"/>
        </w:rPr>
        <w:t> </w:t>
      </w:r>
      <w:r>
        <w:rPr>
          <w:rFonts w:ascii="Times New Roman" w:eastAsia="Calibri" w:hAnsi="Times New Roman" w:cs="Times New Roman"/>
          <w:bCs/>
          <w:iCs/>
          <w:color w:val="000000"/>
          <w:sz w:val="24"/>
          <w:szCs w:val="24"/>
        </w:rPr>
        <w:t>prípade</w:t>
      </w:r>
      <w:r w:rsidR="004C47C0">
        <w:rPr>
          <w:rFonts w:ascii="Times New Roman" w:eastAsia="Calibri" w:hAnsi="Times New Roman" w:cs="Times New Roman"/>
          <w:bCs/>
          <w:iCs/>
          <w:color w:val="000000"/>
          <w:sz w:val="24"/>
          <w:szCs w:val="24"/>
        </w:rPr>
        <w:t>, ak ukončia</w:t>
      </w:r>
      <w:r>
        <w:rPr>
          <w:rFonts w:ascii="Times New Roman" w:eastAsia="Calibri" w:hAnsi="Times New Roman" w:cs="Times New Roman"/>
          <w:bCs/>
          <w:iCs/>
          <w:color w:val="000000"/>
          <w:sz w:val="24"/>
          <w:szCs w:val="24"/>
        </w:rPr>
        <w:t xml:space="preserve"> </w:t>
      </w:r>
      <w:r w:rsidR="004C47C0">
        <w:rPr>
          <w:rFonts w:ascii="Times New Roman" w:eastAsia="Calibri" w:hAnsi="Times New Roman" w:cs="Times New Roman"/>
          <w:bCs/>
          <w:iCs/>
          <w:color w:val="000000"/>
          <w:sz w:val="24"/>
          <w:szCs w:val="24"/>
        </w:rPr>
        <w:t>korešpondenčný</w:t>
      </w:r>
      <w:r w:rsidR="005121E6">
        <w:rPr>
          <w:rFonts w:ascii="Times New Roman" w:eastAsia="Calibri" w:hAnsi="Times New Roman" w:cs="Times New Roman"/>
          <w:bCs/>
          <w:iCs/>
          <w:color w:val="000000"/>
          <w:sz w:val="24"/>
          <w:szCs w:val="24"/>
        </w:rPr>
        <w:t xml:space="preserve"> vzťa</w:t>
      </w:r>
      <w:r w:rsidR="004C47C0">
        <w:rPr>
          <w:rFonts w:ascii="Times New Roman" w:eastAsia="Calibri" w:hAnsi="Times New Roman" w:cs="Times New Roman"/>
          <w:bCs/>
          <w:iCs/>
          <w:color w:val="000000"/>
          <w:sz w:val="24"/>
          <w:szCs w:val="24"/>
        </w:rPr>
        <w:t>h</w:t>
      </w:r>
      <w:r w:rsidR="005121E6">
        <w:rPr>
          <w:rFonts w:ascii="Times New Roman" w:eastAsia="Calibri" w:hAnsi="Times New Roman" w:cs="Times New Roman"/>
          <w:bCs/>
          <w:iCs/>
          <w:color w:val="000000"/>
          <w:sz w:val="24"/>
          <w:szCs w:val="24"/>
        </w:rPr>
        <w:t xml:space="preserve"> s partnerskou inštitúciou, ako výsledok opatrenia na zmiernenie rizík.</w:t>
      </w:r>
      <w:r w:rsidR="007D6160">
        <w:rPr>
          <w:rFonts w:ascii="Times New Roman" w:eastAsia="Calibri" w:hAnsi="Times New Roman" w:cs="Times New Roman"/>
          <w:bCs/>
          <w:iCs/>
          <w:color w:val="000000"/>
          <w:sz w:val="24"/>
          <w:szCs w:val="24"/>
        </w:rPr>
        <w:t xml:space="preserve"> </w:t>
      </w:r>
      <w:r w:rsidR="00662A43" w:rsidRPr="00662A43">
        <w:rPr>
          <w:rFonts w:ascii="Times New Roman" w:eastAsia="Calibri" w:hAnsi="Times New Roman" w:cs="Times New Roman"/>
          <w:bCs/>
          <w:iCs/>
          <w:color w:val="000000"/>
          <w:sz w:val="24"/>
          <w:szCs w:val="24"/>
        </w:rPr>
        <w:t>Výpočet vplyvu uvedenej regulácie na poskytovateľov služieb kryptoaktív</w:t>
      </w:r>
      <w:r w:rsidR="001F4E53">
        <w:rPr>
          <w:rFonts w:ascii="Times New Roman" w:eastAsia="Calibri" w:hAnsi="Times New Roman" w:cs="Times New Roman"/>
          <w:bCs/>
          <w:iCs/>
          <w:color w:val="000000"/>
          <w:sz w:val="24"/>
          <w:szCs w:val="24"/>
        </w:rPr>
        <w:t xml:space="preserve"> bol stanovený ako vypracovanie dokume</w:t>
      </w:r>
      <w:r w:rsidR="00EF3B91">
        <w:rPr>
          <w:rFonts w:ascii="Times New Roman" w:eastAsia="Calibri" w:hAnsi="Times New Roman" w:cs="Times New Roman"/>
          <w:bCs/>
          <w:iCs/>
          <w:color w:val="000000"/>
          <w:sz w:val="24"/>
          <w:szCs w:val="24"/>
        </w:rPr>
        <w:t>ntu, veľkosť povinnosti bola</w:t>
      </w:r>
      <w:r w:rsidR="001F4E53">
        <w:rPr>
          <w:rFonts w:ascii="Times New Roman" w:eastAsia="Calibri" w:hAnsi="Times New Roman" w:cs="Times New Roman"/>
          <w:bCs/>
          <w:iCs/>
          <w:color w:val="000000"/>
          <w:sz w:val="24"/>
          <w:szCs w:val="24"/>
        </w:rPr>
        <w:t xml:space="preserve"> odhadom stanovená ako malá</w:t>
      </w:r>
      <w:r w:rsidR="00EF3B91">
        <w:rPr>
          <w:rFonts w:ascii="Times New Roman" w:eastAsia="Calibri" w:hAnsi="Times New Roman" w:cs="Times New Roman"/>
          <w:bCs/>
          <w:iCs/>
          <w:color w:val="000000"/>
          <w:sz w:val="24"/>
          <w:szCs w:val="24"/>
        </w:rPr>
        <w:t>,</w:t>
      </w:r>
      <w:r w:rsidR="001F4E53">
        <w:rPr>
          <w:rFonts w:ascii="Times New Roman" w:eastAsia="Calibri" w:hAnsi="Times New Roman" w:cs="Times New Roman"/>
          <w:bCs/>
          <w:iCs/>
          <w:color w:val="000000"/>
          <w:sz w:val="24"/>
          <w:szCs w:val="24"/>
        </w:rPr>
        <w:t xml:space="preserve"> s frekvenciou plnenia nepravidelne. Údaje</w:t>
      </w:r>
      <w:r w:rsidR="00662A43" w:rsidRPr="00662A43">
        <w:rPr>
          <w:rFonts w:ascii="Times New Roman" w:eastAsia="Calibri" w:hAnsi="Times New Roman" w:cs="Times New Roman"/>
          <w:bCs/>
          <w:iCs/>
          <w:color w:val="000000"/>
          <w:sz w:val="24"/>
          <w:szCs w:val="24"/>
        </w:rPr>
        <w:t xml:space="preserve"> o počte dotknutých subjektov </w:t>
      </w:r>
      <w:r w:rsidR="001F4E53">
        <w:rPr>
          <w:rFonts w:ascii="Times New Roman" w:eastAsia="Calibri" w:hAnsi="Times New Roman" w:cs="Times New Roman"/>
          <w:bCs/>
          <w:iCs/>
          <w:color w:val="000000"/>
          <w:sz w:val="24"/>
          <w:szCs w:val="24"/>
        </w:rPr>
        <w:t>boli poskytnuté</w:t>
      </w:r>
      <w:r w:rsidR="00662A43" w:rsidRPr="00662A43">
        <w:rPr>
          <w:rFonts w:ascii="Times New Roman" w:eastAsia="Calibri" w:hAnsi="Times New Roman" w:cs="Times New Roman"/>
          <w:bCs/>
          <w:iCs/>
          <w:color w:val="000000"/>
          <w:sz w:val="24"/>
          <w:szCs w:val="24"/>
        </w:rPr>
        <w:t xml:space="preserve"> odborom živnostenského podnikania MV SR a to konkrétne</w:t>
      </w:r>
      <w:r w:rsidR="00662A43">
        <w:rPr>
          <w:rFonts w:ascii="Times New Roman" w:eastAsia="Calibri" w:hAnsi="Times New Roman" w:cs="Times New Roman"/>
          <w:bCs/>
          <w:iCs/>
          <w:color w:val="000000"/>
          <w:sz w:val="24"/>
          <w:szCs w:val="24"/>
        </w:rPr>
        <w:t xml:space="preserve">: </w:t>
      </w:r>
      <w:r w:rsidR="00662A43" w:rsidRPr="00662A43">
        <w:rPr>
          <w:rFonts w:ascii="Times New Roman" w:eastAsia="Calibri" w:hAnsi="Times New Roman" w:cs="Times New Roman"/>
          <w:bCs/>
          <w:iCs/>
          <w:color w:val="000000"/>
          <w:sz w:val="24"/>
          <w:szCs w:val="24"/>
        </w:rPr>
        <w:t>poskytovatelia služieb peňaženky virtuálnej meny - 572, poskytovatelia služieb zmenárne virtuálnej meny – 508.</w:t>
      </w:r>
      <w:r w:rsidR="001F4E53">
        <w:rPr>
          <w:rFonts w:ascii="Times New Roman" w:eastAsia="Calibri" w:hAnsi="Times New Roman" w:cs="Times New Roman"/>
          <w:bCs/>
          <w:iCs/>
          <w:color w:val="000000"/>
          <w:sz w:val="24"/>
          <w:szCs w:val="24"/>
        </w:rPr>
        <w:t xml:space="preserve"> Náklady spojené s uvedenou reguláciou </w:t>
      </w:r>
    </w:p>
    <w:p w14:paraId="48D6BA38" w14:textId="7877A648" w:rsidR="00662A43" w:rsidRDefault="00662A43" w:rsidP="00D30C7C">
      <w:pPr>
        <w:jc w:val="both"/>
        <w:rPr>
          <w:rFonts w:ascii="Times New Roman" w:eastAsia="Calibri" w:hAnsi="Times New Roman" w:cs="Times New Roman"/>
          <w:bCs/>
          <w:iCs/>
          <w:color w:val="000000"/>
          <w:sz w:val="24"/>
          <w:szCs w:val="24"/>
        </w:rPr>
      </w:pPr>
    </w:p>
    <w:p w14:paraId="0EB298DB" w14:textId="77777777" w:rsidR="00512BA7" w:rsidRPr="001F1B43" w:rsidRDefault="00511F8F" w:rsidP="00B70F2E">
      <w:pPr>
        <w:keepNext/>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76370B" w:rsidRDefault="000C5419" w:rsidP="00B70F2E">
      <w:pPr>
        <w:keepNext/>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Požadované informácie </w:t>
      </w:r>
      <w:r w:rsidR="00F153D7" w:rsidRPr="0076370B">
        <w:rPr>
          <w:rFonts w:ascii="Times New Roman" w:eastAsia="Calibri" w:hAnsi="Times New Roman" w:cs="Times New Roman"/>
          <w:bCs/>
          <w:i/>
          <w:iCs/>
          <w:color w:val="000000"/>
          <w:sz w:val="20"/>
          <w:szCs w:val="20"/>
        </w:rPr>
        <w:t>uveďte</w:t>
      </w:r>
      <w:r w:rsidRPr="0076370B">
        <w:rPr>
          <w:rFonts w:ascii="Times New Roman" w:eastAsia="Calibri" w:hAnsi="Times New Roman" w:cs="Times New Roman"/>
          <w:bCs/>
          <w:i/>
          <w:iCs/>
          <w:color w:val="000000"/>
          <w:sz w:val="20"/>
          <w:szCs w:val="20"/>
        </w:rPr>
        <w:t xml:space="preserve"> osobitne ku každému identifikovanému goldplatingu (ku každej hodnotenej regulácii s goldplatingom osobitne). </w:t>
      </w:r>
    </w:p>
    <w:p w14:paraId="0A0E8534" w14:textId="77777777" w:rsidR="0016512E" w:rsidRPr="0076370B" w:rsidRDefault="0016512E" w:rsidP="0016512E">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Uveďte</w:t>
      </w:r>
      <w:r w:rsidR="004239D1" w:rsidRPr="0076370B">
        <w:rPr>
          <w:rFonts w:ascii="Times New Roman" w:eastAsia="Calibri" w:hAnsi="Times New Roman" w:cs="Times New Roman"/>
          <w:bCs/>
          <w:i/>
          <w:iCs/>
          <w:color w:val="000000"/>
          <w:sz w:val="20"/>
          <w:szCs w:val="20"/>
        </w:rPr>
        <w:t xml:space="preserve"> odôvodnenie goldplatingu z hľadiska jeho nespochybniteľnej nevyhnutnosti.</w:t>
      </w:r>
      <w:r w:rsidRPr="0076370B">
        <w:rPr>
          <w:rFonts w:ascii="Times New Roman" w:eastAsia="Calibri" w:hAnsi="Times New Roman" w:cs="Times New Roman"/>
          <w:bCs/>
          <w:i/>
          <w:iCs/>
          <w:color w:val="000000"/>
          <w:sz w:val="20"/>
          <w:szCs w:val="20"/>
        </w:rPr>
        <w:t xml:space="preserve"> Odôvodnenie doložte dôkladným hodnotením prínosov a</w:t>
      </w:r>
      <w:r w:rsidR="005D39D8" w:rsidRPr="0076370B">
        <w:rPr>
          <w:rFonts w:ascii="Times New Roman" w:eastAsia="Calibri" w:hAnsi="Times New Roman" w:cs="Times New Roman"/>
          <w:bCs/>
          <w:i/>
          <w:iCs/>
          <w:color w:val="000000"/>
          <w:sz w:val="20"/>
          <w:szCs w:val="20"/>
        </w:rPr>
        <w:t> </w:t>
      </w:r>
      <w:r w:rsidRPr="0076370B">
        <w:rPr>
          <w:rFonts w:ascii="Times New Roman" w:eastAsia="Calibri" w:hAnsi="Times New Roman" w:cs="Times New Roman"/>
          <w:bCs/>
          <w:i/>
          <w:iCs/>
          <w:color w:val="000000"/>
          <w:sz w:val="20"/>
          <w:szCs w:val="20"/>
        </w:rPr>
        <w:t>nákladov</w:t>
      </w:r>
      <w:r w:rsidR="005D39D8" w:rsidRPr="0076370B">
        <w:rPr>
          <w:rFonts w:ascii="Times New Roman" w:eastAsia="Calibri" w:hAnsi="Times New Roman" w:cs="Times New Roman"/>
          <w:bCs/>
          <w:i/>
          <w:iCs/>
          <w:color w:val="000000"/>
          <w:sz w:val="20"/>
          <w:szCs w:val="20"/>
        </w:rPr>
        <w:t>. Uveďte zvážené alternatívne riešenia.</w:t>
      </w:r>
      <w:r w:rsidRPr="0076370B">
        <w:rPr>
          <w:rFonts w:ascii="Times New Roman" w:eastAsia="Calibri" w:hAnsi="Times New Roman" w:cs="Times New Roman"/>
          <w:bCs/>
          <w:i/>
          <w:iCs/>
          <w:color w:val="000000"/>
          <w:sz w:val="20"/>
          <w:szCs w:val="20"/>
        </w:rPr>
        <w:t>.</w:t>
      </w:r>
    </w:p>
    <w:p w14:paraId="6A18C579" w14:textId="0633763E" w:rsidR="000C5419" w:rsidRPr="0076370B" w:rsidRDefault="00990813" w:rsidP="000C5419">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Zároveň </w:t>
      </w:r>
      <w:r w:rsidR="00D5309D" w:rsidRPr="0076370B">
        <w:rPr>
          <w:rFonts w:ascii="Times New Roman" w:eastAsia="Calibri" w:hAnsi="Times New Roman" w:cs="Times New Roman"/>
          <w:bCs/>
          <w:i/>
          <w:iCs/>
          <w:color w:val="000000"/>
          <w:sz w:val="20"/>
          <w:szCs w:val="20"/>
        </w:rPr>
        <w:t>uveďte</w:t>
      </w:r>
      <w:r w:rsidR="000C5419" w:rsidRPr="0076370B">
        <w:rPr>
          <w:rFonts w:ascii="Times New Roman" w:eastAsia="Calibri" w:hAnsi="Times New Roman" w:cs="Times New Roman"/>
          <w:bCs/>
          <w:i/>
          <w:iCs/>
          <w:color w:val="000000"/>
          <w:sz w:val="20"/>
          <w:szCs w:val="20"/>
        </w:rPr>
        <w:t xml:space="preserve"> konkrétne informácie súvisiace s </w:t>
      </w:r>
      <w:r w:rsidRPr="0076370B">
        <w:rPr>
          <w:rFonts w:ascii="Times New Roman" w:eastAsia="Calibri" w:hAnsi="Times New Roman" w:cs="Times New Roman"/>
          <w:bCs/>
          <w:i/>
          <w:iCs/>
          <w:color w:val="000000"/>
          <w:sz w:val="20"/>
          <w:szCs w:val="20"/>
        </w:rPr>
        <w:t xml:space="preserve">kategóriou </w:t>
      </w:r>
      <w:r w:rsidR="000C5419" w:rsidRPr="0076370B">
        <w:rPr>
          <w:rFonts w:ascii="Times New Roman" w:eastAsia="Calibri" w:hAnsi="Times New Roman" w:cs="Times New Roman"/>
          <w:bCs/>
          <w:i/>
          <w:iCs/>
          <w:color w:val="000000"/>
          <w:sz w:val="20"/>
          <w:szCs w:val="20"/>
        </w:rPr>
        <w:t>goldplatingu</w:t>
      </w:r>
      <w:r w:rsidRPr="0076370B">
        <w:rPr>
          <w:rFonts w:ascii="Times New Roman" w:eastAsia="Calibri" w:hAnsi="Times New Roman" w:cs="Times New Roman"/>
          <w:bCs/>
          <w:i/>
          <w:iCs/>
          <w:color w:val="000000"/>
          <w:sz w:val="20"/>
          <w:szCs w:val="20"/>
        </w:rPr>
        <w:t xml:space="preserve"> podľa </w:t>
      </w:r>
      <w:r w:rsidR="00D114ED" w:rsidRPr="0076370B">
        <w:rPr>
          <w:rFonts w:ascii="Times New Roman" w:eastAsia="Calibri" w:hAnsi="Times New Roman" w:cs="Times New Roman"/>
          <w:bCs/>
          <w:i/>
          <w:iCs/>
          <w:color w:val="000000"/>
          <w:sz w:val="20"/>
          <w:szCs w:val="20"/>
        </w:rPr>
        <w:t>jednotnej metodiky</w:t>
      </w:r>
      <w:r w:rsidR="000C5419" w:rsidRPr="0076370B">
        <w:rPr>
          <w:rFonts w:ascii="Times New Roman" w:eastAsia="Calibri" w:hAnsi="Times New Roman" w:cs="Times New Roman"/>
          <w:bCs/>
          <w:i/>
          <w:iCs/>
          <w:color w:val="000000"/>
          <w:sz w:val="20"/>
          <w:szCs w:val="20"/>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0A84FDA0" w14:textId="086A2A48" w:rsidR="00594ADD" w:rsidRDefault="00D114ED" w:rsidP="00054C41">
      <w:pPr>
        <w:jc w:val="both"/>
        <w:rPr>
          <w:rFonts w:ascii="Times New Roman" w:eastAsia="Calibri" w:hAnsi="Times New Roman" w:cs="Times New Roman"/>
          <w:b/>
          <w:sz w:val="24"/>
          <w:szCs w:val="24"/>
        </w:rPr>
      </w:pPr>
      <w:r w:rsidRPr="0076370B">
        <w:rPr>
          <w:rFonts w:ascii="Times New Roman" w:eastAsia="Calibri" w:hAnsi="Times New Roman" w:cs="Times New Roman"/>
          <w:bCs/>
          <w:i/>
          <w:iCs/>
          <w:sz w:val="20"/>
          <w:szCs w:val="20"/>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7711CE2C" w14:textId="3A0CF591" w:rsidR="00861F39" w:rsidRDefault="00594ADD" w:rsidP="00237CF5">
      <w:pPr>
        <w:jc w:val="both"/>
        <w:rPr>
          <w:rFonts w:ascii="Times New Roman" w:eastAsia="Calibri" w:hAnsi="Times New Roman" w:cs="Times New Roman"/>
          <w:sz w:val="24"/>
          <w:szCs w:val="24"/>
        </w:rPr>
      </w:pPr>
      <w:r>
        <w:rPr>
          <w:rFonts w:ascii="Times New Roman" w:eastAsia="Calibri" w:hAnsi="Times New Roman" w:cs="Times New Roman"/>
          <w:sz w:val="24"/>
          <w:szCs w:val="24"/>
        </w:rPr>
        <w:t>V návrhu zákona bol goldplating identifikovaný v</w:t>
      </w:r>
      <w:r w:rsidR="000A3212">
        <w:rPr>
          <w:rFonts w:ascii="Times New Roman" w:eastAsia="Calibri" w:hAnsi="Times New Roman" w:cs="Times New Roman"/>
          <w:sz w:val="24"/>
          <w:szCs w:val="24"/>
        </w:rPr>
        <w:t xml:space="preserve"> jednom</w:t>
      </w:r>
      <w:r>
        <w:rPr>
          <w:rFonts w:ascii="Times New Roman" w:eastAsia="Calibri" w:hAnsi="Times New Roman" w:cs="Times New Roman"/>
          <w:sz w:val="24"/>
          <w:szCs w:val="24"/>
        </w:rPr>
        <w:t xml:space="preserve"> prípad</w:t>
      </w:r>
      <w:r w:rsidR="000A3212">
        <w:rPr>
          <w:rFonts w:ascii="Times New Roman" w:eastAsia="Calibri" w:hAnsi="Times New Roman" w:cs="Times New Roman"/>
          <w:sz w:val="24"/>
          <w:szCs w:val="24"/>
        </w:rPr>
        <w:t>e</w:t>
      </w:r>
      <w:r>
        <w:rPr>
          <w:rFonts w:ascii="Times New Roman" w:eastAsia="Calibri" w:hAnsi="Times New Roman" w:cs="Times New Roman"/>
          <w:sz w:val="24"/>
          <w:szCs w:val="24"/>
        </w:rPr>
        <w:t xml:space="preserve">. </w:t>
      </w:r>
    </w:p>
    <w:p w14:paraId="38B79342" w14:textId="7529E519" w:rsidR="00B20B40" w:rsidRPr="00B20B40" w:rsidRDefault="000A3212" w:rsidP="00B20B40">
      <w:pPr>
        <w:jc w:val="both"/>
        <w:rPr>
          <w:rFonts w:ascii="Times New Roman" w:eastAsia="Calibri" w:hAnsi="Times New Roman" w:cs="Times New Roman"/>
          <w:sz w:val="24"/>
          <w:szCs w:val="24"/>
        </w:rPr>
      </w:pPr>
      <w:r>
        <w:rPr>
          <w:rFonts w:ascii="Times New Roman" w:eastAsia="Calibri" w:hAnsi="Times New Roman" w:cs="Times New Roman"/>
          <w:sz w:val="24"/>
          <w:szCs w:val="24"/>
        </w:rPr>
        <w:t>Prípad</w:t>
      </w:r>
      <w:r w:rsidR="008C5F63">
        <w:rPr>
          <w:rFonts w:ascii="Times New Roman" w:eastAsia="Calibri" w:hAnsi="Times New Roman" w:cs="Times New Roman"/>
          <w:sz w:val="24"/>
          <w:szCs w:val="24"/>
        </w:rPr>
        <w:t xml:space="preserve"> goldplatingu</w:t>
      </w:r>
      <w:r w:rsidR="000A1386">
        <w:rPr>
          <w:rFonts w:ascii="Times New Roman" w:eastAsia="Calibri" w:hAnsi="Times New Roman" w:cs="Times New Roman"/>
          <w:sz w:val="24"/>
          <w:szCs w:val="24"/>
        </w:rPr>
        <w:t xml:space="preserve"> (uvedený v tabuľke č. 2 ako regulácia č. 2)</w:t>
      </w:r>
      <w:r w:rsidR="008C5F63">
        <w:rPr>
          <w:rFonts w:ascii="Times New Roman" w:eastAsia="Calibri" w:hAnsi="Times New Roman" w:cs="Times New Roman"/>
          <w:sz w:val="24"/>
          <w:szCs w:val="24"/>
        </w:rPr>
        <w:t xml:space="preserve"> </w:t>
      </w:r>
      <w:r>
        <w:rPr>
          <w:rFonts w:ascii="Times New Roman" w:eastAsia="Calibri" w:hAnsi="Times New Roman" w:cs="Times New Roman"/>
          <w:sz w:val="24"/>
          <w:szCs w:val="24"/>
        </w:rPr>
        <w:t>súvisí s</w:t>
      </w:r>
      <w:r w:rsidR="006D0352">
        <w:rPr>
          <w:rFonts w:ascii="Times New Roman" w:eastAsia="Calibri" w:hAnsi="Times New Roman" w:cs="Times New Roman"/>
          <w:sz w:val="24"/>
          <w:szCs w:val="24"/>
        </w:rPr>
        <w:t xml:space="preserve"> navýšením požiadaviek nad rámec minimálnych požiadaviek smernice EÚ a </w:t>
      </w:r>
      <w:r w:rsidR="008C5F63">
        <w:rPr>
          <w:rFonts w:ascii="Times New Roman" w:eastAsia="Calibri" w:hAnsi="Times New Roman" w:cs="Times New Roman"/>
          <w:sz w:val="24"/>
          <w:szCs w:val="24"/>
        </w:rPr>
        <w:t>súvisí s </w:t>
      </w:r>
      <w:r w:rsidR="008C5F63" w:rsidRPr="008C5F63">
        <w:rPr>
          <w:rFonts w:ascii="Times New Roman" w:eastAsia="Calibri" w:hAnsi="Times New Roman" w:cs="Times New Roman"/>
          <w:sz w:val="24"/>
          <w:szCs w:val="24"/>
        </w:rPr>
        <w:t>uplatňovaním zvýšenej starostlivosti pri cezhraničnom korešpondenčnom bankovníctve bez ohľadu na krajinu pôvodu partnerskej in</w:t>
      </w:r>
      <w:r>
        <w:rPr>
          <w:rFonts w:ascii="Times New Roman" w:eastAsia="Calibri" w:hAnsi="Times New Roman" w:cs="Times New Roman"/>
          <w:sz w:val="24"/>
          <w:szCs w:val="24"/>
        </w:rPr>
        <w:t>f</w:t>
      </w:r>
      <w:r w:rsidR="008C5F63" w:rsidRPr="008C5F63">
        <w:rPr>
          <w:rFonts w:ascii="Times New Roman" w:eastAsia="Calibri" w:hAnsi="Times New Roman" w:cs="Times New Roman"/>
          <w:sz w:val="24"/>
          <w:szCs w:val="24"/>
        </w:rPr>
        <w:t>štitúcie</w:t>
      </w:r>
      <w:r w:rsidR="008C5F63">
        <w:rPr>
          <w:rFonts w:ascii="Times New Roman" w:eastAsia="Calibri" w:hAnsi="Times New Roman" w:cs="Times New Roman"/>
          <w:sz w:val="24"/>
          <w:szCs w:val="24"/>
        </w:rPr>
        <w:t>.</w:t>
      </w:r>
      <w:r w:rsidR="007F4E19">
        <w:rPr>
          <w:rFonts w:ascii="Times New Roman" w:eastAsia="Calibri" w:hAnsi="Times New Roman" w:cs="Times New Roman"/>
          <w:sz w:val="24"/>
          <w:szCs w:val="24"/>
        </w:rPr>
        <w:t xml:space="preserve"> Regulácia má vplyv predovšetkým na banky a pobočky bánk, ktoré budú musieť vykonávať opatrenia podľa § 12 ods. 2 </w:t>
      </w:r>
      <w:r w:rsidR="007F4E19">
        <w:rPr>
          <w:rFonts w:ascii="Times New Roman" w:eastAsia="Calibri" w:hAnsi="Times New Roman" w:cs="Times New Roman"/>
          <w:sz w:val="24"/>
          <w:szCs w:val="24"/>
        </w:rPr>
        <w:lastRenderedPageBreak/>
        <w:t xml:space="preserve">písm. b) zákona č. 297/2008 Z. z. aj vo vzťahu k partnerským inštitúciám z EÚ/EHP. </w:t>
      </w:r>
      <w:r w:rsidR="00B20B40">
        <w:rPr>
          <w:rFonts w:ascii="Times New Roman" w:eastAsia="Calibri" w:hAnsi="Times New Roman" w:cs="Times New Roman"/>
          <w:sz w:val="24"/>
          <w:szCs w:val="24"/>
        </w:rPr>
        <w:t>Vykonávanie zvýšenej starostlivosti pri cezhraničnom korešpondenčnom bankovníctve sa</w:t>
      </w:r>
      <w:r w:rsidR="007F4E19">
        <w:rPr>
          <w:rFonts w:ascii="Times New Roman" w:eastAsia="Calibri" w:hAnsi="Times New Roman" w:cs="Times New Roman"/>
          <w:sz w:val="24"/>
          <w:szCs w:val="24"/>
        </w:rPr>
        <w:t xml:space="preserve"> </w:t>
      </w:r>
      <w:r w:rsidR="00B20B40">
        <w:rPr>
          <w:rFonts w:ascii="Times New Roman" w:eastAsia="Calibri" w:hAnsi="Times New Roman" w:cs="Times New Roman"/>
          <w:sz w:val="24"/>
          <w:szCs w:val="24"/>
        </w:rPr>
        <w:t xml:space="preserve"> v predchádzajúcej právnej úprave</w:t>
      </w:r>
      <w:r w:rsidR="007F4E19">
        <w:rPr>
          <w:rFonts w:ascii="Times New Roman" w:eastAsia="Calibri" w:hAnsi="Times New Roman" w:cs="Times New Roman"/>
          <w:sz w:val="24"/>
          <w:szCs w:val="24"/>
        </w:rPr>
        <w:t xml:space="preserve"> totiž</w:t>
      </w:r>
      <w:r w:rsidR="00B20B40">
        <w:rPr>
          <w:rFonts w:ascii="Times New Roman" w:eastAsia="Calibri" w:hAnsi="Times New Roman" w:cs="Times New Roman"/>
          <w:sz w:val="24"/>
          <w:szCs w:val="24"/>
        </w:rPr>
        <w:t xml:space="preserve"> vzťahovalo iba na prípady, kedy partnerská inštitúcia pochádzala z tretieho štátu. Táto povinnosť sa teda nevzťahovala na krajiny EÚ/EHP. Nakoľko odporúčanie FATF č. 13.1 nerozlišuje krajinu pôvodu partnerskej inštitúcie pri cezhraničnom korešpondenčnom bankovníctve, zo strany Výboru expertov Rady Európy Moneyval bola predchádzajúca právna úprava vyhodnotená ako nevyhovujúca. Z tohto dôvodu bolo</w:t>
      </w:r>
      <w:r w:rsidR="00B20B40" w:rsidRPr="00B20B40">
        <w:rPr>
          <w:rFonts w:ascii="Times New Roman" w:eastAsia="Calibri" w:hAnsi="Times New Roman" w:cs="Times New Roman"/>
          <w:sz w:val="24"/>
          <w:szCs w:val="24"/>
        </w:rPr>
        <w:t xml:space="preserve"> potrebné upraviť zákonnú požiadavku na vykonávanie zvýšenej starostlivosti pri cezhraničných korešpondenčných vzťahoch tak, aby sa vzťahovala na partnerské inštitúcie bez rozdielu na krajinu ich pôvodu. </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hlavné body konzultácií a ich závery. </w:t>
      </w:r>
    </w:p>
    <w:p w14:paraId="3EE20844"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Alternatívne namiesto vypĺňania bodu 3.2 môžete uviesť ako samostatnú prílohu tejto analýzy Záznam z konzultácií obsahujúci požadované informácie. </w:t>
      </w:r>
    </w:p>
    <w:p w14:paraId="178FF6D3" w14:textId="58565C46" w:rsidR="00054C41" w:rsidRDefault="00054C41" w:rsidP="00054C41">
      <w:pPr>
        <w:spacing w:after="0"/>
        <w:jc w:val="both"/>
        <w:rPr>
          <w:rFonts w:ascii="Times New Roman" w:eastAsia="Calibri" w:hAnsi="Times New Roman" w:cs="Times New Roman"/>
          <w:i/>
          <w:sz w:val="24"/>
          <w:szCs w:val="24"/>
        </w:rPr>
      </w:pPr>
    </w:p>
    <w:p w14:paraId="1EEF9739" w14:textId="1B0381D1" w:rsidR="00544A25" w:rsidRPr="00723685" w:rsidRDefault="00723685" w:rsidP="00723685">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Dňa 18.01.2024 bola zverejnená </w:t>
      </w:r>
      <w:r w:rsidRPr="00723685">
        <w:rPr>
          <w:rFonts w:ascii="Times New Roman" w:eastAsia="Calibri" w:hAnsi="Times New Roman" w:cs="Times New Roman"/>
          <w:sz w:val="24"/>
          <w:szCs w:val="24"/>
        </w:rPr>
        <w:t>predbežná informácia podľa § 9 zákona č. 400/2015 Z. z. o tvorbe právnych predpisov a o Zbierke zákonov Slovenskej republiky a o zmene a doplnení nie</w:t>
      </w:r>
      <w:r w:rsidR="00B471EF">
        <w:rPr>
          <w:rFonts w:ascii="Times New Roman" w:eastAsia="Calibri" w:hAnsi="Times New Roman" w:cs="Times New Roman"/>
          <w:sz w:val="24"/>
          <w:szCs w:val="24"/>
        </w:rPr>
        <w:t>ktorých zákonov k návrhu zákona, ktorým sa mení a dopĺňa zákon č. 297/2008 Z. z. o ochrane pred legalizáciou príjmov z trestnej činnosti a o ochrane pred financovaním terorizmu a o zmene a doplnení niektorých zákonov v znení neskorších predpisov a ktorým sa menia a dopĺňajú niekto</w:t>
      </w:r>
      <w:r w:rsidR="008F6CDE">
        <w:rPr>
          <w:rFonts w:ascii="Times New Roman" w:eastAsia="Calibri" w:hAnsi="Times New Roman" w:cs="Times New Roman"/>
          <w:sz w:val="24"/>
          <w:szCs w:val="24"/>
        </w:rPr>
        <w:t>ré zákony</w:t>
      </w:r>
      <w:r w:rsidR="009A35DA">
        <w:rPr>
          <w:rFonts w:ascii="Times New Roman" w:eastAsia="Calibri" w:hAnsi="Times New Roman" w:cs="Times New Roman"/>
          <w:sz w:val="24"/>
          <w:szCs w:val="24"/>
        </w:rPr>
        <w:t xml:space="preserve"> </w:t>
      </w:r>
      <w:r w:rsidRPr="00723685">
        <w:rPr>
          <w:rFonts w:ascii="Times New Roman" w:eastAsia="Calibri" w:hAnsi="Times New Roman" w:cs="Times New Roman"/>
          <w:sz w:val="24"/>
          <w:szCs w:val="24"/>
        </w:rPr>
        <w:t>(</w:t>
      </w:r>
      <w:r w:rsidR="008F6CDE" w:rsidRPr="008F6CDE">
        <w:rPr>
          <w:rFonts w:ascii="Times New Roman" w:eastAsia="Calibri" w:hAnsi="Times New Roman" w:cs="Times New Roman"/>
          <w:sz w:val="24"/>
          <w:szCs w:val="24"/>
        </w:rPr>
        <w:t>https://www.slov-lex.sk/legislativne-procesy/SK/PI/2024</w:t>
      </w:r>
      <w:r w:rsidR="008F6CDE">
        <w:rPr>
          <w:rFonts w:ascii="Times New Roman" w:eastAsia="Calibri" w:hAnsi="Times New Roman" w:cs="Times New Roman"/>
          <w:sz w:val="24"/>
          <w:szCs w:val="24"/>
        </w:rPr>
        <w:t>/12</w:t>
      </w:r>
      <w:r w:rsidRPr="00723685">
        <w:rPr>
          <w:rFonts w:ascii="Times New Roman" w:eastAsia="Calibri" w:hAnsi="Times New Roman" w:cs="Times New Roman"/>
          <w:sz w:val="24"/>
          <w:szCs w:val="24"/>
        </w:rPr>
        <w:t>)</w:t>
      </w:r>
      <w:r w:rsidR="008F6CDE">
        <w:rPr>
          <w:rFonts w:ascii="Times New Roman" w:eastAsia="Calibri" w:hAnsi="Times New Roman" w:cs="Times New Roman"/>
          <w:sz w:val="24"/>
          <w:szCs w:val="24"/>
        </w:rPr>
        <w:t>.</w:t>
      </w:r>
      <w:r w:rsidRPr="00723685">
        <w:rPr>
          <w:rFonts w:ascii="Times New Roman" w:eastAsia="Calibri" w:hAnsi="Times New Roman" w:cs="Times New Roman"/>
          <w:sz w:val="24"/>
          <w:szCs w:val="24"/>
        </w:rPr>
        <w:t xml:space="preserve"> Pripomienkové konanie k predbežnej informácii trvalo od </w:t>
      </w:r>
      <w:r w:rsidR="008F6CDE">
        <w:rPr>
          <w:rFonts w:ascii="Times New Roman" w:eastAsia="Calibri" w:hAnsi="Times New Roman" w:cs="Times New Roman"/>
          <w:sz w:val="24"/>
          <w:szCs w:val="24"/>
        </w:rPr>
        <w:t>18.01.2024 do 31.01.</w:t>
      </w:r>
      <w:r w:rsidRPr="00723685">
        <w:rPr>
          <w:rFonts w:ascii="Times New Roman" w:eastAsia="Calibri" w:hAnsi="Times New Roman" w:cs="Times New Roman"/>
          <w:sz w:val="24"/>
          <w:szCs w:val="24"/>
        </w:rPr>
        <w:t>2024.</w:t>
      </w:r>
      <w:r w:rsidR="00C354F2">
        <w:rPr>
          <w:rFonts w:ascii="Times New Roman" w:eastAsia="Calibri" w:hAnsi="Times New Roman" w:cs="Times New Roman"/>
          <w:sz w:val="24"/>
          <w:szCs w:val="24"/>
        </w:rPr>
        <w:t xml:space="preserve"> </w:t>
      </w:r>
      <w:r w:rsidRPr="00723685">
        <w:rPr>
          <w:rFonts w:ascii="Times New Roman" w:eastAsia="Calibri" w:hAnsi="Times New Roman" w:cs="Times New Roman"/>
          <w:sz w:val="24"/>
          <w:szCs w:val="24"/>
        </w:rPr>
        <w:t xml:space="preserve">V lehote na podanie podnetov a návrhov zo strany verejnosti boli navrhovateľovi doručené 3 podnety a to od Republikovej únie zamestnávateľov, Klubu 500 a Asociácie zamestnávateľských zväzov a združení Slovenskej republiky, v ktorých žiadali o zapojenie do prípravy návrhu zákona prostredníctvom konzultácií. </w:t>
      </w:r>
      <w:r w:rsidR="00544A25">
        <w:rPr>
          <w:rFonts w:ascii="Times New Roman" w:eastAsia="Calibri" w:hAnsi="Times New Roman" w:cs="Times New Roman"/>
          <w:sz w:val="24"/>
          <w:szCs w:val="24"/>
        </w:rPr>
        <w:t>Na základe ich požiadavky im bol zaslaný kompletný materiál, ku ktorému Republiková únia zamestnávateľov a Asociácia zamestnávateľských zväzov a združení SR nemala žiadne pripomienky. Klub 500 zaslal návrhy na zmeny, z ktorých časť</w:t>
      </w:r>
      <w:r w:rsidR="0018696D">
        <w:rPr>
          <w:rFonts w:ascii="Times New Roman" w:eastAsia="Calibri" w:hAnsi="Times New Roman" w:cs="Times New Roman"/>
          <w:sz w:val="24"/>
          <w:szCs w:val="24"/>
        </w:rPr>
        <w:t xml:space="preserve"> bola zapracovaná do materiálu.</w:t>
      </w:r>
    </w:p>
    <w:p w14:paraId="190CC637" w14:textId="27AF4764" w:rsidR="009B1B70" w:rsidRDefault="00FA63CF" w:rsidP="0016754C">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Ešte v</w:t>
      </w:r>
      <w:r w:rsidR="009751A5" w:rsidRPr="009751A5">
        <w:rPr>
          <w:rFonts w:ascii="Times New Roman" w:eastAsia="Calibri" w:hAnsi="Times New Roman" w:cs="Times New Roman"/>
          <w:sz w:val="24"/>
          <w:szCs w:val="24"/>
        </w:rPr>
        <w:t xml:space="preserve"> súvislosti s prípravnými prácami na návrhu zákona, sa konalo dňa 06.02.2024 pod záštitou Národnej expertnej skupiny na prevenciu a boj proti legalizácii príjmov z trestnej činnosti a financovaniu terorizmu, stretnutie </w:t>
      </w:r>
      <w:r w:rsidR="009B1B70">
        <w:rPr>
          <w:rFonts w:ascii="Times New Roman" w:eastAsia="Calibri" w:hAnsi="Times New Roman" w:cs="Times New Roman"/>
          <w:sz w:val="24"/>
          <w:szCs w:val="24"/>
        </w:rPr>
        <w:t>so zástupcami Ministerstva financií SR, Ministerstva spravodlivosti SR</w:t>
      </w:r>
      <w:r w:rsidR="00CA3E2C">
        <w:rPr>
          <w:rFonts w:ascii="Times New Roman" w:eastAsia="Calibri" w:hAnsi="Times New Roman" w:cs="Times New Roman"/>
          <w:sz w:val="24"/>
          <w:szCs w:val="24"/>
        </w:rPr>
        <w:t>, G</w:t>
      </w:r>
      <w:r w:rsidR="003C78EE">
        <w:rPr>
          <w:rFonts w:ascii="Times New Roman" w:eastAsia="Calibri" w:hAnsi="Times New Roman" w:cs="Times New Roman"/>
          <w:sz w:val="24"/>
          <w:szCs w:val="24"/>
        </w:rPr>
        <w:t>enerálnej prokuratúry</w:t>
      </w:r>
      <w:r w:rsidR="00CA3E2C">
        <w:rPr>
          <w:rFonts w:ascii="Times New Roman" w:eastAsia="Calibri" w:hAnsi="Times New Roman" w:cs="Times New Roman"/>
          <w:sz w:val="24"/>
          <w:szCs w:val="24"/>
        </w:rPr>
        <w:t xml:space="preserve"> SR, </w:t>
      </w:r>
      <w:r w:rsidR="003C78EE">
        <w:rPr>
          <w:rFonts w:ascii="Times New Roman" w:eastAsia="Calibri" w:hAnsi="Times New Roman" w:cs="Times New Roman"/>
          <w:sz w:val="24"/>
          <w:szCs w:val="24"/>
        </w:rPr>
        <w:t xml:space="preserve">Národnej </w:t>
      </w:r>
      <w:r w:rsidR="003C78EE">
        <w:rPr>
          <w:rFonts w:ascii="Times New Roman" w:eastAsia="Calibri" w:hAnsi="Times New Roman" w:cs="Times New Roman"/>
          <w:sz w:val="24"/>
          <w:szCs w:val="24"/>
        </w:rPr>
        <w:lastRenderedPageBreak/>
        <w:t xml:space="preserve">banky Slovenska, Ministerstva obrany SR, Slovenskej informačnej služby </w:t>
      </w:r>
      <w:r w:rsidR="005031B6">
        <w:rPr>
          <w:rFonts w:ascii="Times New Roman" w:eastAsia="Calibri" w:hAnsi="Times New Roman" w:cs="Times New Roman"/>
          <w:sz w:val="24"/>
          <w:szCs w:val="24"/>
        </w:rPr>
        <w:t xml:space="preserve">a Slovenskej bankovej asociácie, ktorá je členom Republikovej únie zamestnávateľov. </w:t>
      </w:r>
      <w:r w:rsidR="003C78EE">
        <w:rPr>
          <w:rFonts w:ascii="Times New Roman" w:eastAsia="Calibri" w:hAnsi="Times New Roman" w:cs="Times New Roman"/>
          <w:sz w:val="24"/>
          <w:szCs w:val="24"/>
        </w:rPr>
        <w:t xml:space="preserve"> </w:t>
      </w:r>
    </w:p>
    <w:p w14:paraId="7DB900C8" w14:textId="77777777" w:rsidR="00CB48A5" w:rsidRPr="00D8247C" w:rsidRDefault="00CB48A5"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Dochádza k vytvoreniu resp. k zmene bariér na trhu? </w:t>
      </w:r>
    </w:p>
    <w:p w14:paraId="4D049DE7"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Bude sa s niektorými podnikmi alebo produktmi zaobchádzať v porovnateľnej situácii rôzne (napr. špeciálne režimy pre mikro, malé a stredné podniky tzv. MSP)? </w:t>
      </w:r>
    </w:p>
    <w:p w14:paraId="452A90F1"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Ovplyvňuje zmena regulácie cezhraničné investície (príliv/odliv zahraničných investícií resp. uplatnenie slovenských podnikov na zahraničných trhoch)? </w:t>
      </w:r>
    </w:p>
    <w:p w14:paraId="0D074838"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Ovplyvní dostupnosť základných zdrojov (financie, pracovná sila, suroviny, mechanizmy, energie atď.)? </w:t>
      </w:r>
    </w:p>
    <w:p w14:paraId="6B6A3793" w14:textId="77777777" w:rsidR="007259CB" w:rsidRPr="0076370B" w:rsidRDefault="007259CB"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Ovplyvňuje zmena regulácie inovácie, vedu a výskum?</w:t>
      </w:r>
    </w:p>
    <w:p w14:paraId="64E2FB2F" w14:textId="77777777" w:rsidR="00BA19B0" w:rsidRPr="0076370B" w:rsidRDefault="00BA19B0"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Ak bol identifikovaný goldplating</w:t>
      </w:r>
      <w:r w:rsidR="00581EB9" w:rsidRPr="0076370B">
        <w:rPr>
          <w:rFonts w:ascii="Times New Roman" w:eastAsia="Calibri" w:hAnsi="Times New Roman" w:cs="Times New Roman"/>
          <w:i/>
          <w:sz w:val="20"/>
          <w:szCs w:val="20"/>
        </w:rPr>
        <w:t>,</w:t>
      </w:r>
      <w:r w:rsidR="00C14655" w:rsidRPr="0076370B">
        <w:rPr>
          <w:rFonts w:ascii="Times New Roman" w:eastAsia="Calibri" w:hAnsi="Times New Roman" w:cs="Times New Roman"/>
          <w:i/>
          <w:sz w:val="20"/>
          <w:szCs w:val="20"/>
        </w:rPr>
        <w:t xml:space="preserve"> prispieva k zníženiu konkurencieschopnosti a produktivity?</w:t>
      </w:r>
      <w:r w:rsidR="00581EB9" w:rsidRPr="0076370B">
        <w:rPr>
          <w:rFonts w:ascii="Times New Roman" w:eastAsia="Calibri" w:hAnsi="Times New Roman" w:cs="Times New Roman"/>
          <w:i/>
          <w:sz w:val="20"/>
          <w:szCs w:val="20"/>
        </w:rPr>
        <w:t xml:space="preserve"> Akým spôsobom?</w:t>
      </w:r>
    </w:p>
    <w:p w14:paraId="72CB32C8"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iCs/>
          <w:sz w:val="20"/>
          <w:szCs w:val="20"/>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uvedených odpovedí zaškrtnite a popíšte, či materiál konkurencieschopnosť:</w:t>
      </w:r>
    </w:p>
    <w:p w14:paraId="76CD0669" w14:textId="18158863" w:rsidR="00054C41" w:rsidRPr="00D8247C" w:rsidRDefault="0097148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410579887"/>
        </w:sdtPr>
        <w:sdtEndPr/>
        <w:sdtContent>
          <w:sdt>
            <w:sdtPr>
              <w:rPr>
                <w:rFonts w:ascii="Times New Roman" w:eastAsia="Calibri" w:hAnsi="Times New Roman" w:cs="Times New Roman"/>
                <w:b/>
                <w:i/>
                <w:sz w:val="24"/>
                <w:szCs w:val="24"/>
              </w:rPr>
              <w:id w:val="-80300261"/>
            </w:sdtPr>
            <w:sdtEndPr/>
            <w:sdtContent>
              <w:r w:rsidR="0076370B" w:rsidRPr="0076370B">
                <w:rPr>
                  <w:rFonts w:ascii="Segoe UI Symbol" w:eastAsia="Calibri" w:hAnsi="Segoe UI Symbol" w:cs="Segoe UI Symbol"/>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Aký má materiál vplyv na zmenu pomeru medzi produkciou podnikov a ich nákladmi? </w:t>
      </w:r>
    </w:p>
    <w:p w14:paraId="23DA5CCF" w14:textId="77777777" w:rsidR="00054C41" w:rsidRPr="0076370B" w:rsidRDefault="00054C41" w:rsidP="00054C41">
      <w:pPr>
        <w:spacing w:after="0"/>
        <w:jc w:val="both"/>
        <w:rPr>
          <w:rFonts w:ascii="Times New Roman" w:eastAsia="Calibri" w:hAnsi="Times New Roman" w:cs="Times New Roman"/>
          <w:i/>
          <w:sz w:val="20"/>
          <w:szCs w:val="20"/>
        </w:rPr>
      </w:pPr>
    </w:p>
    <w:p w14:paraId="0B272ABF"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uvedenej odpovede zaškrtnite a popíšte, či materiál produktivitu:</w:t>
      </w:r>
    </w:p>
    <w:p w14:paraId="789FA80A" w14:textId="4E1EF3D6" w:rsidR="00054C41" w:rsidRPr="00D8247C" w:rsidRDefault="00971481"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353966921"/>
        </w:sdtPr>
        <w:sdtEndPr/>
        <w:sdtContent>
          <w:sdt>
            <w:sdtPr>
              <w:rPr>
                <w:rFonts w:ascii="Times New Roman" w:eastAsia="Calibri" w:hAnsi="Times New Roman" w:cs="Times New Roman"/>
                <w:b/>
                <w:i/>
                <w:sz w:val="24"/>
                <w:szCs w:val="24"/>
              </w:rPr>
              <w:id w:val="-1222205104"/>
            </w:sdtPr>
            <w:sdtEndPr/>
            <w:sdtContent>
              <w:r w:rsidR="0076370B" w:rsidRPr="0076370B">
                <w:rPr>
                  <w:rFonts w:ascii="Times New Roman" w:eastAsia="Calibri" w:hAnsi="Times New Roman" w:cs="Times New Roman"/>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Pr="0076370B" w:rsidRDefault="00FF414B" w:rsidP="00FF414B">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 má materiál vplyvy na PP, ktoré nemožno zaradiť do predchádzajúcich častí, či už pozitívne alebo negatívne, tu ich uveďte.  Patria sem: </w:t>
      </w:r>
    </w:p>
    <w:p w14:paraId="312EF81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regulované ceny podľa zákona č. 18/1996 Z. z. o cenách;</w:t>
      </w:r>
    </w:p>
    <w:p w14:paraId="46E907D6"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iné vplyvy, ktoré predpokladá materiál, ale nemožno ich zaradiť do častí 3.1 a 3.3.</w:t>
      </w:r>
      <w:r w:rsidR="00E214C0" w:rsidRPr="0076370B">
        <w:rPr>
          <w:rFonts w:ascii="Times New Roman" w:eastAsia="Calibri" w:hAnsi="Times New Roman" w:cs="Times New Roman"/>
          <w:i/>
          <w:sz w:val="20"/>
          <w:szCs w:val="20"/>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iné vplyvy podľa písm. a) až c), ktoré sú goldplatingom.</w:t>
      </w:r>
    </w:p>
    <w:p w14:paraId="412D4CD2" w14:textId="77777777" w:rsidR="00A87D69" w:rsidRDefault="00A87D69" w:rsidP="00A87D69">
      <w:pPr>
        <w:pStyle w:val="Odsekzoznamu"/>
        <w:spacing w:after="0" w:line="254" w:lineRule="auto"/>
        <w:jc w:val="both"/>
        <w:rPr>
          <w:rFonts w:ascii="Times New Roman" w:eastAsia="Calibri" w:hAnsi="Times New Roman" w:cs="Times New Roman"/>
          <w:i/>
          <w:sz w:val="20"/>
          <w:szCs w:val="20"/>
        </w:rPr>
      </w:pPr>
    </w:p>
    <w:p w14:paraId="34893C46" w14:textId="357850CB" w:rsidR="00A87D69" w:rsidRDefault="00A87D69" w:rsidP="00A87D6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Vo vzťahu k reguláciám, pri ktorých nebolo možné určiť konkrétny počet dotknutých subjektov, je potrebné uviesť nasledovné skutočnosti. Prvou skutočnosťou je, že mnohé </w:t>
      </w:r>
      <w:r w:rsidRPr="00F31B06">
        <w:rPr>
          <w:rFonts w:ascii="Times New Roman" w:eastAsia="Calibri" w:hAnsi="Times New Roman" w:cs="Times New Roman"/>
          <w:bCs/>
          <w:iCs/>
          <w:color w:val="000000"/>
          <w:sz w:val="24"/>
          <w:szCs w:val="24"/>
        </w:rPr>
        <w:t>povinné osoby nefinančného sektora sú zaradené medzi povinné osoby aj na základe viacerých predmetov činnosti</w:t>
      </w:r>
      <w:r>
        <w:rPr>
          <w:rFonts w:ascii="Times New Roman" w:eastAsia="Calibri" w:hAnsi="Times New Roman" w:cs="Times New Roman"/>
          <w:bCs/>
          <w:iCs/>
          <w:color w:val="000000"/>
          <w:sz w:val="24"/>
          <w:szCs w:val="24"/>
        </w:rPr>
        <w:t xml:space="preserve"> a ich jednoduchým sčítaním podľa predmetov činnosti by sa </w:t>
      </w:r>
      <w:r w:rsidRPr="00BF5067">
        <w:rPr>
          <w:rFonts w:ascii="Times New Roman" w:eastAsia="Calibri" w:hAnsi="Times New Roman" w:cs="Times New Roman"/>
          <w:b/>
          <w:bCs/>
          <w:i/>
          <w:iCs/>
          <w:color w:val="000000"/>
          <w:sz w:val="24"/>
          <w:szCs w:val="24"/>
        </w:rPr>
        <w:t>multiplikoval celkový počet povinných osôb.</w:t>
      </w:r>
      <w:r>
        <w:rPr>
          <w:rFonts w:ascii="Times New Roman" w:eastAsia="Calibri" w:hAnsi="Times New Roman" w:cs="Times New Roman"/>
          <w:bCs/>
          <w:iCs/>
          <w:color w:val="000000"/>
          <w:sz w:val="24"/>
          <w:szCs w:val="24"/>
        </w:rPr>
        <w:t xml:space="preserve"> Nemožnosť určiť presný počet subjektov ovplyvňuje aj skutočnosť, že v prípade prenájmu nehnuteľností a činností súvisiacich napr. s prevádzkou aukčnej siene, záložne, obchodovaním </w:t>
      </w:r>
      <w:r>
        <w:rPr>
          <w:rFonts w:ascii="Times New Roman" w:eastAsia="Calibri" w:hAnsi="Times New Roman" w:cs="Times New Roman"/>
          <w:bCs/>
          <w:iCs/>
          <w:color w:val="000000"/>
          <w:sz w:val="24"/>
          <w:szCs w:val="24"/>
        </w:rPr>
        <w:lastRenderedPageBreak/>
        <w:t xml:space="preserve">s drahými kovmi a kameňmi, umeleckými dielami, zberateľskými predmetmi, sa povinnými osobami v zmysle zákona č. 297/2008 Z. z. stávajú subjekty až v prípade, ak hodnota obchodu, resp. nájomného je najmenej 10 000 eur. </w:t>
      </w:r>
    </w:p>
    <w:p w14:paraId="51E7B4B2" w14:textId="2F85DE0F" w:rsidR="00501CD8" w:rsidRDefault="00501CD8" w:rsidP="00A87D6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Tretím faktorom majúcim na uvedenú skutočnosť vplyv je aj to, že povinné osoby ako notár, advokát, alebo právnická osoba alebo fyzická osoba oprávnená vykonávať činnosť organizačného a ekonomického poradcu, sú v zmysle zákona č. 297/2008 Z. z. povinnými osobami iba v prípade, ak vykonávajú konkrétne činnosti predpokladané zákonom. Inak povedané, ak tieto činnosti nevykonávajú, nie sú povinnými osobami podľa § 5 zákona č. 297/2008 Z. z.</w:t>
      </w:r>
    </w:p>
    <w:p w14:paraId="5ECC900C" w14:textId="77777777" w:rsidR="007E4B98" w:rsidRPr="007E4B98" w:rsidRDefault="00501CD8" w:rsidP="007E4B98">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Poslednou, avšak nemenej dôležitou skutočnosťou majúcou vplyv na nemožnosť určiť počet subjektov spadajúcich medzi povinné osoby</w:t>
      </w:r>
      <w:r w:rsidR="007E4B98">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je podmienka vyplývajúca z ustanovenia § 5 ods. 3 zákona č. 297/2008 Z. z., podľa ktorej povinnou osobou je tiež právnická osoba alebo fyzická osoba – podnikateľ, ak vykoná obchod v hotovosti v hodnote najmenej 10 000 eur.</w:t>
      </w:r>
      <w:r w:rsidR="007E4B98">
        <w:rPr>
          <w:rFonts w:ascii="Times New Roman" w:eastAsia="Calibri" w:hAnsi="Times New Roman" w:cs="Times New Roman"/>
          <w:bCs/>
          <w:iCs/>
          <w:color w:val="000000"/>
          <w:sz w:val="24"/>
          <w:szCs w:val="24"/>
        </w:rPr>
        <w:t xml:space="preserve"> </w:t>
      </w:r>
      <w:r w:rsidR="007E4B98" w:rsidRPr="007E4B98">
        <w:rPr>
          <w:rFonts w:ascii="Times New Roman" w:eastAsia="Calibri" w:hAnsi="Times New Roman" w:cs="Times New Roman"/>
          <w:bCs/>
          <w:iCs/>
          <w:color w:val="000000"/>
          <w:sz w:val="24"/>
          <w:szCs w:val="24"/>
        </w:rPr>
        <w:t xml:space="preserve">V zmysle uvedeného ustanovenia tak môže byť ktorýkoľvek podnikateľský subjekt povinnou osobou, za podmienky že vykoná obchod v hotovosti v hodnote najmenej 10 000 eur. </w:t>
      </w:r>
    </w:p>
    <w:p w14:paraId="1E0986CE" w14:textId="77777777" w:rsidR="00982D9D" w:rsidRDefault="00982D9D" w:rsidP="00982D9D">
      <w:pPr>
        <w:spacing w:after="0"/>
        <w:jc w:val="both"/>
        <w:rPr>
          <w:rFonts w:ascii="Times New Roman" w:eastAsia="Calibri" w:hAnsi="Times New Roman" w:cs="Times New Roman"/>
          <w:bCs/>
          <w:i/>
          <w:iCs/>
          <w:sz w:val="24"/>
          <w:szCs w:val="24"/>
        </w:rPr>
      </w:pPr>
    </w:p>
    <w:p w14:paraId="35622E3B" w14:textId="77777777" w:rsidR="0014130A" w:rsidRPr="0014130A" w:rsidRDefault="0014130A" w:rsidP="0014130A">
      <w:pPr>
        <w:spacing w:after="0"/>
        <w:jc w:val="both"/>
        <w:rPr>
          <w:rFonts w:ascii="Times New Roman" w:eastAsia="Calibri" w:hAnsi="Times New Roman" w:cs="Times New Roman"/>
          <w:bCs/>
          <w:i/>
          <w:iCs/>
          <w:sz w:val="24"/>
          <w:szCs w:val="24"/>
        </w:rPr>
      </w:pPr>
      <w:r w:rsidRPr="0014130A">
        <w:rPr>
          <w:rFonts w:ascii="Times New Roman" w:eastAsia="Calibri" w:hAnsi="Times New Roman" w:cs="Times New Roman"/>
          <w:bCs/>
          <w:i/>
          <w:iCs/>
          <w:sz w:val="24"/>
          <w:szCs w:val="24"/>
        </w:rPr>
        <w:t>1.</w:t>
      </w:r>
      <w:r w:rsidRPr="0014130A">
        <w:rPr>
          <w:rFonts w:ascii="Times New Roman" w:eastAsia="Calibri" w:hAnsi="Times New Roman" w:cs="Times New Roman"/>
          <w:bCs/>
          <w:i/>
          <w:iCs/>
          <w:sz w:val="24"/>
          <w:szCs w:val="24"/>
        </w:rPr>
        <w:tab/>
        <w:t xml:space="preserve">Oboznámenie sa s legislatívou </w:t>
      </w:r>
    </w:p>
    <w:p w14:paraId="12945E36" w14:textId="77777777" w:rsidR="0014130A" w:rsidRPr="0014130A" w:rsidRDefault="0014130A" w:rsidP="0014130A">
      <w:pPr>
        <w:spacing w:after="0"/>
        <w:jc w:val="both"/>
        <w:rPr>
          <w:rFonts w:ascii="Times New Roman" w:eastAsia="Calibri" w:hAnsi="Times New Roman" w:cs="Times New Roman"/>
          <w:bCs/>
          <w:i/>
          <w:iCs/>
          <w:sz w:val="24"/>
          <w:szCs w:val="24"/>
        </w:rPr>
      </w:pPr>
    </w:p>
    <w:p w14:paraId="6E8548B3" w14:textId="2DE3DDDF" w:rsidR="00982D9D" w:rsidRPr="00A561CF" w:rsidRDefault="0014130A" w:rsidP="0014130A">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t xml:space="preserve">Návrh zákona precizuje už existujúcu legislatívu a v prípadoch negatívneho vplyvu na podnikateľské prostredie iba čiastočne rozširuje okruh subjektov aplikácie už existujúcich povinností, ako napr. v prípade rozšírenia aplikácie zvýšenej starostlivosti pri korešpondenčnom bankovníctve na okruh subjektov aj v rámci Európskej únie. Samotný obsah povinností je teda povinným osobám už </w:t>
      </w:r>
      <w:r w:rsidR="00692B46">
        <w:rPr>
          <w:rFonts w:ascii="Times New Roman" w:eastAsia="Calibri" w:hAnsi="Times New Roman" w:cs="Times New Roman"/>
          <w:bCs/>
          <w:iCs/>
          <w:sz w:val="24"/>
          <w:szCs w:val="24"/>
        </w:rPr>
        <w:t xml:space="preserve">dobre </w:t>
      </w:r>
      <w:r w:rsidRPr="00A561CF">
        <w:rPr>
          <w:rFonts w:ascii="Times New Roman" w:eastAsia="Calibri" w:hAnsi="Times New Roman" w:cs="Times New Roman"/>
          <w:bCs/>
          <w:iCs/>
          <w:sz w:val="24"/>
          <w:szCs w:val="24"/>
        </w:rPr>
        <w:t>známy</w:t>
      </w:r>
      <w:r w:rsidR="00692B46">
        <w:rPr>
          <w:rFonts w:ascii="Times New Roman" w:eastAsia="Calibri" w:hAnsi="Times New Roman" w:cs="Times New Roman"/>
          <w:bCs/>
          <w:iCs/>
          <w:sz w:val="24"/>
          <w:szCs w:val="24"/>
        </w:rPr>
        <w:t>.</w:t>
      </w:r>
    </w:p>
    <w:p w14:paraId="2BA22B5F" w14:textId="77777777" w:rsidR="00A561CF" w:rsidRDefault="00A561CF" w:rsidP="0014130A">
      <w:pPr>
        <w:spacing w:after="0"/>
        <w:jc w:val="both"/>
        <w:rPr>
          <w:rFonts w:ascii="Times New Roman" w:eastAsia="Calibri" w:hAnsi="Times New Roman" w:cs="Times New Roman"/>
          <w:bCs/>
          <w:i/>
          <w:iCs/>
          <w:sz w:val="24"/>
          <w:szCs w:val="24"/>
        </w:rPr>
      </w:pPr>
    </w:p>
    <w:p w14:paraId="0BD6B74B" w14:textId="7245BEE3" w:rsidR="00A561CF" w:rsidRPr="00A561CF" w:rsidRDefault="00A561CF" w:rsidP="00A561CF">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2</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t>Nevykonanie základnej starostlivosti v prípade zmarenia alebo ohrozenia spracovania NOO</w:t>
      </w:r>
    </w:p>
    <w:p w14:paraId="1A8321A7" w14:textId="77777777" w:rsidR="00A561CF" w:rsidRDefault="00A561CF" w:rsidP="00A561CF">
      <w:pPr>
        <w:spacing w:after="0"/>
        <w:jc w:val="both"/>
        <w:rPr>
          <w:rFonts w:ascii="Times New Roman" w:eastAsia="Calibri" w:hAnsi="Times New Roman" w:cs="Times New Roman"/>
          <w:bCs/>
          <w:i/>
          <w:iCs/>
          <w:sz w:val="24"/>
          <w:szCs w:val="24"/>
        </w:rPr>
      </w:pPr>
    </w:p>
    <w:p w14:paraId="47426E58" w14:textId="751A600C" w:rsidR="00A561CF" w:rsidRPr="00A561CF" w:rsidRDefault="00A561CF" w:rsidP="00A561CF">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t xml:space="preserve">Doteraz platná právna úprava vyžadovala od povinných osôb vykonanie základnej starostlivosti vo vzťahu ku klientovi v prípade, ak má povinná osoba podozrenie, že klient pripravuje alebo vykonáva neobvyklú obchodnú operáciu bez ohľadu na hodnotu obchodu. Nová právna úprava </w:t>
      </w:r>
      <w:r w:rsidR="00EA18A9">
        <w:rPr>
          <w:rFonts w:ascii="Times New Roman" w:eastAsia="Calibri" w:hAnsi="Times New Roman" w:cs="Times New Roman"/>
          <w:bCs/>
          <w:iCs/>
          <w:sz w:val="24"/>
          <w:szCs w:val="24"/>
        </w:rPr>
        <w:t xml:space="preserve">(ustanovenie § 10 ods. 9 zákona č. 297/2008 Z. z.) </w:t>
      </w:r>
      <w:r w:rsidRPr="00A561CF">
        <w:rPr>
          <w:rFonts w:ascii="Times New Roman" w:eastAsia="Calibri" w:hAnsi="Times New Roman" w:cs="Times New Roman"/>
          <w:bCs/>
          <w:iCs/>
          <w:sz w:val="24"/>
          <w:szCs w:val="24"/>
        </w:rPr>
        <w:t>umožňuje povinným osobám v prípadoch, ak by vykonaním základnej starostlivosti mohlo dôjsť k zmareniu alebo ohrozeniu spracovania neobvyklej obchodnej operácie, nevykonať základnú starostlivosť, ale túto skutočnosť ohlásiť finančnej spravodajskej jednotke. Povinným osobám touto úpravou klesnú náklady na, v mnohých prípadoch, komplikované zisťovanie údajov v rozsahu základnej starostlivosti podľa § 10 ods. 1 písm. a) až g) zákona č. 297/2008 Z. z. Uvedená regulácia je preto znížením administratívnej záťaže povinných osôb.</w:t>
      </w:r>
    </w:p>
    <w:p w14:paraId="078BD550" w14:textId="77777777" w:rsidR="00A561CF" w:rsidRDefault="00A561CF" w:rsidP="00A561CF">
      <w:pPr>
        <w:spacing w:after="0"/>
        <w:jc w:val="both"/>
        <w:rPr>
          <w:rFonts w:ascii="Times New Roman" w:eastAsia="Calibri" w:hAnsi="Times New Roman" w:cs="Times New Roman"/>
          <w:bCs/>
          <w:i/>
          <w:iCs/>
          <w:sz w:val="24"/>
          <w:szCs w:val="24"/>
        </w:rPr>
      </w:pPr>
    </w:p>
    <w:p w14:paraId="5A90055A" w14:textId="6D42BACB" w:rsidR="00A561CF" w:rsidRPr="00A561CF" w:rsidRDefault="00A561CF" w:rsidP="00A561CF">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3</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t>Rozšírenie možnosti aplikácie zjednodušenej starostlivosti v prípade vyhodnotenia nízkeho rizika legalizácie</w:t>
      </w:r>
    </w:p>
    <w:p w14:paraId="33AEB100" w14:textId="77777777" w:rsidR="00A561CF" w:rsidRDefault="00A561CF" w:rsidP="00A561CF">
      <w:pPr>
        <w:spacing w:after="0"/>
        <w:jc w:val="both"/>
        <w:rPr>
          <w:rFonts w:ascii="Times New Roman" w:eastAsia="Calibri" w:hAnsi="Times New Roman" w:cs="Times New Roman"/>
          <w:bCs/>
          <w:i/>
          <w:iCs/>
          <w:sz w:val="24"/>
          <w:szCs w:val="24"/>
        </w:rPr>
      </w:pPr>
    </w:p>
    <w:p w14:paraId="07669F07" w14:textId="62BE637A" w:rsidR="00A561CF" w:rsidRDefault="00A561CF" w:rsidP="00A561CF">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t xml:space="preserve">Návrh zákona </w:t>
      </w:r>
      <w:r w:rsidR="00CF1917">
        <w:rPr>
          <w:rFonts w:ascii="Times New Roman" w:eastAsia="Calibri" w:hAnsi="Times New Roman" w:cs="Times New Roman"/>
          <w:bCs/>
          <w:iCs/>
          <w:sz w:val="24"/>
          <w:szCs w:val="24"/>
        </w:rPr>
        <w:t xml:space="preserve">(§ 11 ods. 1 písm. a) zákona č. 297/2008 Z z.) </w:t>
      </w:r>
      <w:r w:rsidRPr="00A561CF">
        <w:rPr>
          <w:rFonts w:ascii="Times New Roman" w:eastAsia="Calibri" w:hAnsi="Times New Roman" w:cs="Times New Roman"/>
          <w:bCs/>
          <w:iCs/>
          <w:sz w:val="24"/>
          <w:szCs w:val="24"/>
        </w:rPr>
        <w:t>umožňuje povinným osobám vykonať vo vzťahu ku klientom s nízkym rizikom legalizácie a financovania terorizmu iba zjednodušenú starostlivosť za podmienok stanovených v návrhu zákona. Takéto rozšírenie možnosti aplikácie zjednodušenej starostlivosti zníži náklady povinných osôb, nakoľko budú povinné zisťovať iba identifikačné údaje klienta a osoby konajúcej za klienta a údaje potrebné k identifikácii konečného užívateľa výhod klienta a k zisteniu, či klient alebo konečný užívateľ klienta je politicky exponovanou osobou. Kvantifikácia zníženia nákladov však nie je možná, nakoľko sa nedá predpokladať, koľkých povinných osôb sa takáto zmena bude týkať, ani vo vzťahu ku koľkým klientom budú môcť nové ustanovenie zákona aplikovať .</w:t>
      </w:r>
    </w:p>
    <w:p w14:paraId="7B6BE2DE" w14:textId="77777777" w:rsidR="00CE2A4D" w:rsidRDefault="00CE2A4D" w:rsidP="00A561CF">
      <w:pPr>
        <w:spacing w:after="0"/>
        <w:jc w:val="both"/>
        <w:rPr>
          <w:rFonts w:ascii="Times New Roman" w:eastAsia="Calibri" w:hAnsi="Times New Roman" w:cs="Times New Roman"/>
          <w:bCs/>
          <w:iCs/>
          <w:sz w:val="24"/>
          <w:szCs w:val="24"/>
        </w:rPr>
      </w:pPr>
    </w:p>
    <w:p w14:paraId="757EC65E" w14:textId="58E4F840" w:rsidR="00CE2A4D" w:rsidRPr="00CE2A4D" w:rsidRDefault="00CE2A4D" w:rsidP="00CE2A4D">
      <w:pPr>
        <w:spacing w:after="0"/>
        <w:jc w:val="both"/>
        <w:rPr>
          <w:rFonts w:ascii="Times New Roman" w:eastAsia="Calibri" w:hAnsi="Times New Roman" w:cs="Times New Roman"/>
          <w:bCs/>
          <w:i/>
          <w:iCs/>
          <w:sz w:val="24"/>
          <w:szCs w:val="24"/>
        </w:rPr>
      </w:pPr>
      <w:r w:rsidRPr="00CE2A4D">
        <w:rPr>
          <w:rFonts w:ascii="Times New Roman" w:eastAsia="Calibri" w:hAnsi="Times New Roman" w:cs="Times New Roman"/>
          <w:bCs/>
          <w:i/>
          <w:iCs/>
          <w:sz w:val="24"/>
          <w:szCs w:val="24"/>
        </w:rPr>
        <w:t>4.</w:t>
      </w:r>
      <w:r w:rsidRPr="00CE2A4D">
        <w:rPr>
          <w:rFonts w:ascii="Times New Roman" w:eastAsia="Calibri" w:hAnsi="Times New Roman" w:cs="Times New Roman"/>
          <w:bCs/>
          <w:iCs/>
          <w:sz w:val="24"/>
          <w:szCs w:val="24"/>
        </w:rPr>
        <w:tab/>
      </w:r>
      <w:r w:rsidRPr="00CE2A4D">
        <w:rPr>
          <w:rFonts w:ascii="Times New Roman" w:eastAsia="Calibri" w:hAnsi="Times New Roman" w:cs="Times New Roman"/>
          <w:bCs/>
          <w:i/>
          <w:iCs/>
          <w:sz w:val="24"/>
          <w:szCs w:val="24"/>
        </w:rPr>
        <w:t>Doplnenie programu vlastnej činnosti povinnej osoby o postup na zavedenie systému riadenia rizík na určenie, či klient alebo konečný užívateľ klienta je politicky exponovanou osobou alebo sankcionovanou osobou</w:t>
      </w:r>
    </w:p>
    <w:p w14:paraId="4C0C04AF" w14:textId="77777777" w:rsidR="00CE2A4D" w:rsidRDefault="00CE2A4D" w:rsidP="00CE2A4D">
      <w:pPr>
        <w:spacing w:after="0"/>
        <w:jc w:val="both"/>
        <w:rPr>
          <w:rFonts w:ascii="Times New Roman" w:eastAsia="Calibri" w:hAnsi="Times New Roman" w:cs="Times New Roman"/>
          <w:bCs/>
          <w:iCs/>
          <w:sz w:val="24"/>
          <w:szCs w:val="24"/>
        </w:rPr>
      </w:pPr>
    </w:p>
    <w:p w14:paraId="1B8CEA47" w14:textId="3CFB19C2" w:rsidR="00CE2A4D" w:rsidRPr="00CE2A4D" w:rsidRDefault="00CE2A4D" w:rsidP="00CE2A4D">
      <w:pPr>
        <w:spacing w:after="0"/>
        <w:jc w:val="both"/>
        <w:rPr>
          <w:rFonts w:ascii="Times New Roman" w:eastAsia="Calibri" w:hAnsi="Times New Roman" w:cs="Times New Roman"/>
          <w:bCs/>
          <w:iCs/>
          <w:sz w:val="24"/>
          <w:szCs w:val="24"/>
        </w:rPr>
      </w:pPr>
      <w:r w:rsidRPr="00CE2A4D">
        <w:rPr>
          <w:rFonts w:ascii="Times New Roman" w:eastAsia="Calibri" w:hAnsi="Times New Roman" w:cs="Times New Roman"/>
          <w:bCs/>
          <w:iCs/>
          <w:sz w:val="24"/>
          <w:szCs w:val="24"/>
        </w:rPr>
        <w:t xml:space="preserve">Uvedená regulácia </w:t>
      </w:r>
      <w:r w:rsidR="00CF1917">
        <w:rPr>
          <w:rFonts w:ascii="Times New Roman" w:eastAsia="Calibri" w:hAnsi="Times New Roman" w:cs="Times New Roman"/>
          <w:bCs/>
          <w:iCs/>
          <w:sz w:val="24"/>
          <w:szCs w:val="24"/>
        </w:rPr>
        <w:t xml:space="preserve">(§ 20 ods. 2 písm. l) zákona č. 297/2008 Z. z.) </w:t>
      </w:r>
      <w:r w:rsidRPr="00CE2A4D">
        <w:rPr>
          <w:rFonts w:ascii="Times New Roman" w:eastAsia="Calibri" w:hAnsi="Times New Roman" w:cs="Times New Roman"/>
          <w:bCs/>
          <w:iCs/>
          <w:sz w:val="24"/>
          <w:szCs w:val="24"/>
        </w:rPr>
        <w:t xml:space="preserve">súvisí so zapracovaním postupu na identifikáciu politicky exponovaných osôb do programov vlastnej činnosti povinných osôb. Vo svojej podstate ide o formálne doplnenie, nakoľko samotná povinnosť určiť, či klient alebo konečný užívateľ klienta je politicky exponovanou osobou je súčasťou základnej starostlivosti vo vzťahu ku klientovi a túto povinnosť mali povinné osoby už v predchádzajúcej právnej úprave. Uvedená regulácia však bola potrebná z hľadiska zabezpečenia súladu so štandardami FATF. Nemožno však určiť, akého počtu povinných osôb sa táto zmena dotkne, nakoľko prevažná väčšina povinných osôb takéto postupy vo svojich programoch vlastnej činnosti už majú zapracované a to z dôvodu vykonávania tejto povinnosti pri základnej starostlivosti. </w:t>
      </w:r>
    </w:p>
    <w:p w14:paraId="6314A230" w14:textId="77777777" w:rsidR="00CE2A4D" w:rsidRDefault="00CE2A4D" w:rsidP="00CE2A4D">
      <w:pPr>
        <w:spacing w:after="0"/>
        <w:jc w:val="both"/>
        <w:rPr>
          <w:rFonts w:ascii="Times New Roman" w:eastAsia="Calibri" w:hAnsi="Times New Roman" w:cs="Times New Roman"/>
          <w:bCs/>
          <w:iCs/>
          <w:sz w:val="24"/>
          <w:szCs w:val="24"/>
        </w:rPr>
      </w:pPr>
    </w:p>
    <w:p w14:paraId="08046F74" w14:textId="337FD4FA" w:rsidR="00CE2A4D" w:rsidRPr="00CE2A4D" w:rsidRDefault="00CE2A4D" w:rsidP="00CE2A4D">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5</w:t>
      </w:r>
      <w:r w:rsidRPr="00CE2A4D">
        <w:rPr>
          <w:rFonts w:ascii="Times New Roman" w:eastAsia="Calibri" w:hAnsi="Times New Roman" w:cs="Times New Roman"/>
          <w:bCs/>
          <w:i/>
          <w:iCs/>
          <w:sz w:val="24"/>
          <w:szCs w:val="24"/>
        </w:rPr>
        <w:t>.</w:t>
      </w:r>
      <w:r w:rsidRPr="00CE2A4D">
        <w:rPr>
          <w:rFonts w:ascii="Times New Roman" w:eastAsia="Calibri" w:hAnsi="Times New Roman" w:cs="Times New Roman"/>
          <w:bCs/>
          <w:i/>
          <w:iCs/>
          <w:sz w:val="24"/>
          <w:szCs w:val="24"/>
        </w:rPr>
        <w:tab/>
        <w:t>Rozšírenie okruhu orgánov o NBS a URHH, ktorým sa na vyžiadanie poskytuje hodnotenie rizík</w:t>
      </w:r>
    </w:p>
    <w:p w14:paraId="299EFDB4" w14:textId="77777777" w:rsidR="00CE2A4D" w:rsidRPr="00CE2A4D" w:rsidRDefault="00CE2A4D" w:rsidP="00CE2A4D">
      <w:pPr>
        <w:spacing w:after="0"/>
        <w:jc w:val="both"/>
        <w:rPr>
          <w:rFonts w:ascii="Times New Roman" w:eastAsia="Calibri" w:hAnsi="Times New Roman" w:cs="Times New Roman"/>
          <w:bCs/>
          <w:i/>
          <w:iCs/>
          <w:sz w:val="24"/>
          <w:szCs w:val="24"/>
        </w:rPr>
      </w:pPr>
    </w:p>
    <w:p w14:paraId="74EB62F8" w14:textId="2575DB24" w:rsidR="00CE2A4D" w:rsidRPr="00A561CF" w:rsidRDefault="00CE2A4D" w:rsidP="00CE2A4D">
      <w:pPr>
        <w:spacing w:after="0"/>
        <w:jc w:val="both"/>
        <w:rPr>
          <w:rFonts w:ascii="Times New Roman" w:eastAsia="Calibri" w:hAnsi="Times New Roman" w:cs="Times New Roman"/>
          <w:bCs/>
          <w:iCs/>
          <w:sz w:val="24"/>
          <w:szCs w:val="24"/>
        </w:rPr>
      </w:pPr>
      <w:r w:rsidRPr="00CE2A4D">
        <w:rPr>
          <w:rFonts w:ascii="Times New Roman" w:eastAsia="Calibri" w:hAnsi="Times New Roman" w:cs="Times New Roman"/>
          <w:bCs/>
          <w:iCs/>
          <w:sz w:val="24"/>
          <w:szCs w:val="24"/>
        </w:rPr>
        <w:t xml:space="preserve">Uvedená regulácia </w:t>
      </w:r>
      <w:r w:rsidR="003D0F85">
        <w:rPr>
          <w:rFonts w:ascii="Times New Roman" w:eastAsia="Calibri" w:hAnsi="Times New Roman" w:cs="Times New Roman"/>
          <w:bCs/>
          <w:iCs/>
          <w:sz w:val="24"/>
          <w:szCs w:val="24"/>
        </w:rPr>
        <w:t xml:space="preserve">(§ 20a ods. 2 zákona č. 297/2008 Z. z.) </w:t>
      </w:r>
      <w:r w:rsidRPr="00CE2A4D">
        <w:rPr>
          <w:rFonts w:ascii="Times New Roman" w:eastAsia="Calibri" w:hAnsi="Times New Roman" w:cs="Times New Roman"/>
          <w:bCs/>
          <w:iCs/>
          <w:sz w:val="24"/>
          <w:szCs w:val="24"/>
        </w:rPr>
        <w:t>sa dotkne povinných osôb, vo vzťahu ku ktorým vykonáva kontrolu podľa § 29 Národná banka Slovenska a Úrad pre reguláciu hazardných hier. Počet subjektov, vo vzťahu ku ktorým bude uvedená regulácia aplikovateľná nie je možné vopred určiť. Samotné vypracovanie hodnotenia rizík mali povinné osoby v už predchádzajúcej právnej úprave, v ktorej mali zároveň aj povinnosť na vyžiadanie poskytnúť hodnotenie rizík FSJ. Nová právna úprava iba rozširuje okruh orgánov o Národnú banku Slovenska a Úrad pre reguláciu hazardných hier, pričom závisí od samotných orgánov, či a vo vzťahu ku ktorým povinným osobám si hodnotenie rizík vyžiadajú. Z doterajšej praxe možno uviesť, že FSJ si vyžiadala hodnotenie rizík za predchádzajúce obdobie dvoch rokov, od kedy takéto oprávnenie bolo upravené zákonom,  iba v jednom prípade.</w:t>
      </w:r>
    </w:p>
    <w:p w14:paraId="0A430041" w14:textId="77777777" w:rsidR="00982D9D" w:rsidRDefault="00982D9D" w:rsidP="00982D9D">
      <w:pPr>
        <w:spacing w:after="0"/>
        <w:jc w:val="both"/>
        <w:rPr>
          <w:rFonts w:ascii="Times New Roman" w:eastAsia="Calibri" w:hAnsi="Times New Roman" w:cs="Times New Roman"/>
          <w:bCs/>
          <w:i/>
          <w:iCs/>
          <w:sz w:val="24"/>
          <w:szCs w:val="24"/>
        </w:rPr>
      </w:pPr>
    </w:p>
    <w:p w14:paraId="476D6F97" w14:textId="77777777" w:rsidR="00982D9D" w:rsidRDefault="00982D9D" w:rsidP="00982D9D">
      <w:pPr>
        <w:spacing w:after="0"/>
        <w:jc w:val="both"/>
        <w:rPr>
          <w:rFonts w:ascii="Times New Roman" w:eastAsia="Calibri" w:hAnsi="Times New Roman" w:cs="Times New Roman"/>
          <w:bCs/>
          <w:i/>
          <w:iCs/>
          <w:sz w:val="24"/>
          <w:szCs w:val="24"/>
        </w:rPr>
      </w:pPr>
    </w:p>
    <w:p w14:paraId="6DB66883" w14:textId="4B266BEC" w:rsidR="00982D9D" w:rsidRPr="00982D9D" w:rsidRDefault="00405886" w:rsidP="00982D9D">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 xml:space="preserve">6.      </w:t>
      </w:r>
      <w:r w:rsidR="00982D9D" w:rsidRPr="00982D9D">
        <w:rPr>
          <w:rFonts w:ascii="Times New Roman" w:eastAsia="Calibri" w:hAnsi="Times New Roman" w:cs="Times New Roman"/>
          <w:bCs/>
          <w:i/>
          <w:iCs/>
          <w:sz w:val="24"/>
          <w:szCs w:val="24"/>
        </w:rPr>
        <w:t>Poskytnutie súčinnosti povinným osobám  správcom zahraničného fondu</w:t>
      </w:r>
    </w:p>
    <w:p w14:paraId="4C5ED39D" w14:textId="77777777" w:rsidR="00982D9D" w:rsidRDefault="00982D9D" w:rsidP="00982D9D">
      <w:pPr>
        <w:spacing w:after="0"/>
        <w:jc w:val="both"/>
        <w:rPr>
          <w:rFonts w:ascii="Times New Roman" w:eastAsia="Calibri" w:hAnsi="Times New Roman" w:cs="Times New Roman"/>
          <w:bCs/>
          <w:iCs/>
          <w:sz w:val="24"/>
          <w:szCs w:val="24"/>
        </w:rPr>
      </w:pPr>
    </w:p>
    <w:p w14:paraId="76AEF74E" w14:textId="166DCBB8" w:rsidR="00982D9D" w:rsidRPr="00982D9D" w:rsidRDefault="00982D9D" w:rsidP="00982D9D">
      <w:pPr>
        <w:spacing w:after="0"/>
        <w:jc w:val="both"/>
        <w:rPr>
          <w:rFonts w:ascii="Times New Roman" w:eastAsia="Times New Roman" w:hAnsi="Times New Roman" w:cs="Times New Roman"/>
          <w:sz w:val="24"/>
          <w:szCs w:val="24"/>
          <w:lang w:eastAsia="sk-SK"/>
        </w:rPr>
      </w:pPr>
      <w:r>
        <w:rPr>
          <w:rFonts w:ascii="Times New Roman" w:eastAsia="Calibri" w:hAnsi="Times New Roman" w:cs="Times New Roman"/>
          <w:bCs/>
          <w:iCs/>
          <w:sz w:val="24"/>
          <w:szCs w:val="24"/>
        </w:rPr>
        <w:t xml:space="preserve">Novela zákona č. 297/2008 Z. z. zavádza </w:t>
      </w:r>
      <w:r w:rsidR="003D0F85">
        <w:rPr>
          <w:rFonts w:ascii="Times New Roman" w:eastAsia="Calibri" w:hAnsi="Times New Roman" w:cs="Times New Roman"/>
          <w:bCs/>
          <w:iCs/>
          <w:sz w:val="24"/>
          <w:szCs w:val="24"/>
        </w:rPr>
        <w:t xml:space="preserve">v ustanovení § 24b </w:t>
      </w:r>
      <w:r>
        <w:rPr>
          <w:rFonts w:ascii="Times New Roman" w:eastAsia="Calibri" w:hAnsi="Times New Roman" w:cs="Times New Roman"/>
          <w:bCs/>
          <w:iCs/>
          <w:sz w:val="24"/>
          <w:szCs w:val="24"/>
        </w:rPr>
        <w:t>nový pojem „správca zvereneckého</w:t>
      </w:r>
      <w:r w:rsidRPr="00982D9D">
        <w:rPr>
          <w:rFonts w:ascii="Times New Roman" w:eastAsia="Calibri" w:hAnsi="Times New Roman" w:cs="Times New Roman"/>
          <w:bCs/>
          <w:iCs/>
          <w:sz w:val="24"/>
          <w:szCs w:val="24"/>
        </w:rPr>
        <w:t xml:space="preserve"> fond</w:t>
      </w:r>
      <w:r>
        <w:rPr>
          <w:rFonts w:ascii="Times New Roman" w:eastAsia="Calibri" w:hAnsi="Times New Roman" w:cs="Times New Roman"/>
          <w:bCs/>
          <w:iCs/>
          <w:sz w:val="24"/>
          <w:szCs w:val="24"/>
        </w:rPr>
        <w:t>u zriadeného</w:t>
      </w:r>
      <w:r w:rsidRPr="00982D9D">
        <w:rPr>
          <w:rFonts w:ascii="Times New Roman" w:eastAsia="Calibri" w:hAnsi="Times New Roman" w:cs="Times New Roman"/>
          <w:bCs/>
          <w:iCs/>
          <w:sz w:val="24"/>
          <w:szCs w:val="24"/>
        </w:rPr>
        <w:t xml:space="preserve"> podľa</w:t>
      </w:r>
      <w:r>
        <w:rPr>
          <w:rFonts w:ascii="Times New Roman" w:eastAsia="Calibri" w:hAnsi="Times New Roman" w:cs="Times New Roman"/>
          <w:bCs/>
          <w:iCs/>
          <w:sz w:val="24"/>
          <w:szCs w:val="24"/>
        </w:rPr>
        <w:t xml:space="preserve"> práva iného štátu alebo obdobnej právnej štruktúry založenej</w:t>
      </w:r>
      <w:r w:rsidRPr="00982D9D">
        <w:rPr>
          <w:rFonts w:ascii="Times New Roman" w:eastAsia="Calibri" w:hAnsi="Times New Roman" w:cs="Times New Roman"/>
          <w:bCs/>
          <w:iCs/>
          <w:sz w:val="24"/>
          <w:szCs w:val="24"/>
        </w:rPr>
        <w:t xml:space="preserve"> podľa práva iného štátu (ďalej len „</w:t>
      </w:r>
      <w:r>
        <w:rPr>
          <w:rFonts w:ascii="Times New Roman" w:eastAsia="Calibri" w:hAnsi="Times New Roman" w:cs="Times New Roman"/>
          <w:bCs/>
          <w:iCs/>
          <w:sz w:val="24"/>
          <w:szCs w:val="24"/>
        </w:rPr>
        <w:t>správca zahraničného</w:t>
      </w:r>
      <w:r w:rsidRPr="00982D9D">
        <w:rPr>
          <w:rFonts w:ascii="Times New Roman" w:eastAsia="Calibri" w:hAnsi="Times New Roman" w:cs="Times New Roman"/>
          <w:bCs/>
          <w:iCs/>
          <w:sz w:val="24"/>
          <w:szCs w:val="24"/>
        </w:rPr>
        <w:t xml:space="preserve"> fond</w:t>
      </w:r>
      <w:r>
        <w:rPr>
          <w:rFonts w:ascii="Times New Roman" w:eastAsia="Calibri" w:hAnsi="Times New Roman" w:cs="Times New Roman"/>
          <w:bCs/>
          <w:iCs/>
          <w:sz w:val="24"/>
          <w:szCs w:val="24"/>
        </w:rPr>
        <w:t>u</w:t>
      </w:r>
      <w:r w:rsidRPr="00982D9D">
        <w:rPr>
          <w:rFonts w:ascii="Times New Roman" w:eastAsia="Calibri" w:hAnsi="Times New Roman" w:cs="Times New Roman"/>
          <w:bCs/>
          <w:iCs/>
          <w:sz w:val="24"/>
          <w:szCs w:val="24"/>
        </w:rPr>
        <w:t>“)</w:t>
      </w:r>
      <w:r>
        <w:rPr>
          <w:rFonts w:ascii="Times New Roman" w:eastAsia="Calibri" w:hAnsi="Times New Roman" w:cs="Times New Roman"/>
          <w:bCs/>
          <w:iCs/>
          <w:sz w:val="24"/>
          <w:szCs w:val="24"/>
        </w:rPr>
        <w:t xml:space="preserve">. </w:t>
      </w:r>
      <w:r w:rsidRPr="00982D9D">
        <w:rPr>
          <w:rFonts w:ascii="Times New Roman" w:eastAsia="Times New Roman" w:hAnsi="Times New Roman" w:cs="Times New Roman"/>
          <w:sz w:val="24"/>
          <w:szCs w:val="24"/>
        </w:rPr>
        <w:t>Doplnenie nového ustanovenia o správcoch vyplynulo zo stanoviska Európskej komisie, ktorá SR vyčítala nedostatočnú transpozíciu ustanovení o správe zvereného majetku resp. zvereneckých fondoch. N</w:t>
      </w:r>
      <w:r w:rsidRPr="00982D9D">
        <w:rPr>
          <w:rFonts w:ascii="Times New Roman" w:eastAsia="Times New Roman" w:hAnsi="Times New Roman" w:cs="Times New Roman"/>
          <w:sz w:val="24"/>
          <w:szCs w:val="24"/>
          <w:lang w:eastAsia="sk-SK"/>
        </w:rPr>
        <w:t xml:space="preserve">apriek tomu, že uvedená právna štruktúra </w:t>
      </w:r>
      <w:r w:rsidRPr="00982D9D">
        <w:rPr>
          <w:rFonts w:ascii="Times New Roman" w:eastAsia="Times New Roman" w:hAnsi="Times New Roman" w:cs="Times New Roman"/>
          <w:b/>
          <w:i/>
          <w:sz w:val="24"/>
          <w:szCs w:val="24"/>
          <w:lang w:eastAsia="sk-SK"/>
        </w:rPr>
        <w:t>nie je v slovenskom právnom poriadku vymedzená</w:t>
      </w:r>
      <w:r w:rsidRPr="00982D9D">
        <w:rPr>
          <w:rFonts w:ascii="Times New Roman" w:eastAsia="Times New Roman" w:hAnsi="Times New Roman" w:cs="Times New Roman"/>
          <w:sz w:val="24"/>
          <w:szCs w:val="24"/>
          <w:lang w:eastAsia="sk-SK"/>
        </w:rPr>
        <w:t xml:space="preserve"> (pojem zverenecký fond sa v súčasnosti používa v zákone č. 359/2015 Z. z. o automatickej výmene informácií o finančných účtoch na účely správy daní a o zmene a doplnení niektorých zákonov a v zákone č. 507/2023 Z. z. o dorovnávacej dani na zabezpečenie minimálnej úrovne zdanenia nadnárodných skupín podnikov a veľkých vnútroštátnych skupín a o doplnení zákona č. 563/2009 Z. z. o správe daní (daňový poriadok) a o zmene a doplnení niektorých zákonov v znení neskorších predpisov) je podľa stanoviska Európskej komisie potrebné reagovať aj na </w:t>
      </w:r>
      <w:r w:rsidRPr="00982D9D">
        <w:rPr>
          <w:rFonts w:ascii="Times New Roman" w:eastAsia="Times New Roman" w:hAnsi="Times New Roman" w:cs="Times New Roman"/>
          <w:sz w:val="24"/>
          <w:szCs w:val="24"/>
          <w:u w:val="single"/>
          <w:lang w:eastAsia="sk-SK"/>
        </w:rPr>
        <w:t>„cezhraničné situácie“,</w:t>
      </w:r>
      <w:r w:rsidRPr="00982D9D">
        <w:rPr>
          <w:rFonts w:ascii="Times New Roman" w:eastAsia="Times New Roman" w:hAnsi="Times New Roman" w:cs="Times New Roman"/>
          <w:sz w:val="24"/>
          <w:szCs w:val="24"/>
          <w:lang w:eastAsia="sk-SK"/>
        </w:rPr>
        <w:t xml:space="preserve"> teda na situácie, kedy je zverenecký fond </w:t>
      </w:r>
      <w:r w:rsidRPr="00982D9D">
        <w:rPr>
          <w:rFonts w:ascii="Times New Roman" w:eastAsia="Times New Roman" w:hAnsi="Times New Roman" w:cs="Times New Roman"/>
          <w:sz w:val="24"/>
          <w:szCs w:val="24"/>
          <w:u w:val="single"/>
          <w:lang w:eastAsia="sk-SK"/>
        </w:rPr>
        <w:t>zriadený právom iného štátu</w:t>
      </w:r>
      <w:r w:rsidRPr="00982D9D">
        <w:rPr>
          <w:rFonts w:ascii="Times New Roman" w:eastAsia="Times New Roman" w:hAnsi="Times New Roman" w:cs="Times New Roman"/>
          <w:sz w:val="24"/>
          <w:szCs w:val="24"/>
          <w:lang w:eastAsia="sk-SK"/>
        </w:rPr>
        <w:t xml:space="preserve">. </w:t>
      </w:r>
    </w:p>
    <w:p w14:paraId="4D8846C1" w14:textId="351EECCC" w:rsidR="00982D9D" w:rsidRDefault="00982D9D" w:rsidP="00982D9D">
      <w:pPr>
        <w:spacing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Z uvedeného vyplýva, že aj samotný </w:t>
      </w:r>
      <w:r w:rsidRPr="00982D9D">
        <w:rPr>
          <w:rFonts w:ascii="Times New Roman" w:eastAsia="Times New Roman" w:hAnsi="Times New Roman" w:cs="Times New Roman"/>
          <w:b/>
          <w:i/>
          <w:sz w:val="24"/>
          <w:szCs w:val="24"/>
          <w:lang w:eastAsia="sk-SK"/>
        </w:rPr>
        <w:t>správca zahraničného fondu je zahraničným subjektom</w:t>
      </w:r>
      <w:r>
        <w:rPr>
          <w:rFonts w:ascii="Times New Roman" w:eastAsia="Times New Roman" w:hAnsi="Times New Roman" w:cs="Times New Roman"/>
          <w:sz w:val="24"/>
          <w:szCs w:val="24"/>
          <w:lang w:eastAsia="sk-SK"/>
        </w:rPr>
        <w:t xml:space="preserve">, </w:t>
      </w:r>
      <w:r w:rsidRPr="00483911">
        <w:rPr>
          <w:rFonts w:ascii="Times New Roman" w:eastAsia="Times New Roman" w:hAnsi="Times New Roman" w:cs="Times New Roman"/>
          <w:sz w:val="24"/>
          <w:szCs w:val="24"/>
          <w:u w:val="single"/>
          <w:lang w:eastAsia="sk-SK"/>
        </w:rPr>
        <w:t>nejde teda o slovenský podnikateľský subjekt</w:t>
      </w:r>
      <w:r>
        <w:rPr>
          <w:rFonts w:ascii="Times New Roman" w:eastAsia="Times New Roman" w:hAnsi="Times New Roman" w:cs="Times New Roman"/>
          <w:sz w:val="24"/>
          <w:szCs w:val="24"/>
          <w:lang w:eastAsia="sk-SK"/>
        </w:rPr>
        <w:t xml:space="preserve">, preto uvedená regulácia nebola zaradená do časti 3.1 nákladov regulácie. </w:t>
      </w:r>
    </w:p>
    <w:p w14:paraId="09D46394" w14:textId="51F03135" w:rsidR="00982D9D" w:rsidRPr="00982D9D" w:rsidRDefault="00982D9D" w:rsidP="00982D9D">
      <w:pPr>
        <w:spacing w:after="0"/>
        <w:jc w:val="both"/>
        <w:rPr>
          <w:rFonts w:ascii="Times New Roman" w:eastAsia="Calibri" w:hAnsi="Times New Roman" w:cs="Times New Roman"/>
          <w:bCs/>
          <w:iCs/>
          <w:sz w:val="24"/>
          <w:szCs w:val="24"/>
        </w:rPr>
      </w:pPr>
      <w:r w:rsidRPr="00982D9D">
        <w:rPr>
          <w:rFonts w:ascii="Times New Roman" w:eastAsia="Calibri" w:hAnsi="Times New Roman" w:cs="Times New Roman"/>
          <w:bCs/>
          <w:iCs/>
          <w:sz w:val="24"/>
          <w:szCs w:val="24"/>
        </w:rPr>
        <w:t xml:space="preserve">Správca zahraničného fondu bude povinný informovať a poskytnúť údaje o konečných užívateľoch výhod zahraničného fondu povinným osobám v zákonom určených prípadoch. </w:t>
      </w:r>
    </w:p>
    <w:p w14:paraId="0A39BEA3" w14:textId="0A56F37D" w:rsidR="00331B20" w:rsidRPr="00331B20" w:rsidRDefault="00331B20" w:rsidP="00331B20">
      <w:pPr>
        <w:spacing w:after="0"/>
        <w:jc w:val="both"/>
        <w:rPr>
          <w:rFonts w:ascii="Times New Roman" w:eastAsia="Calibri" w:hAnsi="Times New Roman" w:cs="Times New Roman"/>
          <w:sz w:val="24"/>
          <w:szCs w:val="24"/>
        </w:rPr>
      </w:pPr>
    </w:p>
    <w:sectPr w:rsidR="00331B20" w:rsidRPr="00331B20"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208B9" w14:textId="77777777" w:rsidR="00971481" w:rsidRDefault="00971481" w:rsidP="00054C41">
      <w:pPr>
        <w:spacing w:after="0" w:line="240" w:lineRule="auto"/>
      </w:pPr>
      <w:r>
        <w:separator/>
      </w:r>
    </w:p>
  </w:endnote>
  <w:endnote w:type="continuationSeparator" w:id="0">
    <w:p w14:paraId="6F88CD9A" w14:textId="77777777" w:rsidR="00971481" w:rsidRDefault="00971481"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20FE6A4A" w14:textId="12E23DA3" w:rsidR="00593690" w:rsidRPr="00331B20" w:rsidRDefault="00593690" w:rsidP="00331B20">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B07179">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92622" w14:textId="77777777" w:rsidR="00971481" w:rsidRDefault="00971481" w:rsidP="00054C41">
      <w:pPr>
        <w:spacing w:after="0" w:line="240" w:lineRule="auto"/>
      </w:pPr>
      <w:r>
        <w:separator/>
      </w:r>
    </w:p>
  </w:footnote>
  <w:footnote w:type="continuationSeparator" w:id="0">
    <w:p w14:paraId="6E019273" w14:textId="77777777" w:rsidR="00971481" w:rsidRDefault="00971481" w:rsidP="00054C41">
      <w:pPr>
        <w:spacing w:after="0" w:line="240" w:lineRule="auto"/>
      </w:pPr>
      <w:r>
        <w:continuationSeparator/>
      </w:r>
    </w:p>
  </w:footnote>
  <w:footnote w:id="1">
    <w:p w14:paraId="6CC680CB" w14:textId="6BF8CDC6" w:rsidR="00593690" w:rsidRPr="000A6B7F" w:rsidRDefault="00593690"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5D313DAF" w14:textId="55621909" w:rsidR="00593690" w:rsidRDefault="00593690" w:rsidP="00331B20">
      <w:pPr>
        <w:pStyle w:val="Textpoznmkypodiarou"/>
        <w:jc w:val="both"/>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B394355"/>
    <w:multiLevelType w:val="hybridMultilevel"/>
    <w:tmpl w:val="EC4EFEA6"/>
    <w:lvl w:ilvl="0" w:tplc="041B000F">
      <w:start w:val="1"/>
      <w:numFmt w:val="decimal"/>
      <w:lvlText w:val="%1."/>
      <w:lvlJc w:val="left"/>
      <w:pPr>
        <w:ind w:left="5604" w:hanging="360"/>
      </w:pPr>
      <w:rPr>
        <w:rFonts w:hint="default"/>
      </w:rPr>
    </w:lvl>
    <w:lvl w:ilvl="1" w:tplc="041B0019" w:tentative="1">
      <w:start w:val="1"/>
      <w:numFmt w:val="lowerLetter"/>
      <w:lvlText w:val="%2."/>
      <w:lvlJc w:val="left"/>
      <w:pPr>
        <w:ind w:left="6324" w:hanging="360"/>
      </w:pPr>
    </w:lvl>
    <w:lvl w:ilvl="2" w:tplc="041B001B" w:tentative="1">
      <w:start w:val="1"/>
      <w:numFmt w:val="lowerRoman"/>
      <w:lvlText w:val="%3."/>
      <w:lvlJc w:val="right"/>
      <w:pPr>
        <w:ind w:left="7044" w:hanging="180"/>
      </w:pPr>
    </w:lvl>
    <w:lvl w:ilvl="3" w:tplc="041B000F" w:tentative="1">
      <w:start w:val="1"/>
      <w:numFmt w:val="decimal"/>
      <w:lvlText w:val="%4."/>
      <w:lvlJc w:val="left"/>
      <w:pPr>
        <w:ind w:left="7764" w:hanging="360"/>
      </w:pPr>
    </w:lvl>
    <w:lvl w:ilvl="4" w:tplc="041B0019" w:tentative="1">
      <w:start w:val="1"/>
      <w:numFmt w:val="lowerLetter"/>
      <w:lvlText w:val="%5."/>
      <w:lvlJc w:val="left"/>
      <w:pPr>
        <w:ind w:left="8484" w:hanging="360"/>
      </w:pPr>
    </w:lvl>
    <w:lvl w:ilvl="5" w:tplc="041B001B" w:tentative="1">
      <w:start w:val="1"/>
      <w:numFmt w:val="lowerRoman"/>
      <w:lvlText w:val="%6."/>
      <w:lvlJc w:val="right"/>
      <w:pPr>
        <w:ind w:left="9204" w:hanging="180"/>
      </w:pPr>
    </w:lvl>
    <w:lvl w:ilvl="6" w:tplc="041B000F" w:tentative="1">
      <w:start w:val="1"/>
      <w:numFmt w:val="decimal"/>
      <w:lvlText w:val="%7."/>
      <w:lvlJc w:val="left"/>
      <w:pPr>
        <w:ind w:left="9924" w:hanging="360"/>
      </w:pPr>
    </w:lvl>
    <w:lvl w:ilvl="7" w:tplc="041B0019" w:tentative="1">
      <w:start w:val="1"/>
      <w:numFmt w:val="lowerLetter"/>
      <w:lvlText w:val="%8."/>
      <w:lvlJc w:val="left"/>
      <w:pPr>
        <w:ind w:left="10644" w:hanging="360"/>
      </w:pPr>
    </w:lvl>
    <w:lvl w:ilvl="8" w:tplc="041B001B" w:tentative="1">
      <w:start w:val="1"/>
      <w:numFmt w:val="lowerRoman"/>
      <w:lvlText w:val="%9."/>
      <w:lvlJc w:val="right"/>
      <w:pPr>
        <w:ind w:left="11364"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98A188A"/>
    <w:multiLevelType w:val="hybridMultilevel"/>
    <w:tmpl w:val="5B8A1C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6"/>
  </w:num>
  <w:num w:numId="12">
    <w:abstractNumId w:val="0"/>
  </w:num>
  <w:num w:numId="13">
    <w:abstractNumId w:val="13"/>
  </w:num>
  <w:num w:numId="14">
    <w:abstractNumId w:val="7"/>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41"/>
    <w:rsid w:val="00015017"/>
    <w:rsid w:val="0002425A"/>
    <w:rsid w:val="00024EE4"/>
    <w:rsid w:val="00034C00"/>
    <w:rsid w:val="00040AA0"/>
    <w:rsid w:val="0004216E"/>
    <w:rsid w:val="00047C70"/>
    <w:rsid w:val="00050AAB"/>
    <w:rsid w:val="00054A53"/>
    <w:rsid w:val="00054C41"/>
    <w:rsid w:val="00056204"/>
    <w:rsid w:val="00060DA1"/>
    <w:rsid w:val="00061E85"/>
    <w:rsid w:val="00067421"/>
    <w:rsid w:val="000734D7"/>
    <w:rsid w:val="000820E0"/>
    <w:rsid w:val="00091A43"/>
    <w:rsid w:val="0009490E"/>
    <w:rsid w:val="000A1386"/>
    <w:rsid w:val="000A3212"/>
    <w:rsid w:val="000A6B7F"/>
    <w:rsid w:val="000C5419"/>
    <w:rsid w:val="000C5E9A"/>
    <w:rsid w:val="000C798D"/>
    <w:rsid w:val="000D15F0"/>
    <w:rsid w:val="0011003B"/>
    <w:rsid w:val="001133DA"/>
    <w:rsid w:val="00126A2B"/>
    <w:rsid w:val="00137A05"/>
    <w:rsid w:val="0014130A"/>
    <w:rsid w:val="00142154"/>
    <w:rsid w:val="00142940"/>
    <w:rsid w:val="00142CCB"/>
    <w:rsid w:val="00146A15"/>
    <w:rsid w:val="001476A4"/>
    <w:rsid w:val="00150966"/>
    <w:rsid w:val="00157D70"/>
    <w:rsid w:val="00162C6C"/>
    <w:rsid w:val="0016512E"/>
    <w:rsid w:val="0016754C"/>
    <w:rsid w:val="0017628D"/>
    <w:rsid w:val="00186414"/>
    <w:rsid w:val="0018696D"/>
    <w:rsid w:val="0018715C"/>
    <w:rsid w:val="001A1561"/>
    <w:rsid w:val="001B4C03"/>
    <w:rsid w:val="001C08DE"/>
    <w:rsid w:val="001C7B91"/>
    <w:rsid w:val="001D1083"/>
    <w:rsid w:val="001D3FA0"/>
    <w:rsid w:val="001D476F"/>
    <w:rsid w:val="001E19F6"/>
    <w:rsid w:val="001E24E8"/>
    <w:rsid w:val="001E53CB"/>
    <w:rsid w:val="001F1390"/>
    <w:rsid w:val="001F4E53"/>
    <w:rsid w:val="00207F43"/>
    <w:rsid w:val="002232D3"/>
    <w:rsid w:val="00225A83"/>
    <w:rsid w:val="0022604C"/>
    <w:rsid w:val="00226E0C"/>
    <w:rsid w:val="00226E70"/>
    <w:rsid w:val="00231B8F"/>
    <w:rsid w:val="00237CF5"/>
    <w:rsid w:val="0024172B"/>
    <w:rsid w:val="00256CDE"/>
    <w:rsid w:val="002618B9"/>
    <w:rsid w:val="00262D8D"/>
    <w:rsid w:val="00270EA5"/>
    <w:rsid w:val="002712B9"/>
    <w:rsid w:val="00281786"/>
    <w:rsid w:val="00284B8C"/>
    <w:rsid w:val="00285211"/>
    <w:rsid w:val="0029483F"/>
    <w:rsid w:val="0029591F"/>
    <w:rsid w:val="002C2642"/>
    <w:rsid w:val="002C2FC0"/>
    <w:rsid w:val="002C6614"/>
    <w:rsid w:val="002D529A"/>
    <w:rsid w:val="002F4B32"/>
    <w:rsid w:val="002F6676"/>
    <w:rsid w:val="002F711B"/>
    <w:rsid w:val="00302A17"/>
    <w:rsid w:val="00314D25"/>
    <w:rsid w:val="00315BE2"/>
    <w:rsid w:val="0032389A"/>
    <w:rsid w:val="00331B20"/>
    <w:rsid w:val="003322EE"/>
    <w:rsid w:val="00333C4D"/>
    <w:rsid w:val="00334189"/>
    <w:rsid w:val="00337630"/>
    <w:rsid w:val="00340CFD"/>
    <w:rsid w:val="003413D5"/>
    <w:rsid w:val="00342621"/>
    <w:rsid w:val="00357F22"/>
    <w:rsid w:val="0036748D"/>
    <w:rsid w:val="00370358"/>
    <w:rsid w:val="00376039"/>
    <w:rsid w:val="00377229"/>
    <w:rsid w:val="0038255E"/>
    <w:rsid w:val="00384B59"/>
    <w:rsid w:val="00391648"/>
    <w:rsid w:val="0039304E"/>
    <w:rsid w:val="0039334E"/>
    <w:rsid w:val="00394AD2"/>
    <w:rsid w:val="00396443"/>
    <w:rsid w:val="003A02AF"/>
    <w:rsid w:val="003A1269"/>
    <w:rsid w:val="003A3124"/>
    <w:rsid w:val="003A3D5A"/>
    <w:rsid w:val="003A686F"/>
    <w:rsid w:val="003C78EE"/>
    <w:rsid w:val="003D0499"/>
    <w:rsid w:val="003D0F85"/>
    <w:rsid w:val="003D2B4D"/>
    <w:rsid w:val="003D6F43"/>
    <w:rsid w:val="003E18BD"/>
    <w:rsid w:val="003E58B8"/>
    <w:rsid w:val="003F06D7"/>
    <w:rsid w:val="00400224"/>
    <w:rsid w:val="00400BA5"/>
    <w:rsid w:val="00405886"/>
    <w:rsid w:val="00410E62"/>
    <w:rsid w:val="00414FA7"/>
    <w:rsid w:val="00420090"/>
    <w:rsid w:val="004239D1"/>
    <w:rsid w:val="00445638"/>
    <w:rsid w:val="00446432"/>
    <w:rsid w:val="00446512"/>
    <w:rsid w:val="00463621"/>
    <w:rsid w:val="00466D7A"/>
    <w:rsid w:val="00475318"/>
    <w:rsid w:val="0048237B"/>
    <w:rsid w:val="00483911"/>
    <w:rsid w:val="00484D16"/>
    <w:rsid w:val="004864F4"/>
    <w:rsid w:val="00486732"/>
    <w:rsid w:val="00491853"/>
    <w:rsid w:val="004A14CD"/>
    <w:rsid w:val="004A2C6B"/>
    <w:rsid w:val="004B7CB7"/>
    <w:rsid w:val="004C47C0"/>
    <w:rsid w:val="004D20CB"/>
    <w:rsid w:val="004D65B2"/>
    <w:rsid w:val="004D681D"/>
    <w:rsid w:val="004E2324"/>
    <w:rsid w:val="004F5128"/>
    <w:rsid w:val="004F63E6"/>
    <w:rsid w:val="00501CD8"/>
    <w:rsid w:val="005031B6"/>
    <w:rsid w:val="005103DA"/>
    <w:rsid w:val="00511F8F"/>
    <w:rsid w:val="005121E6"/>
    <w:rsid w:val="00512BA7"/>
    <w:rsid w:val="00514467"/>
    <w:rsid w:val="00515726"/>
    <w:rsid w:val="00521A98"/>
    <w:rsid w:val="005249CA"/>
    <w:rsid w:val="00531851"/>
    <w:rsid w:val="00544A25"/>
    <w:rsid w:val="00562527"/>
    <w:rsid w:val="00562A1E"/>
    <w:rsid w:val="00563427"/>
    <w:rsid w:val="00563763"/>
    <w:rsid w:val="00581EB9"/>
    <w:rsid w:val="0058234F"/>
    <w:rsid w:val="0059302D"/>
    <w:rsid w:val="00593690"/>
    <w:rsid w:val="00594ADD"/>
    <w:rsid w:val="00595A0E"/>
    <w:rsid w:val="005B4E6E"/>
    <w:rsid w:val="005B56E4"/>
    <w:rsid w:val="005C1116"/>
    <w:rsid w:val="005C2E7D"/>
    <w:rsid w:val="005C3B4A"/>
    <w:rsid w:val="005C795C"/>
    <w:rsid w:val="005D0E50"/>
    <w:rsid w:val="005D39D8"/>
    <w:rsid w:val="005D7221"/>
    <w:rsid w:val="005E3433"/>
    <w:rsid w:val="005E7C70"/>
    <w:rsid w:val="005F0F98"/>
    <w:rsid w:val="005F7277"/>
    <w:rsid w:val="0061097B"/>
    <w:rsid w:val="00610BEB"/>
    <w:rsid w:val="0061612F"/>
    <w:rsid w:val="006177C8"/>
    <w:rsid w:val="0062600A"/>
    <w:rsid w:val="0063777D"/>
    <w:rsid w:val="00643358"/>
    <w:rsid w:val="00646084"/>
    <w:rsid w:val="006564C3"/>
    <w:rsid w:val="006578CB"/>
    <w:rsid w:val="00662A43"/>
    <w:rsid w:val="00675132"/>
    <w:rsid w:val="00692B46"/>
    <w:rsid w:val="006A4D45"/>
    <w:rsid w:val="006A4E85"/>
    <w:rsid w:val="006A60C0"/>
    <w:rsid w:val="006A712F"/>
    <w:rsid w:val="006A757E"/>
    <w:rsid w:val="006B5D74"/>
    <w:rsid w:val="006B71D3"/>
    <w:rsid w:val="006C25BE"/>
    <w:rsid w:val="006D0352"/>
    <w:rsid w:val="006D7AD8"/>
    <w:rsid w:val="006F0FDC"/>
    <w:rsid w:val="006F1D57"/>
    <w:rsid w:val="006F61EB"/>
    <w:rsid w:val="00700AF7"/>
    <w:rsid w:val="0070364C"/>
    <w:rsid w:val="00710EDF"/>
    <w:rsid w:val="00714944"/>
    <w:rsid w:val="0072221D"/>
    <w:rsid w:val="0072357C"/>
    <w:rsid w:val="00723685"/>
    <w:rsid w:val="007259CB"/>
    <w:rsid w:val="00726031"/>
    <w:rsid w:val="00733BED"/>
    <w:rsid w:val="00734ED2"/>
    <w:rsid w:val="00737F9E"/>
    <w:rsid w:val="00751DA9"/>
    <w:rsid w:val="00755E69"/>
    <w:rsid w:val="0076022C"/>
    <w:rsid w:val="0076370B"/>
    <w:rsid w:val="007648EE"/>
    <w:rsid w:val="007709A3"/>
    <w:rsid w:val="0077106D"/>
    <w:rsid w:val="00780ACC"/>
    <w:rsid w:val="00787A11"/>
    <w:rsid w:val="00792AA2"/>
    <w:rsid w:val="00792F05"/>
    <w:rsid w:val="00797B40"/>
    <w:rsid w:val="007A0C9D"/>
    <w:rsid w:val="007B002C"/>
    <w:rsid w:val="007B40FB"/>
    <w:rsid w:val="007B5A43"/>
    <w:rsid w:val="007B62AF"/>
    <w:rsid w:val="007D2026"/>
    <w:rsid w:val="007D6160"/>
    <w:rsid w:val="007E24B2"/>
    <w:rsid w:val="007E2DA4"/>
    <w:rsid w:val="007E4B98"/>
    <w:rsid w:val="007E6815"/>
    <w:rsid w:val="007E7632"/>
    <w:rsid w:val="007F1C84"/>
    <w:rsid w:val="007F2189"/>
    <w:rsid w:val="007F4579"/>
    <w:rsid w:val="007F4E19"/>
    <w:rsid w:val="00801596"/>
    <w:rsid w:val="00804BC8"/>
    <w:rsid w:val="00806E23"/>
    <w:rsid w:val="00807981"/>
    <w:rsid w:val="00821EEB"/>
    <w:rsid w:val="00823F5A"/>
    <w:rsid w:val="00824DB6"/>
    <w:rsid w:val="00832181"/>
    <w:rsid w:val="008416FD"/>
    <w:rsid w:val="00845D3B"/>
    <w:rsid w:val="00861F39"/>
    <w:rsid w:val="008626F8"/>
    <w:rsid w:val="008634E9"/>
    <w:rsid w:val="008801B5"/>
    <w:rsid w:val="00880578"/>
    <w:rsid w:val="00882407"/>
    <w:rsid w:val="008920C3"/>
    <w:rsid w:val="00894052"/>
    <w:rsid w:val="00897784"/>
    <w:rsid w:val="008A1704"/>
    <w:rsid w:val="008A7B87"/>
    <w:rsid w:val="008B4AA1"/>
    <w:rsid w:val="008C0E42"/>
    <w:rsid w:val="008C1C71"/>
    <w:rsid w:val="008C3B9A"/>
    <w:rsid w:val="008C5F63"/>
    <w:rsid w:val="008D5CCF"/>
    <w:rsid w:val="008E1AD0"/>
    <w:rsid w:val="008E315F"/>
    <w:rsid w:val="008E6B82"/>
    <w:rsid w:val="008F3621"/>
    <w:rsid w:val="008F5D8C"/>
    <w:rsid w:val="008F6ADE"/>
    <w:rsid w:val="008F6CDE"/>
    <w:rsid w:val="00907B39"/>
    <w:rsid w:val="0091269B"/>
    <w:rsid w:val="00920051"/>
    <w:rsid w:val="00920459"/>
    <w:rsid w:val="00923C0C"/>
    <w:rsid w:val="0095170D"/>
    <w:rsid w:val="00952CF6"/>
    <w:rsid w:val="009568F8"/>
    <w:rsid w:val="00960413"/>
    <w:rsid w:val="00962B00"/>
    <w:rsid w:val="00971481"/>
    <w:rsid w:val="009726BD"/>
    <w:rsid w:val="009739D7"/>
    <w:rsid w:val="009751A5"/>
    <w:rsid w:val="00981995"/>
    <w:rsid w:val="00981C7F"/>
    <w:rsid w:val="00982D9D"/>
    <w:rsid w:val="00985515"/>
    <w:rsid w:val="00985FCF"/>
    <w:rsid w:val="00990813"/>
    <w:rsid w:val="0099544D"/>
    <w:rsid w:val="00997513"/>
    <w:rsid w:val="009A0E2C"/>
    <w:rsid w:val="009A35DA"/>
    <w:rsid w:val="009A4D56"/>
    <w:rsid w:val="009B1B70"/>
    <w:rsid w:val="009B1F04"/>
    <w:rsid w:val="009C1A15"/>
    <w:rsid w:val="009D7DF2"/>
    <w:rsid w:val="009E09F7"/>
    <w:rsid w:val="009E2D5C"/>
    <w:rsid w:val="009E3E44"/>
    <w:rsid w:val="009F4175"/>
    <w:rsid w:val="009F4E92"/>
    <w:rsid w:val="009F66A4"/>
    <w:rsid w:val="009F6C80"/>
    <w:rsid w:val="00A000DA"/>
    <w:rsid w:val="00A077C2"/>
    <w:rsid w:val="00A1736E"/>
    <w:rsid w:val="00A216DF"/>
    <w:rsid w:val="00A33F2C"/>
    <w:rsid w:val="00A50EE3"/>
    <w:rsid w:val="00A54EA9"/>
    <w:rsid w:val="00A561CF"/>
    <w:rsid w:val="00A56802"/>
    <w:rsid w:val="00A57481"/>
    <w:rsid w:val="00A6507A"/>
    <w:rsid w:val="00A80BB4"/>
    <w:rsid w:val="00A83E11"/>
    <w:rsid w:val="00A87D69"/>
    <w:rsid w:val="00A94A0F"/>
    <w:rsid w:val="00AA3125"/>
    <w:rsid w:val="00AA3C6D"/>
    <w:rsid w:val="00AB08FC"/>
    <w:rsid w:val="00AB57C4"/>
    <w:rsid w:val="00AD057D"/>
    <w:rsid w:val="00AF668B"/>
    <w:rsid w:val="00B00EBE"/>
    <w:rsid w:val="00B07179"/>
    <w:rsid w:val="00B11CF5"/>
    <w:rsid w:val="00B14448"/>
    <w:rsid w:val="00B209FA"/>
    <w:rsid w:val="00B20B40"/>
    <w:rsid w:val="00B21D1F"/>
    <w:rsid w:val="00B31B5B"/>
    <w:rsid w:val="00B410BA"/>
    <w:rsid w:val="00B4345B"/>
    <w:rsid w:val="00B43D68"/>
    <w:rsid w:val="00B44A3A"/>
    <w:rsid w:val="00B471EF"/>
    <w:rsid w:val="00B552C2"/>
    <w:rsid w:val="00B5600C"/>
    <w:rsid w:val="00B66E33"/>
    <w:rsid w:val="00B70F2E"/>
    <w:rsid w:val="00B72FB1"/>
    <w:rsid w:val="00B91574"/>
    <w:rsid w:val="00B953DA"/>
    <w:rsid w:val="00BA19B0"/>
    <w:rsid w:val="00BB268F"/>
    <w:rsid w:val="00BB3870"/>
    <w:rsid w:val="00BB4474"/>
    <w:rsid w:val="00BB45A7"/>
    <w:rsid w:val="00BC11A6"/>
    <w:rsid w:val="00BD0EF7"/>
    <w:rsid w:val="00BD249E"/>
    <w:rsid w:val="00BD46E1"/>
    <w:rsid w:val="00BD6778"/>
    <w:rsid w:val="00BF1E0D"/>
    <w:rsid w:val="00BF5067"/>
    <w:rsid w:val="00C01599"/>
    <w:rsid w:val="00C048D1"/>
    <w:rsid w:val="00C05563"/>
    <w:rsid w:val="00C11132"/>
    <w:rsid w:val="00C115B9"/>
    <w:rsid w:val="00C12FDD"/>
    <w:rsid w:val="00C145AA"/>
    <w:rsid w:val="00C14655"/>
    <w:rsid w:val="00C21399"/>
    <w:rsid w:val="00C272D8"/>
    <w:rsid w:val="00C354F2"/>
    <w:rsid w:val="00C446E2"/>
    <w:rsid w:val="00C535F5"/>
    <w:rsid w:val="00C560C4"/>
    <w:rsid w:val="00C57063"/>
    <w:rsid w:val="00C6748F"/>
    <w:rsid w:val="00C74337"/>
    <w:rsid w:val="00C75DC8"/>
    <w:rsid w:val="00C75E20"/>
    <w:rsid w:val="00C8324B"/>
    <w:rsid w:val="00C9007D"/>
    <w:rsid w:val="00C929AE"/>
    <w:rsid w:val="00C929D0"/>
    <w:rsid w:val="00CA3D47"/>
    <w:rsid w:val="00CA3E2C"/>
    <w:rsid w:val="00CA4344"/>
    <w:rsid w:val="00CA6348"/>
    <w:rsid w:val="00CB1232"/>
    <w:rsid w:val="00CB17A0"/>
    <w:rsid w:val="00CB48A5"/>
    <w:rsid w:val="00CC3B7D"/>
    <w:rsid w:val="00CD5AE4"/>
    <w:rsid w:val="00CD5E86"/>
    <w:rsid w:val="00CE2A4D"/>
    <w:rsid w:val="00CE3B21"/>
    <w:rsid w:val="00CF1917"/>
    <w:rsid w:val="00CF4D09"/>
    <w:rsid w:val="00D005F2"/>
    <w:rsid w:val="00D03A8E"/>
    <w:rsid w:val="00D114ED"/>
    <w:rsid w:val="00D128EA"/>
    <w:rsid w:val="00D3032C"/>
    <w:rsid w:val="00D30C7C"/>
    <w:rsid w:val="00D31A3B"/>
    <w:rsid w:val="00D5309D"/>
    <w:rsid w:val="00D631FA"/>
    <w:rsid w:val="00D71064"/>
    <w:rsid w:val="00D7645F"/>
    <w:rsid w:val="00D811BB"/>
    <w:rsid w:val="00D82356"/>
    <w:rsid w:val="00D84EEE"/>
    <w:rsid w:val="00D90A61"/>
    <w:rsid w:val="00D946EF"/>
    <w:rsid w:val="00D95553"/>
    <w:rsid w:val="00DC355F"/>
    <w:rsid w:val="00DD1E4C"/>
    <w:rsid w:val="00DE331A"/>
    <w:rsid w:val="00DE6ACB"/>
    <w:rsid w:val="00DF02CE"/>
    <w:rsid w:val="00DF1462"/>
    <w:rsid w:val="00E030DA"/>
    <w:rsid w:val="00E041D5"/>
    <w:rsid w:val="00E214C0"/>
    <w:rsid w:val="00E30D85"/>
    <w:rsid w:val="00E444EB"/>
    <w:rsid w:val="00E5132E"/>
    <w:rsid w:val="00E74110"/>
    <w:rsid w:val="00E77A69"/>
    <w:rsid w:val="00E81A42"/>
    <w:rsid w:val="00E9113E"/>
    <w:rsid w:val="00E9422F"/>
    <w:rsid w:val="00E961E8"/>
    <w:rsid w:val="00E96244"/>
    <w:rsid w:val="00E96DE0"/>
    <w:rsid w:val="00EA18A9"/>
    <w:rsid w:val="00EB2BEC"/>
    <w:rsid w:val="00EB74BF"/>
    <w:rsid w:val="00EC0704"/>
    <w:rsid w:val="00EC508B"/>
    <w:rsid w:val="00ED6B5D"/>
    <w:rsid w:val="00EE046F"/>
    <w:rsid w:val="00EE34CE"/>
    <w:rsid w:val="00EE4C99"/>
    <w:rsid w:val="00EE514B"/>
    <w:rsid w:val="00EE5F39"/>
    <w:rsid w:val="00EF3B91"/>
    <w:rsid w:val="00F00A40"/>
    <w:rsid w:val="00F153D7"/>
    <w:rsid w:val="00F1599C"/>
    <w:rsid w:val="00F216F4"/>
    <w:rsid w:val="00F233F1"/>
    <w:rsid w:val="00F2433F"/>
    <w:rsid w:val="00F244DC"/>
    <w:rsid w:val="00F30B8A"/>
    <w:rsid w:val="00F31B06"/>
    <w:rsid w:val="00F378F4"/>
    <w:rsid w:val="00F47912"/>
    <w:rsid w:val="00F50B1F"/>
    <w:rsid w:val="00F53210"/>
    <w:rsid w:val="00F541B6"/>
    <w:rsid w:val="00F57702"/>
    <w:rsid w:val="00F6060E"/>
    <w:rsid w:val="00F61361"/>
    <w:rsid w:val="00F613E8"/>
    <w:rsid w:val="00F73849"/>
    <w:rsid w:val="00F74D3C"/>
    <w:rsid w:val="00F74FC9"/>
    <w:rsid w:val="00F906B0"/>
    <w:rsid w:val="00F91F47"/>
    <w:rsid w:val="00FA4F36"/>
    <w:rsid w:val="00FA63CF"/>
    <w:rsid w:val="00FA6FFE"/>
    <w:rsid w:val="00FC121B"/>
    <w:rsid w:val="00FD3DFB"/>
    <w:rsid w:val="00FD54AA"/>
    <w:rsid w:val="00FF0272"/>
    <w:rsid w:val="00FF0C01"/>
    <w:rsid w:val="00FF414B"/>
    <w:rsid w:val="00FF4B7A"/>
    <w:rsid w:val="00FF6FF5"/>
    <w:rsid w:val="00FF7123"/>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E1E9BE62-D6AC-4C9C-9575-BDC66AA9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tavec cíl se seznamem,Odstavec se seznamem1,body,Odsek zoznamu2"/>
    <w:basedOn w:val="Normlny"/>
    <w:link w:val="OdsekzoznamuChar"/>
    <w:uiPriority w:val="99"/>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16754C"/>
    <w:rPr>
      <w:color w:val="0563C1" w:themeColor="hyperlink"/>
      <w:u w:val="single"/>
    </w:rPr>
  </w:style>
  <w:style w:type="character" w:customStyle="1" w:styleId="OdsekzoznamuChar">
    <w:name w:val="Odsek zoznamu Char"/>
    <w:aliases w:val="Odstavec cíl se seznamem Char,Odstavec se seznamem1 Char,body Char,Odsek zoznamu2 Char"/>
    <w:basedOn w:val="Predvolenpsmoodseku"/>
    <w:link w:val="Odsekzoznamu"/>
    <w:uiPriority w:val="99"/>
    <w:locked/>
    <w:rsid w:val="00F906B0"/>
  </w:style>
  <w:style w:type="paragraph" w:customStyle="1" w:styleId="Default">
    <w:name w:val="Default"/>
    <w:rsid w:val="00A5748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03519703">
      <w:bodyDiv w:val="1"/>
      <w:marLeft w:val="0"/>
      <w:marRight w:val="0"/>
      <w:marTop w:val="0"/>
      <w:marBottom w:val="0"/>
      <w:divBdr>
        <w:top w:val="none" w:sz="0" w:space="0" w:color="auto"/>
        <w:left w:val="none" w:sz="0" w:space="0" w:color="auto"/>
        <w:bottom w:val="none" w:sz="0" w:space="0" w:color="auto"/>
        <w:right w:val="none" w:sz="0" w:space="0" w:color="auto"/>
      </w:divBdr>
    </w:div>
    <w:div w:id="57366703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583309">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77623060">
      <w:bodyDiv w:val="1"/>
      <w:marLeft w:val="0"/>
      <w:marRight w:val="0"/>
      <w:marTop w:val="0"/>
      <w:marBottom w:val="0"/>
      <w:divBdr>
        <w:top w:val="none" w:sz="0" w:space="0" w:color="auto"/>
        <w:left w:val="none" w:sz="0" w:space="0" w:color="auto"/>
        <w:bottom w:val="none" w:sz="0" w:space="0" w:color="auto"/>
        <w:right w:val="none" w:sz="0" w:space="0" w:color="auto"/>
      </w:divBdr>
    </w:div>
    <w:div w:id="131695613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0576643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16288314">
      <w:bodyDiv w:val="1"/>
      <w:marLeft w:val="0"/>
      <w:marRight w:val="0"/>
      <w:marTop w:val="0"/>
      <w:marBottom w:val="0"/>
      <w:divBdr>
        <w:top w:val="none" w:sz="0" w:space="0" w:color="auto"/>
        <w:left w:val="none" w:sz="0" w:space="0" w:color="auto"/>
        <w:bottom w:val="none" w:sz="0" w:space="0" w:color="auto"/>
        <w:right w:val="none" w:sz="0" w:space="0" w:color="auto"/>
      </w:divBdr>
    </w:div>
    <w:div w:id="196754614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b_vplyvy-na-podnikatelov_MPK"/>
    <f:field ref="objsubject" par="" edit="true" text=""/>
    <f:field ref="objcreatedby" par="" text="Bartíková, Anna, Mgr. Ing."/>
    <f:field ref="objcreatedat" par="" text="23.2.2024 13:49:02"/>
    <f:field ref="objchangedby" par="" text="Administrator, System"/>
    <f:field ref="objmodifiedat" par="" text="23.2.2024 13:49:0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A722D17-F730-4495-ACC5-518ED4003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18417</Characters>
  <Application>Microsoft Office Word</Application>
  <DocSecurity>0</DocSecurity>
  <Lines>153</Lines>
  <Paragraphs>43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Nikoleta Fekete</cp:lastModifiedBy>
  <cp:revision>2</cp:revision>
  <cp:lastPrinted>2024-06-13T14:32:00Z</cp:lastPrinted>
  <dcterms:created xsi:type="dcterms:W3CDTF">2024-09-26T08:19:00Z</dcterms:created>
  <dcterms:modified xsi:type="dcterms:W3CDTF">2024-09-26T08:19:00Z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Ing. Anna Bartíková</vt:lpwstr>
  </property>
  <property fmtid="{D5CDD505-2E9C-101B-9397-08002B2CF9AE}" pid="12" name="FSC#SKEDITIONSLOVLEX@103.510:zodppredkladatel">
    <vt:lpwstr>Ing. Ladislav Kamenický</vt:lpwstr>
  </property>
  <property fmtid="{D5CDD505-2E9C-101B-9397-08002B2CF9AE}" pid="13" name="FSC#SKEDITIONSLOVLEX@103.510:dalsipredkladatel">
    <vt:lpwstr/>
  </property>
  <property fmtid="{D5CDD505-2E9C-101B-9397-08002B2CF9AE}" pid="14" name="FSC#SKEDITIONSLOVLEX@103.510:nazovpredpis">
    <vt:lpwstr> o niektorých povinnostiach a oprávneniach v oblasti kryptoaktív a o zmene a doplnení niektorých zákonov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financií Slovenskej republiky</vt:lpwstr>
  </property>
  <property fmtid="{D5CDD505-2E9C-101B-9397-08002B2CF9AE}" pid="20" name="FSC#SKEDITIONSLOVLEX@103.510:pripomienkovatelia">
    <vt:lpwstr>Ministerstvo financií Slovenskej republiky, Ministerstvo financií Slovenskej republiky, Ministerstvo financií Slovenskej republiky</vt:lpwstr>
  </property>
  <property fmtid="{D5CDD505-2E9C-101B-9397-08002B2CF9AE}" pid="21" name="FSC#SKEDITIONSLOVLEX@103.510:autorpredpis">
    <vt:lpwstr/>
  </property>
  <property fmtid="{D5CDD505-2E9C-101B-9397-08002B2CF9AE}" pid="22" name="FSC#SKEDITIONSLOVLEX@103.510:podnetpredpis">
    <vt:lpwstr>Plán legislatívnych úloh vlády Slovenskej republiky na rok 2024</vt:lpwstr>
  </property>
  <property fmtid="{D5CDD505-2E9C-101B-9397-08002B2CF9AE}" pid="23" name="FSC#SKEDITIONSLOVLEX@103.510:plnynazovpredpis">
    <vt:lpwstr> Zákon o niektorých povinnostiach a oprávneniach v oblasti kryptoaktív a o zmene a doplnení niektorých zákonov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MF/005115/2024-632</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LP/2024/86</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financií</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štátny radca</vt:lpwstr>
  </property>
  <property fmtid="{D5CDD505-2E9C-101B-9397-08002B2CF9AE}" pid="139" name="FSC#SKEDITIONSLOVLEX@103.510:funkciaPredAkuzativ">
    <vt:lpwstr>štátneho radcu</vt:lpwstr>
  </property>
  <property fmtid="{D5CDD505-2E9C-101B-9397-08002B2CF9AE}" pid="140" name="FSC#SKEDITIONSLOVLEX@103.510:funkciaPredDativ">
    <vt:lpwstr>štátnemu radcovi</vt:lpwstr>
  </property>
  <property fmtid="{D5CDD505-2E9C-101B-9397-08002B2CF9AE}" pid="141" name="FSC#SKEDITIONSLOVLEX@103.510:funkciaZodpPred">
    <vt:lpwstr>minister financií</vt:lpwstr>
  </property>
  <property fmtid="{D5CDD505-2E9C-101B-9397-08002B2CF9AE}" pid="142" name="FSC#SKEDITIONSLOVLEX@103.510:funkciaZodpPredAkuzativ">
    <vt:lpwstr>ministra financií Slovenskej republiky</vt:lpwstr>
  </property>
  <property fmtid="{D5CDD505-2E9C-101B-9397-08002B2CF9AE}" pid="143" name="FSC#SKEDITIONSLOVLEX@103.510:funkciaZodpPredDativ">
    <vt:lpwstr>ministrovi financií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Ladislav Kamenický_x000d_
minister financií</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&lt;p&gt;&amp;nbsp; &amp;nbsp; &amp;nbsp; &amp;nbsp; &amp;nbsp; &amp;nbsp;&lt;/p&gt;</vt:lpwstr>
  </property>
  <property fmtid="{D5CDD505-2E9C-101B-9397-08002B2CF9AE}" pid="150" name="FSC#SKEDITIONSLOVLEX@103.510:vytvorenedna">
    <vt:lpwstr>23. 2. 2024</vt:lpwstr>
  </property>
  <property fmtid="{D5CDD505-2E9C-101B-9397-08002B2CF9AE}" pid="151" name="FSC#COOSYSTEM@1.1:Container">
    <vt:lpwstr>COO.2145.1000.3.6071166</vt:lpwstr>
  </property>
  <property fmtid="{D5CDD505-2E9C-101B-9397-08002B2CF9AE}" pid="152" name="FSC#FSCFOLIO@1.1001:docpropproject">
    <vt:lpwstr/>
  </property>
</Properties>
</file>