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4C0D6" w14:textId="580C6E96" w:rsidR="00EB26EB" w:rsidRPr="00BE0C9E" w:rsidRDefault="00EB26EB" w:rsidP="00132BAB">
      <w:pPr>
        <w:rPr>
          <w:rFonts w:ascii="Cambria" w:hAnsi="Cambria"/>
          <w:b/>
          <w:bCs/>
          <w:sz w:val="22"/>
          <w:szCs w:val="22"/>
        </w:rPr>
      </w:pPr>
    </w:p>
    <w:tbl>
      <w:tblPr>
        <w:tblStyle w:val="TableGrid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BE0C9E" w14:paraId="1FFFBB64" w14:textId="77777777" w:rsidTr="00EB26EB">
        <w:trPr>
          <w:trHeight w:val="1417"/>
        </w:trPr>
        <w:tc>
          <w:tcPr>
            <w:tcW w:w="4928" w:type="dxa"/>
          </w:tcPr>
          <w:p w14:paraId="71388083" w14:textId="16C5039F" w:rsidR="000C2162" w:rsidRPr="00BE0C9E" w:rsidRDefault="00F70FE7" w:rsidP="00EB26EB">
            <w:pPr>
              <w:rPr>
                <w:rFonts w:ascii="Cambria" w:hAnsi="Cambria" w:cs="Consolas"/>
                <w:sz w:val="22"/>
                <w:szCs w:val="22"/>
                <w:lang w:eastAsia="sk-SK"/>
              </w:rPr>
            </w:pPr>
            <w:r w:rsidRPr="00BE0C9E">
              <w:rPr>
                <w:rFonts w:ascii="Cambria" w:hAnsi="Cambria" w:cs="Times"/>
                <w:b/>
                <w:bCs/>
                <w:sz w:val="22"/>
                <w:szCs w:val="22"/>
                <w:u w:val="single"/>
              </w:rPr>
              <w:t>NÁRODNÁ BANKA SLOVENSKA</w:t>
            </w:r>
          </w:p>
          <w:p w14:paraId="7DA5F24F" w14:textId="2E1D6016" w:rsidR="00946CED" w:rsidRPr="00BE0C9E" w:rsidRDefault="00946CED" w:rsidP="00EB26EB">
            <w:pPr>
              <w:rPr>
                <w:rFonts w:ascii="Cambria" w:hAnsi="Cambria"/>
                <w:sz w:val="22"/>
                <w:szCs w:val="22"/>
              </w:rPr>
            </w:pPr>
            <w:r w:rsidRPr="00B56D40">
              <w:rPr>
                <w:rFonts w:ascii="Cambria" w:hAnsi="Cambria"/>
                <w:sz w:val="22"/>
                <w:szCs w:val="22"/>
              </w:rPr>
              <w:t xml:space="preserve">Číslo: </w:t>
            </w:r>
            <w:r w:rsidRPr="00B56D40">
              <w:rPr>
                <w:rFonts w:ascii="Cambria" w:hAnsi="Cambria"/>
                <w:sz w:val="22"/>
                <w:szCs w:val="22"/>
              </w:rPr>
              <w:tab/>
            </w:r>
            <w:r w:rsidRPr="00B56D40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B56D40">
              <w:rPr>
                <w:rFonts w:ascii="Cambria" w:hAnsi="Cambria"/>
                <w:sz w:val="22"/>
                <w:szCs w:val="22"/>
              </w:rPr>
              <w:instrText xml:space="preserve"> DOCPROPERTY  FSC#SKEDITIONSLOVLEX@103.510:rezortcislopredpis  \* MERGEFORMAT </w:instrText>
            </w:r>
            <w:r w:rsidRPr="00B56D40">
              <w:rPr>
                <w:rFonts w:ascii="Cambria" w:hAnsi="Cambria"/>
                <w:sz w:val="22"/>
                <w:szCs w:val="22"/>
              </w:rPr>
              <w:fldChar w:fldCharType="separate"/>
            </w:r>
            <w:r w:rsidRPr="00B56D40">
              <w:rPr>
                <w:rFonts w:ascii="Cambria" w:hAnsi="Cambria"/>
                <w:sz w:val="22"/>
                <w:szCs w:val="22"/>
              </w:rPr>
              <w:fldChar w:fldCharType="end"/>
            </w:r>
          </w:p>
          <w:p w14:paraId="264E2C21" w14:textId="77777777" w:rsidR="00F83F06" w:rsidRPr="00BE0C9E" w:rsidRDefault="00F83F06" w:rsidP="00EB26EB">
            <w:pPr>
              <w:jc w:val="center"/>
              <w:rPr>
                <w:rFonts w:ascii="Cambria" w:hAnsi="Cambria"/>
                <w:b/>
                <w:sz w:val="22"/>
                <w:szCs w:val="22"/>
                <w:u w:val="single"/>
              </w:rPr>
            </w:pPr>
          </w:p>
        </w:tc>
      </w:tr>
    </w:tbl>
    <w:p w14:paraId="6A407A3C" w14:textId="3992B7AB" w:rsidR="001E0CFD" w:rsidRPr="00BE0C9E" w:rsidRDefault="00EB26EB" w:rsidP="00EB26EB">
      <w:pPr>
        <w:pStyle w:val="BodyText2"/>
        <w:jc w:val="left"/>
        <w:rPr>
          <w:rFonts w:ascii="Cambria" w:hAnsi="Cambria"/>
          <w:sz w:val="22"/>
          <w:szCs w:val="22"/>
        </w:rPr>
      </w:pPr>
      <w:r w:rsidRPr="00BE0C9E">
        <w:rPr>
          <w:rFonts w:ascii="Cambria" w:hAnsi="Cambria"/>
          <w:sz w:val="22"/>
          <w:szCs w:val="22"/>
        </w:rPr>
        <w:br w:type="textWrapping" w:clear="all"/>
      </w:r>
      <w:r w:rsidR="002E6307" w:rsidRPr="00BE0C9E">
        <w:rPr>
          <w:rFonts w:ascii="Cambria" w:hAnsi="Cambria"/>
          <w:sz w:val="22"/>
          <w:szCs w:val="22"/>
        </w:rPr>
        <w:t>Materiál na medzirezortné pripom</w:t>
      </w:r>
      <w:r w:rsidR="00DA48B3" w:rsidRPr="00BE0C9E">
        <w:rPr>
          <w:rFonts w:ascii="Cambria" w:hAnsi="Cambria"/>
          <w:sz w:val="22"/>
          <w:szCs w:val="22"/>
        </w:rPr>
        <w:t>i</w:t>
      </w:r>
      <w:r w:rsidR="002E6307" w:rsidRPr="00BE0C9E">
        <w:rPr>
          <w:rFonts w:ascii="Cambria" w:hAnsi="Cambria"/>
          <w:sz w:val="22"/>
          <w:szCs w:val="22"/>
        </w:rPr>
        <w:t>enkové konanie</w:t>
      </w:r>
    </w:p>
    <w:p w14:paraId="54184237" w14:textId="77777777" w:rsidR="001E0CFD" w:rsidRPr="00BE0C9E" w:rsidRDefault="001E0CFD" w:rsidP="004D4B30">
      <w:pPr>
        <w:pStyle w:val="BodyText2"/>
        <w:jc w:val="both"/>
        <w:rPr>
          <w:rFonts w:asciiTheme="majorHAnsi" w:hAnsiTheme="majorHAnsi"/>
          <w:sz w:val="22"/>
          <w:szCs w:val="22"/>
        </w:rPr>
      </w:pPr>
    </w:p>
    <w:p w14:paraId="744C0072" w14:textId="77777777" w:rsidR="00CF1550" w:rsidRPr="00BE0C9E" w:rsidRDefault="00F70FE7" w:rsidP="004D4B30">
      <w:pPr>
        <w:pStyle w:val="BodyText2"/>
        <w:ind w:left="60"/>
        <w:rPr>
          <w:rFonts w:ascii="Cambria" w:hAnsi="Cambria" w:cs="Times"/>
          <w:b/>
          <w:bCs/>
        </w:rPr>
      </w:pPr>
      <w:r w:rsidRPr="00BE0C9E">
        <w:rPr>
          <w:rFonts w:ascii="Cambria" w:hAnsi="Cambria" w:cs="Times"/>
          <w:b/>
          <w:bCs/>
        </w:rPr>
        <w:t>Návrh</w:t>
      </w:r>
      <w:r w:rsidRPr="00BE0C9E">
        <w:rPr>
          <w:rFonts w:ascii="Cambria" w:hAnsi="Cambria" w:cs="Times"/>
          <w:b/>
          <w:bCs/>
        </w:rPr>
        <w:br/>
      </w:r>
      <w:r w:rsidRPr="00BE0C9E">
        <w:rPr>
          <w:rFonts w:ascii="Cambria" w:hAnsi="Cambria" w:cs="Times"/>
          <w:b/>
          <w:bCs/>
        </w:rPr>
        <w:br/>
        <w:t>Opatrenie</w:t>
      </w:r>
    </w:p>
    <w:p w14:paraId="7225ACF6" w14:textId="753587B7" w:rsidR="00FD1D8E" w:rsidRPr="00BE0C9E" w:rsidRDefault="00CF1550" w:rsidP="00FD1D8E">
      <w:pPr>
        <w:adjustRightInd w:val="0"/>
        <w:jc w:val="center"/>
        <w:rPr>
          <w:rFonts w:ascii="Cambria" w:hAnsi="Cambria" w:cs="Times"/>
          <w:b/>
          <w:bCs/>
          <w:sz w:val="24"/>
          <w:szCs w:val="24"/>
        </w:rPr>
      </w:pPr>
      <w:r w:rsidRPr="00BE0C9E">
        <w:rPr>
          <w:rFonts w:ascii="Cambria" w:hAnsi="Cambria" w:cs="Times"/>
          <w:b/>
          <w:bCs/>
          <w:sz w:val="24"/>
          <w:szCs w:val="24"/>
        </w:rPr>
        <w:t>Národnej banky Slovenska</w:t>
      </w:r>
      <w:r w:rsidR="00F70FE7" w:rsidRPr="00BE0C9E">
        <w:rPr>
          <w:rFonts w:ascii="Cambria" w:hAnsi="Cambria" w:cs="Times"/>
          <w:b/>
          <w:bCs/>
          <w:sz w:val="24"/>
          <w:szCs w:val="24"/>
        </w:rPr>
        <w:br/>
      </w:r>
      <w:r w:rsidR="00F70FE7" w:rsidRPr="00BE0C9E">
        <w:rPr>
          <w:rFonts w:ascii="Cambria" w:hAnsi="Cambria" w:cs="Times"/>
          <w:b/>
          <w:bCs/>
          <w:sz w:val="24"/>
          <w:szCs w:val="24"/>
        </w:rPr>
        <w:br/>
      </w:r>
      <w:r w:rsidR="006B3DB0" w:rsidRPr="00BE0C9E">
        <w:rPr>
          <w:rFonts w:ascii="Cambria" w:hAnsi="Cambria" w:cs="Times"/>
          <w:b/>
          <w:bCs/>
          <w:sz w:val="24"/>
          <w:szCs w:val="24"/>
        </w:rPr>
        <w:t>z ... 202</w:t>
      </w:r>
      <w:r w:rsidR="009C1B71" w:rsidRPr="00BE0C9E">
        <w:rPr>
          <w:rFonts w:ascii="Cambria" w:hAnsi="Cambria" w:cs="Times"/>
          <w:b/>
          <w:bCs/>
          <w:sz w:val="24"/>
          <w:szCs w:val="24"/>
        </w:rPr>
        <w:t>6</w:t>
      </w:r>
      <w:r w:rsidR="006B3DB0" w:rsidRPr="00BE0C9E">
        <w:rPr>
          <w:rFonts w:ascii="Cambria" w:hAnsi="Cambria" w:cs="Times"/>
          <w:b/>
          <w:bCs/>
          <w:sz w:val="24"/>
          <w:szCs w:val="24"/>
        </w:rPr>
        <w:t xml:space="preserve"> </w:t>
      </w:r>
      <w:r w:rsidRPr="00BE0C9E">
        <w:rPr>
          <w:rFonts w:ascii="Cambria" w:hAnsi="Cambria" w:cs="Times"/>
          <w:b/>
          <w:bCs/>
          <w:sz w:val="24"/>
          <w:szCs w:val="24"/>
        </w:rPr>
        <w:t>č. .../202</w:t>
      </w:r>
      <w:r w:rsidR="009C1B71" w:rsidRPr="00BE0C9E">
        <w:rPr>
          <w:rFonts w:ascii="Cambria" w:hAnsi="Cambria" w:cs="Times"/>
          <w:b/>
          <w:bCs/>
          <w:sz w:val="24"/>
          <w:szCs w:val="24"/>
        </w:rPr>
        <w:t>6</w:t>
      </w:r>
      <w:r w:rsidRPr="00BE0C9E">
        <w:rPr>
          <w:rFonts w:ascii="Cambria" w:hAnsi="Cambria" w:cs="Times"/>
          <w:b/>
          <w:bCs/>
          <w:sz w:val="24"/>
          <w:szCs w:val="24"/>
        </w:rPr>
        <w:t xml:space="preserve"> </w:t>
      </w:r>
    </w:p>
    <w:p w14:paraId="5C29EB68" w14:textId="0A926332" w:rsidR="00A21C86" w:rsidRPr="00BE0C9E" w:rsidRDefault="00F70FE7" w:rsidP="000A2B1F">
      <w:pPr>
        <w:widowControl w:val="0"/>
        <w:adjustRightInd w:val="0"/>
        <w:ind w:right="11"/>
        <w:jc w:val="center"/>
        <w:rPr>
          <w:rFonts w:ascii="Cambria" w:hAnsi="Cambria"/>
          <w:b/>
          <w:sz w:val="24"/>
          <w:szCs w:val="24"/>
        </w:rPr>
      </w:pPr>
      <w:r w:rsidRPr="00BE0C9E">
        <w:rPr>
          <w:rFonts w:ascii="Cambria" w:hAnsi="Cambria" w:cs="Times"/>
          <w:b/>
          <w:bCs/>
          <w:sz w:val="24"/>
          <w:szCs w:val="24"/>
        </w:rPr>
        <w:br/>
      </w:r>
      <w:r w:rsidR="00A21C86" w:rsidRPr="00BE0C9E">
        <w:rPr>
          <w:rFonts w:ascii="Cambria" w:hAnsi="Cambria"/>
          <w:b/>
          <w:sz w:val="24"/>
          <w:szCs w:val="24"/>
        </w:rPr>
        <w:t xml:space="preserve">ktorým sa mení a dopĺňa opatrenie Národnej banky Slovenska </w:t>
      </w:r>
      <w:r w:rsidR="000A2B1F" w:rsidRPr="00BE0C9E">
        <w:rPr>
          <w:rFonts w:ascii="Cambria" w:hAnsi="Cambria"/>
          <w:b/>
          <w:sz w:val="24"/>
          <w:szCs w:val="24"/>
        </w:rPr>
        <w:t>z 25. mája 2021 </w:t>
      </w:r>
      <w:r w:rsidR="00A21C86" w:rsidRPr="00BE0C9E">
        <w:rPr>
          <w:rFonts w:ascii="Cambria" w:hAnsi="Cambria"/>
          <w:b/>
          <w:sz w:val="24"/>
          <w:szCs w:val="24"/>
        </w:rPr>
        <w:t>č.</w:t>
      </w:r>
      <w:r w:rsidR="000A2B1F" w:rsidRPr="00BE0C9E">
        <w:rPr>
          <w:rFonts w:ascii="Cambria" w:hAnsi="Cambria"/>
          <w:b/>
          <w:sz w:val="24"/>
          <w:szCs w:val="24"/>
        </w:rPr>
        <w:t> </w:t>
      </w:r>
      <w:r w:rsidR="00A21C86" w:rsidRPr="00BE0C9E">
        <w:rPr>
          <w:rFonts w:ascii="Cambria" w:hAnsi="Cambria"/>
          <w:b/>
          <w:sz w:val="24"/>
          <w:szCs w:val="24"/>
        </w:rPr>
        <w:t xml:space="preserve">5/2021 o poplatkoch za úkony Národnej banky Slovenska </w:t>
      </w:r>
      <w:r w:rsidR="009C1B71" w:rsidRPr="00BE0C9E">
        <w:rPr>
          <w:rFonts w:ascii="Cambria" w:hAnsi="Cambria"/>
          <w:b/>
          <w:sz w:val="24"/>
          <w:szCs w:val="24"/>
        </w:rPr>
        <w:t>v</w:t>
      </w:r>
      <w:r w:rsidR="000A2B1F" w:rsidRPr="00BE0C9E">
        <w:rPr>
          <w:rFonts w:ascii="Cambria" w:hAnsi="Cambria"/>
          <w:b/>
          <w:sz w:val="24"/>
          <w:szCs w:val="24"/>
        </w:rPr>
        <w:t> </w:t>
      </w:r>
      <w:r w:rsidR="009C1B71" w:rsidRPr="00BE0C9E">
        <w:rPr>
          <w:rFonts w:ascii="Cambria" w:hAnsi="Cambria"/>
          <w:b/>
          <w:sz w:val="24"/>
          <w:szCs w:val="24"/>
        </w:rPr>
        <w:t>znení</w:t>
      </w:r>
      <w:r w:rsidR="000A2B1F" w:rsidRPr="00BE0C9E">
        <w:rPr>
          <w:rFonts w:ascii="Cambria" w:hAnsi="Cambria"/>
          <w:b/>
          <w:sz w:val="24"/>
          <w:szCs w:val="24"/>
        </w:rPr>
        <w:t> </w:t>
      </w:r>
      <w:r w:rsidR="009C1B71" w:rsidRPr="00BE0C9E">
        <w:rPr>
          <w:rFonts w:ascii="Cambria" w:hAnsi="Cambria"/>
          <w:b/>
          <w:sz w:val="24"/>
          <w:szCs w:val="24"/>
        </w:rPr>
        <w:t>opatrenia</w:t>
      </w:r>
      <w:r w:rsidR="000A2B1F" w:rsidRPr="00BE0C9E">
        <w:rPr>
          <w:rFonts w:ascii="Cambria" w:hAnsi="Cambria"/>
          <w:b/>
          <w:sz w:val="24"/>
          <w:szCs w:val="24"/>
        </w:rPr>
        <w:t xml:space="preserve"> z 3. decembra 2024 </w:t>
      </w:r>
      <w:r w:rsidR="009C1B71" w:rsidRPr="00BE0C9E">
        <w:rPr>
          <w:rFonts w:ascii="Cambria" w:hAnsi="Cambria"/>
          <w:b/>
          <w:sz w:val="24"/>
          <w:szCs w:val="24"/>
        </w:rPr>
        <w:t>č. 8/2024</w:t>
      </w:r>
    </w:p>
    <w:p w14:paraId="5A6EA7CB" w14:textId="4F38CCE5" w:rsidR="00FD1D8E" w:rsidRPr="00BE0C9E" w:rsidRDefault="00FD1D8E" w:rsidP="00A21C86">
      <w:pPr>
        <w:adjustRightInd w:val="0"/>
        <w:jc w:val="center"/>
        <w:rPr>
          <w:rFonts w:ascii="Verdana" w:eastAsia="Calibri" w:hAnsi="Verdana"/>
          <w:b/>
          <w:bCs/>
        </w:rPr>
      </w:pPr>
    </w:p>
    <w:p w14:paraId="2218476A" w14:textId="6227F96D" w:rsidR="0012409A" w:rsidRPr="00BE0C9E" w:rsidRDefault="0012409A" w:rsidP="004D4B30">
      <w:pPr>
        <w:pStyle w:val="BodyText2"/>
        <w:ind w:left="60"/>
        <w:rPr>
          <w:rFonts w:ascii="Cambria" w:hAnsi="Cambria"/>
          <w:b/>
        </w:rPr>
      </w:pPr>
    </w:p>
    <w:p w14:paraId="4BA88F2D" w14:textId="20CF4305" w:rsidR="001E0CFD" w:rsidRPr="00BE0C9E" w:rsidRDefault="001E0CFD" w:rsidP="004D4B30">
      <w:pPr>
        <w:pStyle w:val="BodyText2"/>
        <w:rPr>
          <w:rFonts w:asciiTheme="majorHAnsi" w:hAnsiTheme="majorHAnsi"/>
          <w:sz w:val="22"/>
          <w:szCs w:val="22"/>
        </w:rPr>
      </w:pPr>
    </w:p>
    <w:p w14:paraId="4A4ACBCA" w14:textId="77777777" w:rsidR="00CF1550" w:rsidRPr="00BE0C9E" w:rsidRDefault="00CF1550" w:rsidP="004D4B30">
      <w:pPr>
        <w:pStyle w:val="BodyText2"/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990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5149"/>
      </w:tblGrid>
      <w:tr w:rsidR="00A56B40" w:rsidRPr="00BE0C9E" w14:paraId="4F71F17C" w14:textId="77777777" w:rsidTr="008271B6">
        <w:trPr>
          <w:trHeight w:val="307"/>
        </w:trPr>
        <w:tc>
          <w:tcPr>
            <w:tcW w:w="4760" w:type="dxa"/>
          </w:tcPr>
          <w:p w14:paraId="16353520" w14:textId="3BFE1C2B" w:rsidR="00A56B40" w:rsidRPr="00BE0C9E" w:rsidRDefault="00A56B40" w:rsidP="00A56B40">
            <w:pPr>
              <w:pStyle w:val="BodyText2"/>
              <w:jc w:val="left"/>
              <w:rPr>
                <w:rFonts w:ascii="Cambria" w:hAnsi="Cambria"/>
                <w:sz w:val="22"/>
                <w:szCs w:val="22"/>
              </w:rPr>
            </w:pPr>
            <w:r w:rsidRPr="00BE0C9E">
              <w:rPr>
                <w:rFonts w:ascii="Cambria" w:hAnsi="Cambria"/>
                <w:sz w:val="22"/>
                <w:szCs w:val="22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BE0C9E" w:rsidRDefault="00A56B40" w:rsidP="00A56B40">
            <w:pPr>
              <w:pStyle w:val="BodyText2"/>
              <w:jc w:val="left"/>
              <w:rPr>
                <w:rFonts w:ascii="Cambria" w:hAnsi="Cambria"/>
                <w:sz w:val="22"/>
                <w:szCs w:val="22"/>
              </w:rPr>
            </w:pPr>
            <w:r w:rsidRPr="00BE0C9E">
              <w:rPr>
                <w:rFonts w:ascii="Cambria" w:hAnsi="Cambria"/>
                <w:sz w:val="22"/>
                <w:szCs w:val="22"/>
                <w:u w:val="single"/>
              </w:rPr>
              <w:t>Obsah materiálu:</w:t>
            </w:r>
          </w:p>
        </w:tc>
      </w:tr>
      <w:tr w:rsidR="00A56B40" w:rsidRPr="00BE0C9E" w14:paraId="55036A4D" w14:textId="77777777" w:rsidTr="008271B6">
        <w:trPr>
          <w:trHeight w:val="4549"/>
        </w:trPr>
        <w:tc>
          <w:tcPr>
            <w:tcW w:w="4760" w:type="dxa"/>
          </w:tcPr>
          <w:p w14:paraId="6149F178" w14:textId="62AA8052" w:rsidR="00A56B40" w:rsidRPr="00BE0C9E" w:rsidRDefault="00F70FE7" w:rsidP="00F70FE7">
            <w:pPr>
              <w:pStyle w:val="BodyText2"/>
              <w:ind w:right="885"/>
              <w:jc w:val="left"/>
              <w:rPr>
                <w:rFonts w:ascii="Cambria" w:hAnsi="Cambria"/>
                <w:sz w:val="22"/>
                <w:szCs w:val="22"/>
              </w:rPr>
            </w:pPr>
            <w:r w:rsidRPr="00BE0C9E">
              <w:rPr>
                <w:rFonts w:ascii="Cambria" w:hAnsi="Cambria" w:cs="Times"/>
                <w:sz w:val="22"/>
                <w:szCs w:val="22"/>
              </w:rPr>
              <w:t>Iniciatívny materiál</w:t>
            </w:r>
          </w:p>
        </w:tc>
        <w:tc>
          <w:tcPr>
            <w:tcW w:w="5149" w:type="dxa"/>
          </w:tcPr>
          <w:p w14:paraId="7D7348F3" w14:textId="4C9D4619" w:rsidR="00F70FE7" w:rsidRPr="00BE0C9E" w:rsidRDefault="00F70FE7" w:rsidP="00F70FE7">
            <w:pPr>
              <w:pStyle w:val="BodyText2"/>
              <w:jc w:val="both"/>
              <w:rPr>
                <w:rFonts w:ascii="Cambria" w:hAnsi="Cambria"/>
                <w:sz w:val="22"/>
                <w:szCs w:val="22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3"/>
            </w:tblGrid>
            <w:tr w:rsidR="00F70FE7" w:rsidRPr="00BE0C9E" w14:paraId="3714455A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8C653A" w14:textId="6B4CC138" w:rsidR="00F70FE7" w:rsidRPr="00BE0C9E" w:rsidRDefault="00F70F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1.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="00CF1550" w:rsidRPr="00BE0C9E">
                    <w:rPr>
                      <w:rFonts w:ascii="Cambria" w:hAnsi="Cambria"/>
                      <w:sz w:val="22"/>
                      <w:szCs w:val="22"/>
                    </w:rPr>
                    <w:t>predkladacia správa</w:t>
                  </w:r>
                </w:p>
              </w:tc>
            </w:tr>
            <w:tr w:rsidR="00F70FE7" w:rsidRPr="00BE0C9E" w14:paraId="0B71BA0B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B55B06" w14:textId="7A9D71BC" w:rsidR="00F70FE7" w:rsidRPr="00BE0C9E" w:rsidRDefault="00F70F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2.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="00CF1550" w:rsidRPr="00BE0C9E">
                    <w:rPr>
                      <w:rFonts w:ascii="Cambria" w:hAnsi="Cambria"/>
                      <w:sz w:val="22"/>
                      <w:szCs w:val="22"/>
                    </w:rPr>
                    <w:t>vlastný materiál</w:t>
                  </w:r>
                </w:p>
              </w:tc>
            </w:tr>
            <w:tr w:rsidR="00F70FE7" w:rsidRPr="00BE0C9E" w14:paraId="48BDF76A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4FAE8B4" w14:textId="052124D3" w:rsidR="00F70FE7" w:rsidRPr="00BE0C9E" w:rsidRDefault="00F70F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3.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dôvodová správa - všeobecná časť</w:t>
                  </w:r>
                </w:p>
              </w:tc>
            </w:tr>
            <w:tr w:rsidR="00F70FE7" w:rsidRPr="00BE0C9E" w14:paraId="5DBDC576" w14:textId="77777777" w:rsidTr="009974E7">
              <w:trPr>
                <w:divId w:val="2050763766"/>
                <w:trHeight w:val="18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C975ED" w14:textId="638E58F0" w:rsidR="00F70F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4.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dôvodová správa - osobitná časť</w:t>
                  </w:r>
                </w:p>
              </w:tc>
            </w:tr>
            <w:tr w:rsidR="00F70FE7" w:rsidRPr="00BE0C9E" w14:paraId="2D0B247D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4D1AD4" w14:textId="66F6E86B" w:rsidR="00F70F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5</w:t>
                  </w:r>
                  <w:r w:rsidR="00F70FE7"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="00CF1550" w:rsidRPr="00BE0C9E">
                    <w:rPr>
                      <w:rFonts w:ascii="Cambria" w:hAnsi="Cambria"/>
                      <w:sz w:val="22"/>
                      <w:szCs w:val="22"/>
                    </w:rPr>
                    <w:t>doložka zlučiteľnosti</w:t>
                  </w:r>
                </w:p>
              </w:tc>
            </w:tr>
            <w:tr w:rsidR="00F70FE7" w:rsidRPr="00BE0C9E" w14:paraId="156BD72E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839159" w14:textId="293F4D07" w:rsidR="00F70F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6</w:t>
                  </w:r>
                  <w:r w:rsidR="00F70FE7"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="00CF1550" w:rsidRPr="00BE0C9E">
                    <w:rPr>
                      <w:rFonts w:ascii="Cambria" w:hAnsi="Cambria"/>
                      <w:sz w:val="22"/>
                      <w:szCs w:val="22"/>
                    </w:rPr>
                    <w:t>doložka vybraných vplyvov</w:t>
                  </w:r>
                </w:p>
              </w:tc>
            </w:tr>
            <w:tr w:rsidR="00F70FE7" w:rsidRPr="00BE0C9E" w14:paraId="33A1992B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2ABD00" w14:textId="7C7ADE8E" w:rsidR="00F70F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7</w:t>
                  </w:r>
                  <w:r w:rsidR="00F70FE7"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analýza vplyvov na podnikateľské prostredie</w:t>
                  </w:r>
                </w:p>
              </w:tc>
            </w:tr>
            <w:tr w:rsidR="009974E7" w:rsidRPr="00BE0C9E" w14:paraId="4045E2FB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4306956" w14:textId="10B8E5B3" w:rsidR="009974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8.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správa o účasti verejnosti</w:t>
                  </w:r>
                </w:p>
              </w:tc>
            </w:tr>
            <w:tr w:rsidR="009974E7" w:rsidRPr="00BE0C9E" w14:paraId="0E32D7CE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83BD342" w14:textId="2050BE19" w:rsidR="009974E7" w:rsidRPr="00BE0C9E" w:rsidRDefault="009974E7" w:rsidP="008271B6">
                  <w:pPr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9.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oznámenie o vydaní opatrenia</w:t>
                  </w:r>
                </w:p>
                <w:p w14:paraId="70FC3687" w14:textId="77777777" w:rsidR="00A21C86" w:rsidRDefault="00A21C86" w:rsidP="004B43AF">
                  <w:pPr>
                    <w:spacing w:before="70"/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 w:rsidRPr="00BE0C9E">
                    <w:rPr>
                      <w:rFonts w:ascii="Cambria" w:hAnsi="Cambria"/>
                      <w:sz w:val="22"/>
                      <w:szCs w:val="22"/>
                    </w:rPr>
                    <w:t>10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8271B6" w:rsidRPr="00BE0C9E"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="008040CA" w:rsidRPr="00BE0C9E">
                    <w:rPr>
                      <w:rFonts w:ascii="Cambria" w:hAnsi="Cambria"/>
                      <w:sz w:val="22"/>
                      <w:szCs w:val="22"/>
                    </w:rPr>
                    <w:t>informatívne konsolidované znenie opatrenia</w:t>
                  </w:r>
                </w:p>
                <w:p w14:paraId="7AC90E34" w14:textId="1241865F" w:rsidR="006815EB" w:rsidRPr="00BE0C9E" w:rsidRDefault="006815EB" w:rsidP="004B43AF">
                  <w:pPr>
                    <w:spacing w:before="70"/>
                    <w:ind w:left="408" w:hanging="408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 xml:space="preserve">11.  </w: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tab/>
                  </w:r>
                  <w:r w:rsidRPr="002D1898">
                    <w:rPr>
                      <w:rFonts w:ascii="Cambria" w:hAnsi="Cambria"/>
                      <w:sz w:val="22"/>
                      <w:szCs w:val="22"/>
                    </w:rPr>
                    <w:t>novelizované opatrenie so zapracovanými novelami</w:t>
                  </w:r>
                </w:p>
              </w:tc>
            </w:tr>
            <w:tr w:rsidR="008271B6" w:rsidRPr="00BE0C9E" w14:paraId="18540B93" w14:textId="77777777">
              <w:trPr>
                <w:divId w:val="2050763766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D2BE744" w14:textId="77777777" w:rsidR="008271B6" w:rsidRPr="00BE0C9E" w:rsidRDefault="008271B6" w:rsidP="006815EB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14:paraId="6CC1771C" w14:textId="48971E39" w:rsidR="00A56B40" w:rsidRPr="00BE0C9E" w:rsidRDefault="00A56B40" w:rsidP="00F70FE7">
            <w:pPr>
              <w:pStyle w:val="BodyText2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587D3055" w14:textId="77777777" w:rsidR="001E0CFD" w:rsidRPr="00BE0C9E" w:rsidRDefault="001E0CFD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  <w:r w:rsidRPr="00BE0C9E">
        <w:rPr>
          <w:rFonts w:asciiTheme="majorHAnsi" w:hAnsiTheme="majorHAnsi"/>
          <w:b/>
          <w:bCs/>
          <w:sz w:val="22"/>
          <w:szCs w:val="22"/>
          <w:u w:val="single"/>
        </w:rPr>
        <w:t>Predkladá:</w:t>
      </w:r>
    </w:p>
    <w:p w14:paraId="4AB43213" w14:textId="77777777" w:rsidR="00CF1550" w:rsidRPr="00BE0C9E" w:rsidRDefault="009D7004" w:rsidP="006C4BE9">
      <w:pPr>
        <w:rPr>
          <w:rFonts w:asciiTheme="majorHAnsi" w:hAnsiTheme="majorHAnsi"/>
          <w:sz w:val="22"/>
          <w:szCs w:val="22"/>
        </w:rPr>
      </w:pPr>
      <w:r w:rsidRPr="00BE0C9E">
        <w:rPr>
          <w:rFonts w:asciiTheme="majorHAnsi" w:hAnsiTheme="majorHAnsi"/>
          <w:sz w:val="22"/>
          <w:szCs w:val="22"/>
        </w:rPr>
        <w:fldChar w:fldCharType="begin"/>
      </w:r>
      <w:r w:rsidRPr="00BE0C9E">
        <w:rPr>
          <w:rFonts w:asciiTheme="majorHAnsi" w:hAnsiTheme="majorHAnsi"/>
          <w:sz w:val="22"/>
          <w:szCs w:val="22"/>
        </w:rPr>
        <w:instrText xml:space="preserve"> DOCPROPERTY  FSC#SKEDITIONSLOVLEX@103.510:</w:instrText>
      </w:r>
      <w:r w:rsidR="0057706E" w:rsidRPr="00BE0C9E">
        <w:rPr>
          <w:rFonts w:asciiTheme="majorHAnsi" w:hAnsiTheme="majorHAnsi"/>
          <w:sz w:val="22"/>
          <w:szCs w:val="22"/>
        </w:rPr>
        <w:instrText>predkladateliaObalSD</w:instrText>
      </w:r>
      <w:r w:rsidRPr="00BE0C9E">
        <w:rPr>
          <w:rFonts w:asciiTheme="majorHAnsi" w:hAnsiTheme="majorHAnsi"/>
          <w:sz w:val="22"/>
          <w:szCs w:val="22"/>
        </w:rPr>
        <w:instrText xml:space="preserve">\* MERGEFORMAT </w:instrText>
      </w:r>
      <w:r w:rsidRPr="00BE0C9E">
        <w:rPr>
          <w:rFonts w:asciiTheme="majorHAnsi" w:hAnsiTheme="majorHAnsi"/>
          <w:sz w:val="22"/>
          <w:szCs w:val="22"/>
        </w:rPr>
        <w:fldChar w:fldCharType="separate"/>
      </w:r>
      <w:r w:rsidR="00CF1550" w:rsidRPr="00BE0C9E">
        <w:rPr>
          <w:rFonts w:asciiTheme="majorHAnsi" w:hAnsiTheme="majorHAnsi"/>
          <w:sz w:val="22"/>
          <w:szCs w:val="22"/>
        </w:rPr>
        <w:t>Ing. Peter Kažimír</w:t>
      </w:r>
    </w:p>
    <w:p w14:paraId="284604DA" w14:textId="7DF1D758" w:rsidR="009D7004" w:rsidRPr="00BE0C9E" w:rsidRDefault="00CF1550" w:rsidP="006C4BE9">
      <w:pPr>
        <w:rPr>
          <w:rFonts w:asciiTheme="majorHAnsi" w:hAnsiTheme="majorHAnsi"/>
          <w:sz w:val="22"/>
          <w:szCs w:val="22"/>
        </w:rPr>
      </w:pPr>
      <w:r w:rsidRPr="00BE0C9E">
        <w:rPr>
          <w:rFonts w:asciiTheme="majorHAnsi" w:hAnsiTheme="majorHAnsi"/>
          <w:sz w:val="22"/>
          <w:szCs w:val="22"/>
        </w:rPr>
        <w:t>guvernér NBS</w:t>
      </w:r>
      <w:r w:rsidR="009D7004" w:rsidRPr="00BE0C9E">
        <w:rPr>
          <w:rFonts w:asciiTheme="majorHAnsi" w:hAnsiTheme="majorHAnsi"/>
          <w:sz w:val="22"/>
          <w:szCs w:val="22"/>
        </w:rPr>
        <w:fldChar w:fldCharType="end"/>
      </w:r>
    </w:p>
    <w:sectPr w:rsidR="009D7004" w:rsidRPr="00BE0C9E">
      <w:footerReference w:type="default" r:id="rId10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09E0A" w14:textId="77777777" w:rsidR="00CE0CAA" w:rsidRDefault="00CE0CAA" w:rsidP="00AF1D48">
      <w:r>
        <w:separator/>
      </w:r>
    </w:p>
  </w:endnote>
  <w:endnote w:type="continuationSeparator" w:id="0">
    <w:p w14:paraId="7FDA19A9" w14:textId="77777777" w:rsidR="00CE0CAA" w:rsidRDefault="00CE0CAA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DA586" w14:textId="629DE6CC" w:rsidR="00AF1D48" w:rsidRPr="00CF1550" w:rsidRDefault="00AF1D48" w:rsidP="00AF1D48">
    <w:pPr>
      <w:pStyle w:val="BodyText2"/>
      <w:ind w:left="60"/>
      <w:jc w:val="both"/>
      <w:rPr>
        <w:rFonts w:ascii="Cambria" w:hAnsi="Cambria"/>
        <w:sz w:val="22"/>
        <w:szCs w:val="22"/>
      </w:rPr>
    </w:pPr>
    <w:r w:rsidRPr="00CF1550">
      <w:rPr>
        <w:rFonts w:ascii="Cambria" w:hAnsi="Cambria"/>
        <w:sz w:val="22"/>
        <w:szCs w:val="22"/>
      </w:rPr>
      <w:ptab w:relativeTo="margin" w:alignment="center" w:leader="none"/>
    </w:r>
    <w:r w:rsidRPr="00CF1550">
      <w:rPr>
        <w:rFonts w:ascii="Cambria" w:hAnsi="Cambria"/>
        <w:sz w:val="22"/>
        <w:szCs w:val="22"/>
      </w:rPr>
      <w:t>Bratislava</w:t>
    </w:r>
    <w:r w:rsidR="00132BAB">
      <w:rPr>
        <w:rFonts w:ascii="Cambria" w:hAnsi="Cambria"/>
        <w:sz w:val="22"/>
        <w:szCs w:val="22"/>
      </w:rPr>
      <w:t>,</w:t>
    </w:r>
    <w:r w:rsidR="0069637B" w:rsidRPr="00CF1550">
      <w:rPr>
        <w:rFonts w:ascii="Cambria" w:hAnsi="Cambria"/>
        <w:sz w:val="22"/>
        <w:szCs w:val="22"/>
      </w:rPr>
      <w:t xml:space="preserve"> </w:t>
    </w:r>
    <w:r w:rsidRPr="002D1898">
      <w:rPr>
        <w:rFonts w:ascii="Cambria" w:hAnsi="Cambria"/>
        <w:sz w:val="22"/>
        <w:szCs w:val="22"/>
      </w:rPr>
      <w:fldChar w:fldCharType="begin"/>
    </w:r>
    <w:r w:rsidRPr="002D1898">
      <w:rPr>
        <w:rFonts w:ascii="Cambria" w:hAnsi="Cambria"/>
        <w:sz w:val="22"/>
        <w:szCs w:val="22"/>
      </w:rPr>
      <w:instrText xml:space="preserve"> </w:instrText>
    </w:r>
    <w:r w:rsidR="00213F9D" w:rsidRPr="002D1898">
      <w:rPr>
        <w:rFonts w:ascii="Cambria" w:hAnsi="Cambria"/>
        <w:sz w:val="22"/>
        <w:szCs w:val="22"/>
      </w:rPr>
      <w:instrText>DOCPROPERTY  FSC#SKEDITIONSLOVLEX@103.510:vytvorenedna</w:instrText>
    </w:r>
    <w:r w:rsidRPr="002D1898">
      <w:rPr>
        <w:rFonts w:ascii="Cambria" w:hAnsi="Cambria"/>
        <w:sz w:val="22"/>
        <w:szCs w:val="22"/>
      </w:rPr>
      <w:instrText xml:space="preserve"> </w:instrText>
    </w:r>
    <w:r w:rsidRPr="002D1898">
      <w:rPr>
        <w:rFonts w:ascii="Cambria" w:hAnsi="Cambria"/>
        <w:sz w:val="22"/>
        <w:szCs w:val="22"/>
      </w:rPr>
      <w:fldChar w:fldCharType="separate"/>
    </w:r>
    <w:r w:rsidR="006815EB" w:rsidRPr="002D1898">
      <w:rPr>
        <w:rFonts w:ascii="Cambria" w:hAnsi="Cambria"/>
        <w:sz w:val="22"/>
        <w:szCs w:val="22"/>
      </w:rPr>
      <w:t>október</w:t>
    </w:r>
    <w:r w:rsidR="009C1B71" w:rsidRPr="002D1898">
      <w:rPr>
        <w:rFonts w:ascii="Cambria" w:hAnsi="Cambria"/>
        <w:sz w:val="22"/>
        <w:szCs w:val="22"/>
      </w:rPr>
      <w:t xml:space="preserve"> </w:t>
    </w:r>
    <w:r w:rsidR="00CF1550" w:rsidRPr="002D1898">
      <w:rPr>
        <w:rFonts w:ascii="Cambria" w:hAnsi="Cambria"/>
        <w:sz w:val="22"/>
        <w:szCs w:val="22"/>
      </w:rPr>
      <w:t>202</w:t>
    </w:r>
    <w:r w:rsidRPr="002D1898">
      <w:rPr>
        <w:rFonts w:ascii="Cambria" w:hAnsi="Cambria"/>
        <w:sz w:val="22"/>
        <w:szCs w:val="22"/>
      </w:rPr>
      <w:fldChar w:fldCharType="end"/>
    </w:r>
    <w:r w:rsidR="009C1B71">
      <w:rPr>
        <w:rFonts w:ascii="Cambria" w:hAnsi="Cambria"/>
        <w:sz w:val="22"/>
        <w:szCs w:val="22"/>
      </w:rPr>
      <w:t>6</w:t>
    </w:r>
  </w:p>
  <w:p w14:paraId="3706BA5D" w14:textId="77777777" w:rsidR="00AF1D48" w:rsidRDefault="00AF1D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77857" w14:textId="77777777" w:rsidR="00CE0CAA" w:rsidRDefault="00CE0CAA" w:rsidP="00AF1D48">
      <w:r>
        <w:separator/>
      </w:r>
    </w:p>
  </w:footnote>
  <w:footnote w:type="continuationSeparator" w:id="0">
    <w:p w14:paraId="2B9E4D70" w14:textId="77777777" w:rsidR="00CE0CAA" w:rsidRDefault="00CE0CAA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36E2E"/>
    <w:rsid w:val="00061CCF"/>
    <w:rsid w:val="00092758"/>
    <w:rsid w:val="000A2B1F"/>
    <w:rsid w:val="000C2162"/>
    <w:rsid w:val="000C6688"/>
    <w:rsid w:val="000D1334"/>
    <w:rsid w:val="000D32A2"/>
    <w:rsid w:val="000E6767"/>
    <w:rsid w:val="000F344B"/>
    <w:rsid w:val="001072D5"/>
    <w:rsid w:val="001125AC"/>
    <w:rsid w:val="00115D12"/>
    <w:rsid w:val="00122CD3"/>
    <w:rsid w:val="0012409A"/>
    <w:rsid w:val="00132BAB"/>
    <w:rsid w:val="00160088"/>
    <w:rsid w:val="001630FB"/>
    <w:rsid w:val="00163BB0"/>
    <w:rsid w:val="001666D7"/>
    <w:rsid w:val="00170FAA"/>
    <w:rsid w:val="001725A4"/>
    <w:rsid w:val="00194157"/>
    <w:rsid w:val="001B7FE0"/>
    <w:rsid w:val="001C66E6"/>
    <w:rsid w:val="001D79DA"/>
    <w:rsid w:val="001E0CFD"/>
    <w:rsid w:val="001F674F"/>
    <w:rsid w:val="00213F9D"/>
    <w:rsid w:val="00220306"/>
    <w:rsid w:val="00227494"/>
    <w:rsid w:val="00236E26"/>
    <w:rsid w:val="00242294"/>
    <w:rsid w:val="00255324"/>
    <w:rsid w:val="002924C3"/>
    <w:rsid w:val="0029466C"/>
    <w:rsid w:val="002B032A"/>
    <w:rsid w:val="002B0B5D"/>
    <w:rsid w:val="002B45DC"/>
    <w:rsid w:val="002B6B6C"/>
    <w:rsid w:val="002D1898"/>
    <w:rsid w:val="002D4123"/>
    <w:rsid w:val="002E6307"/>
    <w:rsid w:val="002F185A"/>
    <w:rsid w:val="00307FC9"/>
    <w:rsid w:val="003168C9"/>
    <w:rsid w:val="0033171B"/>
    <w:rsid w:val="0038262A"/>
    <w:rsid w:val="00397B5A"/>
    <w:rsid w:val="003B2E79"/>
    <w:rsid w:val="003D115D"/>
    <w:rsid w:val="00414C1D"/>
    <w:rsid w:val="00424324"/>
    <w:rsid w:val="00427B3B"/>
    <w:rsid w:val="00432107"/>
    <w:rsid w:val="0044273A"/>
    <w:rsid w:val="00466CAB"/>
    <w:rsid w:val="004A0CFC"/>
    <w:rsid w:val="004A1369"/>
    <w:rsid w:val="004B07BA"/>
    <w:rsid w:val="004B43AF"/>
    <w:rsid w:val="004D3726"/>
    <w:rsid w:val="004D4B30"/>
    <w:rsid w:val="004F15FB"/>
    <w:rsid w:val="004F1AC2"/>
    <w:rsid w:val="00526A1F"/>
    <w:rsid w:val="005426CC"/>
    <w:rsid w:val="0055330D"/>
    <w:rsid w:val="0056032D"/>
    <w:rsid w:val="00575A51"/>
    <w:rsid w:val="0057706E"/>
    <w:rsid w:val="005A2E35"/>
    <w:rsid w:val="005A45F1"/>
    <w:rsid w:val="005B1217"/>
    <w:rsid w:val="005B7AB7"/>
    <w:rsid w:val="005B7FF4"/>
    <w:rsid w:val="005D335A"/>
    <w:rsid w:val="005E67A2"/>
    <w:rsid w:val="005F4381"/>
    <w:rsid w:val="00601389"/>
    <w:rsid w:val="00623BAD"/>
    <w:rsid w:val="00627C51"/>
    <w:rsid w:val="00671F01"/>
    <w:rsid w:val="00676DCD"/>
    <w:rsid w:val="006815EB"/>
    <w:rsid w:val="00685081"/>
    <w:rsid w:val="006921AC"/>
    <w:rsid w:val="0069637B"/>
    <w:rsid w:val="006B36F8"/>
    <w:rsid w:val="006B3DB0"/>
    <w:rsid w:val="006B4F2E"/>
    <w:rsid w:val="006B6372"/>
    <w:rsid w:val="006C4BE9"/>
    <w:rsid w:val="006D7231"/>
    <w:rsid w:val="006E7967"/>
    <w:rsid w:val="00714FA1"/>
    <w:rsid w:val="00747349"/>
    <w:rsid w:val="00747BC1"/>
    <w:rsid w:val="0075754B"/>
    <w:rsid w:val="00766240"/>
    <w:rsid w:val="0078171E"/>
    <w:rsid w:val="0078451E"/>
    <w:rsid w:val="007902B4"/>
    <w:rsid w:val="00790AD2"/>
    <w:rsid w:val="0079512E"/>
    <w:rsid w:val="0079566E"/>
    <w:rsid w:val="007A0D94"/>
    <w:rsid w:val="007A6D98"/>
    <w:rsid w:val="007C2FB0"/>
    <w:rsid w:val="007E62E2"/>
    <w:rsid w:val="008040CA"/>
    <w:rsid w:val="008073E3"/>
    <w:rsid w:val="00821793"/>
    <w:rsid w:val="008271B6"/>
    <w:rsid w:val="00834B42"/>
    <w:rsid w:val="00855D5A"/>
    <w:rsid w:val="00861CC6"/>
    <w:rsid w:val="00862104"/>
    <w:rsid w:val="00887B9C"/>
    <w:rsid w:val="008A4A21"/>
    <w:rsid w:val="008A6621"/>
    <w:rsid w:val="008E0C7A"/>
    <w:rsid w:val="008E4F14"/>
    <w:rsid w:val="00907265"/>
    <w:rsid w:val="00922E66"/>
    <w:rsid w:val="00946CED"/>
    <w:rsid w:val="00975454"/>
    <w:rsid w:val="009974E7"/>
    <w:rsid w:val="009C1B71"/>
    <w:rsid w:val="009C6528"/>
    <w:rsid w:val="009D7004"/>
    <w:rsid w:val="009E6F05"/>
    <w:rsid w:val="009E7AFC"/>
    <w:rsid w:val="009E7FEF"/>
    <w:rsid w:val="00A216CD"/>
    <w:rsid w:val="00A21C86"/>
    <w:rsid w:val="00A27B5F"/>
    <w:rsid w:val="00A56B40"/>
    <w:rsid w:val="00A71802"/>
    <w:rsid w:val="00AA0C58"/>
    <w:rsid w:val="00AF1D48"/>
    <w:rsid w:val="00B17B60"/>
    <w:rsid w:val="00B37B37"/>
    <w:rsid w:val="00B42E84"/>
    <w:rsid w:val="00B463AB"/>
    <w:rsid w:val="00B56D40"/>
    <w:rsid w:val="00B61867"/>
    <w:rsid w:val="00BC2EE5"/>
    <w:rsid w:val="00BE0C9E"/>
    <w:rsid w:val="00BE174E"/>
    <w:rsid w:val="00BE43B4"/>
    <w:rsid w:val="00C1127B"/>
    <w:rsid w:val="00C632CF"/>
    <w:rsid w:val="00C656C8"/>
    <w:rsid w:val="00C86CAD"/>
    <w:rsid w:val="00CC25B0"/>
    <w:rsid w:val="00CE0C18"/>
    <w:rsid w:val="00CE0CAA"/>
    <w:rsid w:val="00CF1550"/>
    <w:rsid w:val="00D00C1F"/>
    <w:rsid w:val="00D02444"/>
    <w:rsid w:val="00D033CA"/>
    <w:rsid w:val="00D20ACF"/>
    <w:rsid w:val="00D43A10"/>
    <w:rsid w:val="00D54C03"/>
    <w:rsid w:val="00D569DF"/>
    <w:rsid w:val="00DA1D25"/>
    <w:rsid w:val="00DA48B3"/>
    <w:rsid w:val="00DC45A2"/>
    <w:rsid w:val="00DF167A"/>
    <w:rsid w:val="00E11820"/>
    <w:rsid w:val="00E335AA"/>
    <w:rsid w:val="00E37D9C"/>
    <w:rsid w:val="00E74698"/>
    <w:rsid w:val="00E84638"/>
    <w:rsid w:val="00EA7A62"/>
    <w:rsid w:val="00EB26EB"/>
    <w:rsid w:val="00EC004C"/>
    <w:rsid w:val="00EC6B42"/>
    <w:rsid w:val="00ED2C4A"/>
    <w:rsid w:val="00EE4DDD"/>
    <w:rsid w:val="00F23D08"/>
    <w:rsid w:val="00F552C7"/>
    <w:rsid w:val="00F60102"/>
    <w:rsid w:val="00F70FE7"/>
    <w:rsid w:val="00F83F06"/>
    <w:rsid w:val="00FB6E6F"/>
    <w:rsid w:val="00FD1D8E"/>
    <w:rsid w:val="00FD53A6"/>
    <w:rsid w:val="00FE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eader">
    <w:name w:val="header"/>
    <w:basedOn w:val="Normal"/>
    <w:link w:val="Head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TableGrid">
    <w:name w:val="Table Grid"/>
    <w:basedOn w:val="TableNormal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271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71B6"/>
  </w:style>
  <w:style w:type="character" w:customStyle="1" w:styleId="CommentTextChar">
    <w:name w:val="Comment Text Char"/>
    <w:basedOn w:val="DefaultParagraphFont"/>
    <w:link w:val="CommentText"/>
    <w:uiPriority w:val="99"/>
    <w:rsid w:val="008271B6"/>
    <w:rPr>
      <w:rFonts w:ascii="Times New Roman" w:hAnsi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1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1B6"/>
    <w:rPr>
      <w:rFonts w:ascii="Times New Roman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9221E9DA537346955C96CA4D261FA1" ma:contentTypeVersion="15" ma:contentTypeDescription="Create a new document." ma:contentTypeScope="" ma:versionID="b11380a2e87c8164f1a99d88d837d142">
  <xsd:schema xmlns:xsd="http://www.w3.org/2001/XMLSchema" xmlns:xs="http://www.w3.org/2001/XMLSchema" xmlns:p="http://schemas.microsoft.com/office/2006/metadata/properties" xmlns:ns1="http://schemas.microsoft.com/sharepoint/v3" xmlns:ns2="6ab25aa9-b961-487c-b284-0920fc5aaa24" xmlns:ns3="http://schemas.microsoft.com/sharepoint/v3/fields" xmlns:ns4="ca754661-337b-472c-81d3-231342fd7b21" targetNamespace="http://schemas.microsoft.com/office/2006/metadata/properties" ma:root="true" ma:fieldsID="fa9a7cff08f41f82a785a3a886a5d067" ns1:_="" ns2:_="" ns3:_="" ns4:_="">
    <xsd:import namespace="http://schemas.microsoft.com/sharepoint/v3"/>
    <xsd:import namespace="6ab25aa9-b961-487c-b284-0920fc5aaa24"/>
    <xsd:import namespace="http://schemas.microsoft.com/sharepoint/v3/fields"/>
    <xsd:import namespace="ca754661-337b-472c-81d3-231342fd7b21"/>
    <xsd:element name="properties">
      <xsd:complexType>
        <xsd:sequence>
          <xsd:element name="documentManagement">
            <xsd:complexType>
              <xsd:all>
                <xsd:element ref="ns2:Rok"/>
                <xsd:element ref="ns2:Sektor" minOccurs="0"/>
                <xsd:element ref="ns2:Oblas_x0165_"/>
                <xsd:element ref="ns2:Dokument"/>
                <xsd:element ref="ns2:_x0160_t_x00e1_dium_x0020_leg_x002e__x0020_procesu" minOccurs="0"/>
                <xsd:element ref="ns3:_Version" minOccurs="0"/>
                <xsd:element ref="ns2:Pozn_x00e1_mka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5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6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7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8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9" nillable="true" ma:displayName="Number of Likes" ma:internalName="LikesCount">
      <xsd:simpleType>
        <xsd:restriction base="dms:Unknown"/>
      </xsd:simpleType>
    </xsd:element>
    <xsd:element name="LikedBy" ma:index="20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25aa9-b961-487c-b284-0920fc5aaa24" elementFormDefault="qualified">
    <xsd:import namespace="http://schemas.microsoft.com/office/2006/documentManagement/types"/>
    <xsd:import namespace="http://schemas.microsoft.com/office/infopath/2007/PartnerControls"/>
    <xsd:element name="Rok" ma:index="2" ma:displayName="Rok" ma:internalName="Rok">
      <xsd:simpleType>
        <xsd:restriction base="dms:Choice">
          <xsd:enumeration value="2020"/>
          <xsd:enumeration value="2021"/>
          <xsd:enumeration value="2022"/>
          <xsd:enumeration value="2023"/>
          <xsd:enumeration value="2024"/>
          <xsd:enumeration value="2025"/>
        </xsd:restriction>
      </xsd:simpleType>
    </xsd:element>
    <xsd:element name="Sektor" ma:index="3" nillable="true" ma:displayName="Sektor" ma:description="Výber sektora dôchodkového sporenia, ktorého sa dokument týka." ma:internalName="Sektor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SDS"/>
                    <xsd:enumeration value="DDS"/>
                    <xsd:enumeration value="PEPP"/>
                  </xsd:restriction>
                </xsd:simpleType>
              </xsd:element>
            </xsd:sequence>
          </xsd:extension>
        </xsd:complexContent>
      </xsd:complexType>
    </xsd:element>
    <xsd:element name="Oblas_x0165_" ma:index="4" ma:displayName="Oblasť" ma:internalName="Oblas_x0165_">
      <xsd:simpleType>
        <xsd:restriction base="dms:Choice">
          <xsd:enumeration value="Opatrenie NBS"/>
          <xsd:enumeration value="Metodické usmernenie"/>
          <xsd:enumeration value="Stanovisko"/>
          <xsd:enumeration value="Odporúčanie"/>
          <xsd:enumeration value="Opatrenie MPSVaR"/>
          <xsd:enumeration value="Zákon"/>
          <xsd:enumeration value="EIOPA regulácia"/>
          <xsd:enumeration value="Iná EU regulácia"/>
          <xsd:enumeration value="Iné"/>
        </xsd:restriction>
      </xsd:simpleType>
    </xsd:element>
    <xsd:element name="Dokument" ma:index="5" ma:displayName="Dokument" ma:internalName="Dokument">
      <xsd:simpleType>
        <xsd:restriction base="dms:Choice">
          <xsd:enumeration value="Vlastný materiál"/>
          <xsd:enumeration value="Predkladacia správa"/>
          <xsd:enumeration value="Dôvodová správa"/>
          <xsd:enumeration value="Pripomienky"/>
          <xsd:enumeration value="Informácia"/>
          <xsd:enumeration value="Posudzovanie/doložka vplyvov"/>
          <xsd:enumeration value="Doložka zlúčiteľnosti"/>
          <xsd:enumeration value="Vyhodnotenie pripomienok"/>
          <xsd:enumeration value="Predbežná informácia"/>
          <xsd:enumeration value="Návrh rozhodnutia"/>
          <xsd:enumeration value="Konsolidované znenie"/>
          <xsd:enumeration value="Oznámenie"/>
          <xsd:enumeration value="Iné"/>
          <xsd:enumeration value="Interný/predbežný návrh"/>
          <xsd:enumeration value="Návrh na pripomienky"/>
          <xsd:enumeration value="Podklady"/>
          <xsd:enumeration value="Finálne znenie"/>
          <xsd:enumeration value="zápis"/>
        </xsd:restriction>
      </xsd:simpleType>
    </xsd:element>
    <xsd:element name="_x0160_t_x00e1_dium_x0020_leg_x002e__x0020_procesu" ma:index="6" nillable="true" ma:displayName="Štádium leg. procesu" ma:internalName="_x0160_t_x00e1_dium_x0020_leg_x002e__x0020_procesu">
      <xsd:simpleType>
        <xsd:restriction base="dms:Choice">
          <xsd:enumeration value="Prípravná fáza (interná)"/>
          <xsd:enumeration value="Konzultácie"/>
          <xsd:enumeration value="Verejná konzultácia"/>
          <xsd:enumeration value="VPK"/>
          <xsd:enumeration value="Výkonná rada NBS"/>
          <xsd:enumeration value="Predbežná informácia"/>
          <xsd:enumeration value="PPK"/>
          <xsd:enumeration value="MPK"/>
          <xsd:enumeration value="LRV SR"/>
          <xsd:enumeration value="Banková rada NBS"/>
          <xsd:enumeration value="Zbierka"/>
          <xsd:enumeration value="VDFT"/>
          <xsd:enumeration value="Iné"/>
        </xsd:restriction>
      </xsd:simpleType>
    </xsd:element>
    <xsd:element name="Pozn_x00e1_mka" ma:index="8" nillable="true" ma:displayName="Poznámka" ma:internalName="Pozn_x00e1_mk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7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754661-337b-472c-81d3-231342fd7b21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6ab25aa9-b961-487c-b284-0920fc5aaa24" xsi:nil="true"/>
    <_x0160_t_x00e1_dium_x0020_leg_x002e__x0020_procesu xmlns="6ab25aa9-b961-487c-b284-0920fc5aaa24">VPK</_x0160_t_x00e1_dium_x0020_leg_x002e__x0020_procesu>
    <LikesCount xmlns="http://schemas.microsoft.com/sharepoint/v3" xsi:nil="true"/>
    <_Version xmlns="http://schemas.microsoft.com/sharepoint/v3/fields" xsi:nil="true"/>
    <Sektor xmlns="6ab25aa9-b961-487c-b284-0920fc5aaa24">
      <Value>SDS</Value>
    </Sektor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Oblas_x0165_ xmlns="6ab25aa9-b961-487c-b284-0920fc5aaa24">Opatrenie NBS</Oblas_x0165_>
    <Dokument xmlns="6ab25aa9-b961-487c-b284-0920fc5aaa24">Iné</Dokument>
    <Rok xmlns="6ab25aa9-b961-487c-b284-0920fc5aaa24">2023</Rok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6.8.2022 10:57:20"/>
    <f:field ref="objchangedby" par="" text="Administrator, System"/>
    <f:field ref="objmodifiedat" par="" text="16.8.2022 10:57:24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DB2BAC-ED2C-4590-9715-693BA8DB4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ab25aa9-b961-487c-b284-0920fc5aaa24"/>
    <ds:schemaRef ds:uri="http://schemas.microsoft.com/sharepoint/v3/fields"/>
    <ds:schemaRef ds:uri="ca754661-337b-472c-81d3-231342fd7b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F13F34-FB88-438A-87F4-C7BBA37668BE}">
  <ds:schemaRefs>
    <ds:schemaRef ds:uri="http://schemas.microsoft.com/office/2006/metadata/properties"/>
    <ds:schemaRef ds:uri="http://schemas.microsoft.com/office/infopath/2007/PartnerControls"/>
    <ds:schemaRef ds:uri="6ab25aa9-b961-487c-b284-0920fc5aaa24"/>
    <ds:schemaRef ds:uri="http://schemas.microsoft.com/sharepoint/v3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B7B38D36-EEA3-4B1F-BFD1-A1EC898ADA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Hladký Vladimír</cp:lastModifiedBy>
  <cp:revision>34</cp:revision>
  <cp:lastPrinted>2001-08-01T11:42:00Z</cp:lastPrinted>
  <dcterms:created xsi:type="dcterms:W3CDTF">2023-01-09T07:22:00Z</dcterms:created>
  <dcterms:modified xsi:type="dcterms:W3CDTF">2026-09-28T14:12:00Z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COO.2145.1000.3.5133315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Ing. Ľubica Mádelová</vt:lpwstr>
  </property>
  <property fmtid="{D5CDD505-2E9C-101B-9397-08002B2CF9AE}" pid="11" name="FSC#SKEDITIONSLOVLEX@103.510:zodppredkladatel">
    <vt:lpwstr>Ing. Peter Kažimír</vt:lpwstr>
  </property>
  <property fmtid="{D5CDD505-2E9C-101B-9397-08002B2CF9AE}" pid="12" name="FSC#SKEDITIONSLOVLEX@103.510:nazovpredpis">
    <vt:lpwstr>, ktorým sa mení opatrenie Národnej banky Slovenska č. 6/2015 o solventnosti pre poisťovne, na ktoré sa neuplatňuje osobitný režim, a pre zaisťovne, pobočky zahraničných poisťovní a pobočky zahraničných zaisťovní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Národná banka Slovenska</vt:lpwstr>
  </property>
  <property fmtid="{D5CDD505-2E9C-101B-9397-08002B2CF9AE}" pid="15" name="FSC#SKEDITIONSLOVLEX@103.510:pripomienkovatelia">
    <vt:lpwstr>Národná banka Slovenska, Národná banka Slovenska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Opatrenie Národnej banky Slovenska, ktorým sa mení opatrenie Národnej banky Slovenska č. 6/2015 o solventnosti pre poisťovne, na ktoré sa neuplatňuje osobitný režim, a pre zaisťovne, pobočky zahraničných poisťovní a pobočky zahraničných zaisťovní</vt:lpwstr>
  </property>
  <property fmtid="{D5CDD505-2E9C-101B-9397-08002B2CF9AE}" pid="19" name="FSC#SKEDITIONSLOVLEX@103.510:rezortcislopredpis">
    <vt:lpwstr>100-000-364-810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LP/2022/486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-	čl. 4, čl. 26 ods. 2, čl. 49, 56 až 62 Zmluvy o fungovaní Európskej únie (konsolidované znenie) (Ú. v. EÚ C 202, 7. 6. 2016) v platnom znení </vt:lpwstr>
  </property>
  <property fmtid="{D5CDD505-2E9C-101B-9397-08002B2CF9AE}" pid="39" name="FSC#SKEDITIONSLOVLEX@103.510:AttrStrListDocPropSekundarneLegPravoPO">
    <vt:lpwstr>smernica Európskeho parlamentu a Rady 2009/138/ES z 25. novembra 2009 o začatí a vykonávaní poistenia a zaistenia (Solventnosť II) (prepracované znenie) (Ú. v. EÚ L 335, 17.12.2009) v platnom znení, gestor: MF SR, spolugestor: NBS 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>Lehota na implementáciu revidovaných súm v smernici  2009/138/ES v platnom znení je v zmysle „Oznámenia o úprave súm stanovených v smernici Európskeho parlamentu a Rady 2009/138/ES o začatí a vykonávaní poistenia a zaistenia (Solventnosť II) podľa inflácie“ uverejneného Európskou komisiou v Úradnom vestníku Európskej únie (2021/C 423/12) pre členské štáty stanovená do 19. októbra 2022.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Bezpredmetné. Proti SR nebolo začaté konanie o porušení Zmluvy o fungovaní Európskej únie podľa čl. 258 až 260.</vt:lpwstr>
  </property>
  <property fmtid="{D5CDD505-2E9C-101B-9397-08002B2CF9AE}" pid="47" name="FSC#SKEDITIONSLOVLEX@103.510:AttrStrListDocPropInfoUzPreberanePP">
    <vt:lpwstr>Smernica 2009/138/ES v platnom znení bola prebratá do zákona č. 39/2015 Z. z. o poisťovníctve a o zmene a doplnení niektorých zákonov v znení neskorších predpisov, do zákona č. 747/2004 Z. z. o dohľade nad finančným trhom a o zmene a doplnení niektorých zákonov v znení neskorších predpisov, do zákona č. 7/2005 Z. z. o konkurze a reštrukturalizácii a o zmene a doplnení niektorých zákonov v znení neskorších predpisov, do zákona č. 381/2001 Z. z. o povinnom zmluvnom poistení zodpovednosti za škodu spôsobenú prevádzkou motorového vozidla a o zmene a doplnení niektorých zákonov v znení neskorších predpisov, do zákona č. 40/1964 Zb. Občiansky zákonník v znení neskorších predpisov, do opatrenia Národnej banky Slovenska zo 4. augusta 2015 č. 8/2015, ktorým sa ustanovuje spôsob preukazovania splnenia podmienok na udelenie povolenia na vykonávanie poisťovacej činnosti a na udelenie povolenia na vykonávanie zaisťovacej činnosti pre subjekty, na ktoré sa nebude uplatňovať osobitný režim v znení neskorších predpisov, do opatrenia Národnej banky Slovenska zo 14. júla 2015 č. 6/2015 o solventnosti pre poisťovne, na ktoré sa neuplatňuje osobitný režim, a pre zaisťovne, pobočky zahraničných poisťovní a pobočky zahraničných zaisťovní.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Nie sú.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justify;"&gt;Návrh opatrenia Národnej banky Slovenska, ktorým sa mení opatrenie Národnej banky Slovenska č. 6/2015 o solventnosti pre poisťovne, na ktoré sa neuplatňuje osobitný režim, a pre zaisťovne, pobočky zahraničných poisťovní a pobočky zahraničných zaisťovní, je vypracovaný na základe splnomocňovacieho ustanovenia § 63 ods. 3 zákona č. 39/2015 Z. z. o poisťovníctve a o zmene a doplnení niektorých zákonov.&lt;/p&gt;&lt;p style="text-align: justify;"&gt;Cieľom návrhu opatrenia je úprava súm na výpočet absolútnej spodnej hranice minimálnej kapitálovej požiadavky na solventnosť pre poisťovne, na ktoré sa neuplatňuje osobitný režim, zaisťovne, pobočky zahraničných poisťovní a pobočky zahraničných zaisťovní podľa inflácie.&lt;/p&gt;&lt;p style="text-align: justify;"&gt;&amp;nbsp;Sumy na výpočet absolútnej spodnej hranice minimálnej kapitálovej požiadavky na solventnosť sú stanovené smernicou Európskeho parlamentu a Rady 2009/138/ES z 25. novembra 2009 o začatí a vykonávaní poistenia a zaistenia (Solventnosť II) (prepracované znenie) (Ú. v. EÚ L 335, 17.12.2009) v platnom znení (ďalej len „smernica Solventnosť II“). V&amp;nbsp;súlade s&amp;nbsp;článkom 300 smernice Solventnosť II sa tieto sumy vyjadrené v eurách každých päť rokov revidujú tak, že sa základná suma v eurách zvýši o percentuálnu zmenu harmonizovaných indexov spotrebiteľských cien všetkých členských štátov, ako ich uverejňuje Komisia (Eurostat) od 31. decembra 2015 do dátumu revízie, a zaokrúhlia sa nahor na násobok 100&amp;nbsp;000 EUR, pokiaľ percentuálna zmena nie je nižšia ako 5 %. Prvá revízia súm reflektuje zvýšenie uvedeného indexu v súvislosti s obdobím od 31. decembra 2015 do 31. decembra 2020.&lt;/p&gt;&lt;p style="text-align: justify;"&gt;V&amp;nbsp;nadväznosti na „Oznámenie o úprave súm stanovených v smernici Európskeho parlamentu a Rady 2009/138/ES o začatí a vykonávaní poistenia a zaistenia (Solventnosť II) podľa inflácie“ uverejnené Európskou komisiou v&amp;nbsp;Úradnom vestníku Európskej únie (2021/C 423/12) sú členské štáty povinné implementovať revidované sumy do 19. októbra 2022.&lt;/p&gt;&lt;p style="text-align: justify;"&gt;Návrh opatrenia nie je potrebné konzultovať s Európskou centrálnou bankou podľa čl. 127 ods. 4 a&amp;nbsp;čl. 282 ods. 5 Zmluvy o fungovaní Európskej únie (konsolidované znenie) (Ú. v. EÚ C 202, 7.6.2016) a rozhodnutia Rady z&amp;nbsp;29.&amp;nbsp;júna 1998&amp;nbsp;o poradení sa s Európskou centrálnou bankou národnými orgánmi ohľadom návrhu právnych predpisov (98/415/ES) (Mimoriadne vydanie Ú.&amp;nbsp;v.&amp;nbsp;EÚ, kap.&amp;nbsp;01/zv.01).&lt;/p&gt;&lt;p style="text-align: justify;"&gt;Účinnosť opatrenia sa navrhuje od 1. októbra 2022.&lt;/p&gt;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guvernér NBS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Peter Kažimír_x000d_
guvernér NBS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guvernérovi NBS</vt:lpwstr>
  </property>
  <property fmtid="{D5CDD505-2E9C-101B-9397-08002B2CF9AE}" pid="140" name="FSC#SKEDITIONSLOVLEX@103.510:funkciaZodpPredDativ">
    <vt:lpwstr>guvernéra NBS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informovaná o príprave návrhu opatrenia Národnej banky Slovenska z ... 2022, ktorým sa mení opatrenie Národnej banky Slovenska č. 6/2015 o solventnosti pre poisťovne, na ktoré sa neuplatňuje osobitný režim, a pre zaisťovne, pobočky zahraničných poisťovní a pobočky zahraničných zaisťovní prostredníctvom webového portálu Slov-Lex, na ktorom bola zverejnená predbežná informácia PI/2022/156 o&amp;nbsp;návrhu opatrenia v lehote od 4. júla 2022 do 18. júla 2022. K&amp;nbsp;predbežnej informácii verejnosť neuplatnila žiadne pripomienky.&lt;/p&gt;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16. 8. 2022</vt:lpwstr>
  </property>
  <property fmtid="{D5CDD505-2E9C-101B-9397-08002B2CF9AE}" pid="153" name="ContentTypeId">
    <vt:lpwstr>0x010100DA9221E9DA537346955C96CA4D261FA1</vt:lpwstr>
  </property>
</Properties>
</file>