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0991D" w14:textId="34B04939" w:rsidR="00467653" w:rsidRPr="00E66622" w:rsidRDefault="00CE2823" w:rsidP="00467653">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VYJADRENIA K PREDBEŽNEJ INFORMÁCII</w:t>
      </w:r>
      <w:r w:rsidR="00011900" w:rsidRPr="00E66622">
        <w:rPr>
          <w:rFonts w:ascii="Times New Roman" w:eastAsia="Times New Roman" w:hAnsi="Times New Roman" w:cs="Times New Roman"/>
          <w:b/>
          <w:sz w:val="28"/>
        </w:rPr>
        <w:br/>
      </w:r>
      <w:r w:rsidR="00FA2BCB" w:rsidRPr="00533748">
        <w:rPr>
          <w:rFonts w:ascii="Times New Roman" w:eastAsia="Times New Roman" w:hAnsi="Times New Roman" w:cs="Times New Roman"/>
          <w:b/>
          <w:sz w:val="24"/>
          <w:szCs w:val="20"/>
          <w:lang w:val="en-US"/>
        </w:rPr>
        <w:t>Návrh zákona, ktorým sa dopĺňa zákon Slovenskej národnej rady č. 372/1990 Zb. o priestupkoch v znení neskorších predpisov a ktorým sa mení a dopĺňa zákon č. 8/2009 Z. z. o cestnej premávke a o zmene a doplnení niektorých zákonov v znení neskorších predpisov.</w:t>
      </w:r>
      <w:r w:rsidR="00917A99">
        <w:rPr>
          <w:rFonts w:ascii="Times New Roman" w:eastAsia="Times New Roman" w:hAnsi="Times New Roman" w:cs="Times New Roman"/>
          <w:b/>
          <w:sz w:val="28"/>
        </w:rPr>
        <w:br/>
      </w:r>
      <w:r w:rsidR="00FA2BCB">
        <w:rPr>
          <w:rFonts w:ascii="Times New Roman" w:eastAsia="Times New Roman" w:hAnsi="Times New Roman" w:cs="Times New Roman"/>
          <w:bCs/>
          <w:sz w:val="24"/>
          <w:szCs w:val="24"/>
        </w:rPr>
        <w:t>PI/2026/230</w:t>
      </w:r>
    </w:p>
    <w:p w14:paraId="1F0934E1" w14:textId="78DB372D" w:rsidR="007C1A93" w:rsidRPr="0084088F" w:rsidRDefault="00000000" w:rsidP="00011900">
      <w:pPr>
        <w:spacing w:line="276" w:lineRule="auto"/>
        <w:rPr>
          <w:sz w:val="24"/>
          <w:szCs w:val="24"/>
          <w:lang w:val="en-US"/>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w:t>
      </w:r>
      <w:r w:rsidR="00011900">
        <w:rPr>
          <w:rFonts w:ascii="Times New Roman" w:eastAsia="Times New Roman" w:hAnsi="Times New Roman" w:cs="Times New Roman"/>
          <w:sz w:val="24"/>
          <w:szCs w:val="24"/>
        </w:rPr>
        <w:t>vyjadrení</w:t>
      </w:r>
      <w:r w:rsidRPr="00E66622">
        <w:rPr>
          <w:rFonts w:ascii="Times New Roman" w:eastAsia="Times New Roman" w:hAnsi="Times New Roman" w:cs="Times New Roman"/>
          <w:sz w:val="24"/>
          <w:szCs w:val="24"/>
        </w:rPr>
        <w:t xml:space="preserve">: </w:t>
      </w:r>
      <w:r w:rsidRPr="0053699B">
        <w:rPr>
          <w:rFonts w:ascii="Times New Roman" w:eastAsia="Times New Roman" w:hAnsi="Times New Roman" w:cs="Times New Roman"/>
          <w:sz w:val="18"/>
          <w:szCs w:val="18"/>
        </w:rPr>
        <w:tab/>
      </w:r>
      <w:r w:rsidR="000724FE">
        <w:rPr>
          <w:rFonts w:ascii="Times New Roman" w:eastAsia="Times New Roman" w:hAnsi="Times New Roman" w:cs="Times New Roman"/>
          <w:sz w:val="24"/>
          <w:szCs w:val="24"/>
          <w:lang w:val="en-US"/>
        </w:rPr>
        <w:t>2</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11"/>
        <w:gridCol w:w="10249"/>
      </w:tblGrid>
      <w:tr w:rsidR="00467653" w14:paraId="575AAFA8" w14:textId="77777777" w:rsidTr="00BE5283">
        <w:trPr>
          <w:trHeight w:val="648"/>
          <w:jc w:val="center"/>
        </w:trPr>
        <w:tc>
          <w:tcPr>
            <w:tcW w:w="1000" w:type="pct"/>
            <w:vAlign w:val="center"/>
          </w:tcPr>
          <w:p w14:paraId="4B4FA583" w14:textId="62ECD7CF" w:rsidR="00467653" w:rsidRPr="00E11D16" w:rsidRDefault="00467653" w:rsidP="00DB2917">
            <w:pPr>
              <w:spacing w:after="0"/>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3778" w:type="pct"/>
            <w:vAlign w:val="center"/>
          </w:tcPr>
          <w:p w14:paraId="54262B5F" w14:textId="0A209097" w:rsidR="00467653" w:rsidRPr="00E11D16" w:rsidRDefault="00467653" w:rsidP="00DB2917">
            <w:pPr>
              <w:spacing w:after="0"/>
              <w:jc w:val="center"/>
              <w:rPr>
                <w:rFonts w:ascii="Times New Roman" w:hAnsi="Times New Roman" w:cs="Times New Roman"/>
                <w:b/>
                <w:bCs/>
                <w:sz w:val="24"/>
                <w:szCs w:val="24"/>
              </w:rPr>
            </w:pPr>
            <w:r>
              <w:rPr>
                <w:rFonts w:ascii="Times New Roman" w:hAnsi="Times New Roman" w:cs="Times New Roman"/>
                <w:b/>
                <w:bCs/>
                <w:sz w:val="24"/>
                <w:szCs w:val="24"/>
              </w:rPr>
              <w:t>Vyjadrenie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top"/>
          </w:tcPr>
          <w:p>
            <w:pPr>
              <w:spacing w:after="0"/>
              <w:jc w:val="start"/>
            </w:pPr>
            <w:r>
              <w:rPr>
                <w:b w:val="off"/>
                <w:color w:val="000000"/>
                <w:rFonts w:ascii="Times New Roman" w:hAnsi="Times New Roman" w:cs="Times New Roman" w:eastAsia="Times New Roman"/>
                <w:sz w:val="24"/>
              </w:rPr>
              <w:t>Liga za ľudské práva ako implementačný partner Úradu Vysokého komisára OSN pre utečencov (UNHCR) a súčasne ako partner miest Bratislava, Trnava, Košice a Prešov poskytuje bezplatné poradenstvo cudzincom a cudzinkám, utečencom a utečenkám nachádzajúcim sa na území Slovenskej republiky. Vychádzajúc z našich dlhoročných praktických skúseností sme identifikovali pretrvávajúcu potrebu novelizácie zákona č. 8/2009 Z. z. o cestnej premávke a o zmene a doplnení niektorých zákonov v znení neskorších predpisov (ďalej aj „zákon o cestnej premávke“ alebo „ZoCP“).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zverejnenej predbežnej informácie o pripravovanom návrhu zákona, ktorým sa mení a dopĺňa okrem iného zákon o cestnej premávke (PI/2026/230), je vecným zameraním a cieľom pripravovaného návrhu zákona „modernizácia a elektronizácia procesov súvisiacich s ukladaním, evidenciou a úhradou pokút v blokovom konaní orgánmi Policajného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si dovoľujeme podať podnet, aby s ohľadom na dlhodobo pretrvávajúce potreby praxe došlo k rozšíreniu vecného zamerania pripravovanej novely aj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odstránenie legislatívnych bariér tak, aby aj odídenci, teda cudzinci, ktorým bolo poskytnuté dočasné útočisko podľa § 2 písm. j) a § 88 ods. 10 zákona č. 69/2026 Z. z. o medzinárodnej ochrane (ďalej aj „odídenci“), mohli na území Slovenskej republiky získať vodičské oprávnenie;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odstránenie legislatívnych bariér tak, aby sa aj odídenci mohli na území Slovenskej republiky stať držiteľmi vozidla, t. j. osobami zapísanými v evidencii vozidiel ako držitelia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PODNETU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našej dlhoročnej praxe sa opakovane stretávame s konkrétnymi negatívnymi dôsledkami súčasnej právnej úpravy, ktoré sa dotýkajú každodenného života odídencov a odídenkýň a ich schopnosti plnohodnotne fungovať v spoločnosti, v ktorej už dlhodobo žijú.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Nejde pritom o osoby, ktoré by sa na území Slovenskej republiky nachádzali iba krátkodobo. Mnohí odídenci žijú na Slovensku už niekoľko rokov, v mnohých prípadoch od roku 2022. Za tento čas si tu vytvorili osobné, rodinné, pracovné, sociálne a ekonomické väzby. Slovenská republika sa pre významnú časť z nich stala miestom, kde pracujú, bývajú, vychovávajú svoje deti, navštevujú lekárov, vzdelávajú sa a každodenne zabezpečujú svoje životné potreby. Veľký podiel z nich je zároveň ekonomicky aktívny a prostredníctvom platenia daní a odvodov významným spôsobom prispieva do verejných rozpočtov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kontexte považujeme za problematické, že samotný status dočasného útočiska v súčasnosti vedie k tomu, že osoby, ktoré môžu mať na území Slovenskej republiky dlhodobo a fakticky sústredený svoj život, nemajú možnosť získať slovenské vodičské oprávnenie ani sa stať držiteľmi vozidla. Súčasná právna úprava totiž v definícii „pobytu“ podľa § 2 ods. 2 písm. s) ZoCP nezahŕňa dočasné útočisko, resp. tolerovaný pobyt udelený na základe dočasného útočiska (§ 68 ods. 8 z. č. 69/2026 Z. z.). Táto skutočnosť má následne význam aj pri uplatnení § 77 ZoCP, ktorý medzi podmienkami na udelenie vodičského oprávnenia vyžaduje pobyt na území Slovenskej republiky v trvaní najmenej 185 dní v príslušnom kalendárnom roku, ako aj pri § 114 ZoCP, podľa ktorého musí mať držiteľ evidovaného vozidla pobyt alebo sídlo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Možnosť získať vodičské oprávnenie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cudzinca s trvalým alebo prechodným pobytom právna úprava umožňuje za splnenia zákonom stanovených podmienok absolvovať výcvik a skúšku a následne získať vodičské oprávnenie. Osoba s dočasným útočiskom však napriek tomu, že môže na Slovensku fakticky žiť dlhšie a mať k nemu intenzívnejšie osobné a pracovné väzby než osoba s prechodným pobytom, takúto možnosť nemá.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Vzniká tak situácia, v ktorej rozhodujúcim faktorom nie je dĺžka ani faktická intenzita pobytu osoby na území Slovenskej republiky, ale výlučne právna forma jej pobytového statusu. Cudzinec s prechodným pobytom môže za splnenia zákonných podmienok získať slovenské vodičské oprávnenie, zatiaľ čo odídenec, ktorý môže na Slovensku žiť niekoľko rokov a mať tu svoje zvyčajné bydlisko, túto možnosť nemá.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rozlišovanie bolo možné chápať v počiatočnom období poskytovania dočasného útočiska, keď išlo o mimoriadny a svojou povahou dočasný mechanizmus ochrany a nebolo možné predvídať dĺžku jeho uplatňovania ani dlhodobosť pobytu osôb, ktorým bola ochrana poskytnutá. V súčasnosti je však situácia zásadne odlišná.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Dočasné útočisko sa poskytuje už viac ako štyri roky a na úrovni Európskej únie bolo jeho poskytovanie najnovšie predĺžené až do 4. marca 2028. Možné je aj jeho ďalšie predĺženie. Súčasný právny rámec teda sám osebe počíta s tým, že osoby požívajúce dočasnú ochranu môžu na území členských štátov zotrvať ešte ďalšie významné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situácii sa javí ako potrebné priebežne prehodnocovať tie právne obmedzenia, ktorých existencia bola odôvodniteľná v počiatočnej fáze poskytovania dočasného útočiska, avšak s postupom času už nezohľadňujú faktickú situáciu osôb, na ktoré sa tento režim 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Európska únia pritom už pri prijímaní osobitnej právnej úpravy týkajúcej sa ukrajinských vodičských dokladov výslovne vychádzala z toho, že vodičské oprávnenie významne podporuje mobilitu osôb s dočasnou ochranou, uľahčuje ich každodenný život a podporuje ich účasť na hospodárskych a sociálnych aktivitách v novom prostredí.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odídencov, ktorí vodičské oprávnenie získali na Ukrajine, právny poriadok Európskej únie zároveň zabezpečuje osobitný režim uznávania ich platných ukrajinských vodičských preukazov. Nariadenie (EÚ) 2022/1280 stanovuje, že platné vodičské preukazy vydané Ukrajinou sa uznávajú na území Únie, ak ich držitelia požívajú dočasnú ochranu alebo primeranú ochranu podľa vnútroštátneho práva, a to do skončenia dočasnej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Vzniká tak určitý paradox: slovenské orgány sú povinné rešpektovať vodičské oprávnenie, ktoré odídenec získal na Ukrajine, avšak osoba, ktorá je v porovnateľnej životnej situácii a ktorá z akéhokoľvek dôvodu vodičské oprávnenie na Ukrajine doposiaľ nezískala, nemá za súčasnej právnej úpravy možnosť získať ho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problematické sú situácie mladých ľudí, ktorí sa na Slovensko presťahovali ešte pred dovŕšením veku potrebného na získanie vodičského oprávnenia. Ak následne dosiahnu potrebný vek už počas pobytu na Slovensku, súčasná právna úprava im neposkytuje reálnu cestu k získaniu vodičského oprávnenia v krajine, v ktorej žijú. Požadovať od takýchto osôb, aby sa za účelom získania prvého vodičského oprávnenia vracali na Ukrajinu, by vzhľadom na pretrvávajúci ozbrojený konflikt nebolo primeraným riešením.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pritom neznamená zníženie požiadaviek na odbornú spôsobilosť alebo bezpečnosť cestnej premávky. Odídenci by pri získavaní slovenského vodičského oprávnenia naďalej podliehali rovnakým požiadavkám týkajúcim sa veku, zdravotnej a psychickej spôsobilosti, odbornej spôsobilosti, absolvovania výcviku a skúšok a ďalším podmienkam ustanoveným ZoCP ako ostatní žiadatelia. Predmetom navrhovanej zmeny je iba odstránenie pobytovej bariéry, ktorá im v súčasnosti čisto formálne bráni v prístupe k týmto štandardným procesom.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Možnosť stať sa držiteľom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Obdobná situácia vzniká v prípade evidencie vozidiel. Podľa § 114 ods. 1 ZoCP musí mať držiteľ vozidla pobyt alebo sídlo na území Slovenskej republiky. Keďže pojem „pobyt“ podľa § 2 ods. 2 písm. s) ZoCP v súčasnosti nezahŕňa dočasné útočisko/tolerovaný pobyt, osoba s týmto statusom nemôže byť v Slovenskej republike evidovaná ako držiteľ vozidla.</w:t>
              <w:br/>
            </w:r>
            <w:r>
              <w:rPr>
                <w:b w:val="off"/>
                <w:color w:val="000000"/>
                <w:rFonts w:ascii="Times New Roman" w:hAnsi="Times New Roman" w:cs="Times New Roman" w:eastAsia="Times New Roman"/>
                <w:sz w:val="24"/>
              </w:rPr>
              <w:t>Aj v tomto prípade ide o obmedzenie, ktoré nezohľadňuje faktickú dĺžku ani intenzitu väzieb osoby k územiu Slovenskej republiky. Potreba používať a držať vozidlo pritom nie je viazaná na konkrétny typ pobytového oprávnenia. Ak človek v určitej krajine dlhodobo žije, pracuje a vedie v nej svoj každodenný život, jeho potreba využívať motorové vozidlo je úplne rovnaká bez ohľadu na to, či má prechodný pobyt alebo mu bolo poskytnuté dočasné útočisko.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môže ísť napríklad o cestovanie do zamestnania, dopravu detí do školy alebo škôlky, zabezpečovanie zdravotnej starostlivosti, starostlivosť o rodinných príslušníkov, dochádzanie do miest s nedostatočným dopravným spojením alebo plnenie pracovných povinností. Pri osobách žijúcich na Slovensku niekoľko rokov ide o prirodzenú súčasť každodenného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preto zrejmé, prečo by mal byť človek s prechodným pobytom oprávnený byť držiteľom vozidla, zatiaľ čo odídenec, ktorý môže mať na Slovensku dlhodobo svoje centrum osobného a pracovného života, túto možnosť nemá výlučne z dôvodu odlišného právneho statusu.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v tomto prípade navrhovaná zmena nepredstavuje uvoľnenie pravidiel týkajúcich sa evidencie vozidiel ako takej. Odídenci by naďalej podliehali všetkým ostatným podmienkam ustanoveným ZoCP a osobitnými právnymi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Navrhovaná zmena by mala pozitívny vplyv na verejné financie 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Odstránenie uvedených bariér by zároveň mohlo mať pozitívny ekonomický a fiškálny efekt.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získania vodičského oprávnenia by odídenci podliehali rovnakému systému správnych poplatkov a poplatkov súvisiacich so získaním vodičského oprávnenia ako ostatní žiadatelia. Zvýšenie počtu osôb, ktoré budú oprávnené absolvovať vodičský výcvik a skúšky na území Slovenskej republiky, zároveň znamená rozšírenie potenciálnej klientely autoškôl a ďalších poskytovateľov súvisiacich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Obdobne v prípade evidencie vozidiel by umožnenie zápisu odídencov ako držiteľov vozidiel vytváralo priestor na vznik dodatočných príjmov z príslušných správnych poplatkov, a to najmä v prípadoch zmeny držby alebo iných evidenčných úkonov.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Nejde pritom o hlavný dôvod navrhovanej zmeny. Ide však o relevantný sprievodný efekt, ktorý potvrdzuje, že odstránenie predmetných bariér nemožno vnímať iba ako vytvorenie dodatočných práv pre konkrétnu skupinu osôb, ale aj ako opatrenie umožňujúce ich plnohodnotnejšie ekonomické a sociálne fungovanie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Navrhovaná zmena nemá zasiahnuť do režimu výmeny ukrajinských vodičských preukazov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považujeme za dôležité zdôrazniť, že naším návrhom nie je rozšírenie definície pobytu na účely § 104 ods. 4 a 5 ZoCP.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zachovať súčasný právny režim, podľa ktorého sa na odídencov osobitne vzťahujú pravidlá vyplývajúce z práva Európskej únie týkajúce sa uznávania platných ukrajinských vodičských preukazov. Naším cieľom nie je vytvoriť povinnosť odídencov takéto vodičské preukazy vymieňať za slovenské, ani im takúto výmenu automaticky umožniť iba z dôvodu ich statusu. Zároveň teda nedôjde k preťaženiu príslušných útvarov s požiadavkami na výmenu ukrajinských vodičských preukazov za slovenské.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má riešiť inú situáciu – situáciu osoby, ktorá doposiaľ vodičské oprávnenie nezískala vôbec. Takáto osoba by po zmene právnej úpravy získala možnosť absolvovať štandardný proces získania slovenského vodičského oprávnenia za rovnakých vecných podmienok ako ostatní žiadatelia.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Podstata návrhu legislatívno-technického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uvedené navrhujeme, aby pripravovaný návrh zákona obsahoval aj zmenu zákona o cestnej premávke spočívajúcu najmä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novelizácii ZoCP tak, aby sa podmienka pobytu podľa § 77 ods. 1 písm. b) vzťahovala aj na osobu, ktorej bolo poskytnuté dočasné útočisko na území Slovenskej republiky, prípadne aby sa u takejto osoby táto podmienka považovala za splnenú (obdobne ako v prípade podľa § 77a ZoCP);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novelizácii ZoCP tak, aby držiteľom vozidla podľa § 114 ods. 1 mohla byť aj osoba, ktorej bolo poskytnuté dočasné útočisko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Konkrétne legislatívne znenie je podľa nášho názoru možné technicky formulovať </w:t>
              <w:br/>
            </w:r>
            <w:r>
              <w:rPr>
                <w:b w:val="off"/>
                <w:color w:val="000000"/>
                <w:rFonts w:ascii="Times New Roman" w:hAnsi="Times New Roman" w:cs="Times New Roman" w:eastAsia="Times New Roman"/>
                <w:sz w:val="24"/>
              </w:rPr>
              <w:t>viacerými spôsobmi (pozri ďalej bod 7). Za vhodné však považujeme predovšetkým také riešenie, ktoré bude predstavovať cielenú výnimku alebo osobitné pravidlo pre osoby s poskytnutým dočasným útočiskom, a nebude mať automatický vplyv na všetky ostatné ustanovenia ZoCP používajúce pojem „pobyt“.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úprave § 77 zároveň považujeme za vhodné zachovať všetky ostatné materiálne podmienky na udelenie vodičského oprávnenia, najmä požiadavky týkajúce sa veku, zdravotnej a psychickej spôsobilosti, odbornej spôsobilosti a absolvovania príslušných skúšok.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si vedomí, že predmetom predbežnej informácie PI/2026/230 je predovšetkým modernizácia a elektronizácia procesov súvisiacich s ukladaním, evidenciou a úhradou pokút v blokovom konaní orgánmi Policajného zboru. Vzhľadom na to, že pripravovaná novela sa má dotknúť zákona o cestnej premávke, však považujeme za vhodné využiť prebiehajúci legislatívny proces aj na odstránenie vyššie uvedených dlhodobo pretrvávajúcich legislatívnych bariér.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problémy, ktoré sa dotýkajú každodenného života ľudí, ktorým Slovenská republika niekoľko rokov poskytuje ochranu a ktorí si tu medzičasom vytvorili svoje životné, rodinné a pracovné zázemie. Súčasná právna úprava pritom vytvára situácie, v ktorých osoba s dlhodobými väzbami na Slovenskú republiku nemôže získať vodičské oprávnenie ani sa stať držiteľom vozidla iba z dôvodu svojho špecifického pobytového statusu.</w:t>
              <w:br/>
            </w:r>
            <w:r>
              <w:rPr>
                <w:b w:val="off"/>
                <w:color w:val="000000"/>
                <w:rFonts w:ascii="Times New Roman" w:hAnsi="Times New Roman" w:cs="Times New Roman" w:eastAsia="Times New Roman"/>
                <w:sz w:val="24"/>
              </w:rPr>
              <w:t>Domnievame sa preto, že po viac ako štyroch rokoch od zavedenia dočasného útočiska je namieste tieto obmedzenia opätovne posúdiť a právnu úpravu prispôsobiť aktuálnej realite. Predĺženie dočasnej ochrany na úrovni Európskej únie do 4. marca 2028 zároveň poskytuje dostatočný dôvod na to, aby sa legislatíva zaoberala aj praktickými otázkami dlhodobého života osôb požívajúcich túto ochranu.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sa Ministerstvo vnútra Slovenskej republiky nestotožní s oboma našimi meritórnymi návrhmi na zmenu právnej úpravy, budeme radi, ak bude možné v rámci pripravovanej novely akceptovať aspoň jeden z nich. Úprimne však veríme, že sú dané vecné, praktické aj systémové dôvody na akceptovanie oboch navrhovaných zmien. Umožnenie získania vodičského oprávnenia a umožnenie byť držiteľom vozidla totiž reagujú na dve samostatné, hoci navzájom úzko súvisiace praktické potreby osôb, ktoré na Slovensku dlhodobo žijú a prispievajú do verejných rozpočtov.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Legislatívno-technické návrhy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zvolenia konkrétnej legislatívno-technickej metódy zmeny právnej úpravy sme identifikovali tri možné prístupy, ktorými možno sledovaný cieľ dosiahnuť. Pri všetkých troch variantoch je možné (a vhodné) zachovať súčasnú právnu úpravu týkajúcu sa výmeny a uznávania vodičských preukazov vydaných Ukrajinou podľa § 104 ods. 4 a 5 ZoCP.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7.A/ Novelizácia definície „pobytu“ v § 2 ods. 2 písm. s) ZoCP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Prvým možným riešením je novelizácia priamo definície „pobytu“ v § 2 ods. 2 písm. s) ZoCP doplnením, že na účely uplatňovania § 77 ods. 1 písm. b) a § 114 ods. 1 ZoCP sa za pobyt považuje aj tolerovaný pobyt cudzinca, ktorý je odídencom.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Vhodné bude doplniť aj odkaz na osobitnú právnu úpravu odídencov a ich tolerovaného pobytu, konkrétne na § 2 písm. j), § 68 ods. 8 a § 88 ods. 10 zákona č. 69/2026 Z. z. o medzinárodnej ochrane.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7.B/ Priama novelizácia § 77 ods. 1 písm. b) a § 114 ods. 1 ZoCP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Druhým možným riešením je ponechať definíciu „pobytu“ v § 2 ods. 2 písm. s) ZoCP nezmenenú a vykonať zmenu priamo v ustanoveniach, ktorých aplikácia je predmetom tohto podnetu.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77 ods. 1 písm. b) a v § 114 ods. 1 ZoCP by sa za príslušnú podmienku doplnilo pravidlo, podľa ktorého sa na účely daného ustanovenia za pobyt považuje aj tolerovaný pobyt cudzinca, ktorý je odídencom, s odkazom na § 2 písm. j), § 68 ods. 8 a § 88 ods. 10 zákona č. 69/2026 Z. z. o medzinárodnej ochrane. Alternatívne by sa do oboch ustanovení doplnilo, že podmienka pobytu sa v prípade uvedených osôb považuje za splnenú.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Nedochádzalo by tak ku zmene všeobecnej definície pojmu „pobyt“ v § 2 ods. 2 písm. s) ZoCP.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7.C/ Osobitné prechodné ustanovenie ZoCP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Tretím možným riešením je doplnenie nového prechodného ustanovenia ZoCP, podľa ktorého by počas obdobia poskytovania dočasného útočiska na území Slovenskej republiky podľa osobitného predpisu (+ odkaz na vykonávacie rozhodnutie Rady (EÚ) 2022/382 zo 4. marca 2022, vykonávacie rozhodnutie (EÚ) 2023/2409 z 19. októbra 2023, vykonávacie rozhodnutie (EÚ) 2024/1836 z 25. júna 2024, vykonávacie rozhodnutie (EÚ) 2025/1460 z 15. júla 2025, vykonávacie rozhodnutie (EÚ) 2026/1912 z 30. júla 2026) platilo, že na účely uplatňovania § 77 ods. 1 písm. b) a § 114 ods. 1 ZoCP sa za pobyt považuje aj tolerovaný pobyt cudzinca, ktorý je odídencom, s odkazom na § 2 písm. j), § 68 ods. 8 a § 88 ods. 10 zákona č. 69/2026 Z. z. o medzinárodnej ochrane.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Výhodou tohto riešenia je, že by bolo jednoznačne časovo viazané na existenciu režimu dočasného útočiska vyhláseného konkrétne a výlučne v súvislosti s ozbrojeným konfliktom na území Ukrajiny. Po skončení tohto poskytovania dočasného útočiska by sa osobitné pravidlo bez potreby ďalšej legislatívnej zmeny prestalo uplatňovať.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Prechodné ustanovenie vo vzťahu k 185-dňovej podmienke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Nezávisle od zvoleného z vyššie uvedených legislatívno-technických riešení považujeme za nevyhnutné upraviť aj prechodné ustanovenie vo vzťahu k 185-dňovej podmienke podľa § 77 ods. 1 písm. b) ZoCP.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sa totiž po nadobudnutí účinnosti novely na odídencov začala uplatňovať podmienka 185 dní bez zohľadnenia obdobia ich predchádzajúceho pobytu na území Slovenskej republiky, novela by pre značnú časť dotknutých osôb nemala okamžitý praktický účinok. Osoba, ktorá sa na Slovensku oprávnene zdržiava napríklad už niekoľko rokov, by bola formálne postavená do situácie, v ktorej by musela po účinnosti novely čakať ďalších 185 dní, hoci účelom novely je práve odstrániť prekážku, ktorá jej v získaní vodičského oprávnenia dlhodobo bráni.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aby prechodné ustanovenie výslovne stanovilo, že do obdobia 185 dní pobytu podľa § 77 ods. 1 písm. b) ZoCP sa osobe, ktorá je odídencom, započítava aj obdobie jej pobytu na území Slovenskej republiky pred nadobudnutím účinnosti novely, počas ktorého mala poskytnuté dočasné útočisko.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prechodné ustanovenie by zároveň zodpovedalo účelu navrhovanej zmeny. Jeho cieľom nemá byť zaviesť nový 185-dňový čakací režim pre osoby, ktoré už dlhodobo žijú na území Slovenskej republiky, ale odstrániť existujúcu legislatívnu bariéru pri zohľadnení ich doterajšieho oprávneného pobytu.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Nadväznosť na právnu úpravu autoškôl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zmene podmienok na získanie vodičského oprávnenia je zároveň potrebné zohľadniť nadväzujúcu právnu úpravu v zákone č. 93/2005 Z. z. o autoškolách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2b ods. 1 cit. zákona sa žiadateľ zaradí do kurzu alebo výcviku podľa § 2 ods. 1 písm. a) a c), ak spĺňa podmienku pobytu podľa osobitného predpisu (odkaz na § 77 ods. 1 písm. b) a § 77a ZoCP).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teda bude ZoCP novelizovaný, v závislosti od konkrétnej legislatívnej techniky bude potrebné ustrážiť, či na dosiahnutie sledovaného účelu nie je potrebná aj zmena § 2b ods. 1 zákona o autoškolách.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vyhnúť sa situácii, v ktorej by odídenec síce podľa novelizovaného ZoCP spĺňal podmienky na získanie vodičského oprávnenia, avšak nebolo by jednoznačne možné jeho zaradenie do vodičského kurzu alebo výcviku podľa zákona o autoškolách.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Bez zmeny režimu podľa § 104 ods. 4 a 5 ZoCP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Napokon považujeme za potrebné výslovne zdôrazniť, že nenavrhujeme zmenu právnej úpravy § 104 ods. 4 a 5 ZoCP. Naším návrhom nie je zavedenie povinnosti odídencov vymieňať ukrajinské vodičské preukazy za slovenské vodičské preukazy ani zmena pravidiel ich uznávania. Rovnako nenavrhujeme takú všeobecnú zmenu definície „pobytu“, ktorá by mala za následok automatickú zmenu režimu uplatňovaného podľa § 104 ods. 4 a 5 ZoCP.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Zhrnutie k bodu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ohľadu na to, ktorý legislatívno-technický prístup bude napokon zvolený, považujeme za potrebné, aby pripravovaná novela zabezpečila súčasne tieto štyri aspekty: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umožnenie, aby sa pobyt odídenca zohľadňoval na účely splnenia podmienky podľa § 77 ods. 1 písm. b) ZoCP;</w:t>
              <w:br/>
            </w:r>
            <w:r>
              <w:rPr>
                <w:b w:val="off"/>
                <w:color w:val="000000"/>
                <w:rFonts w:ascii="Times New Roman" w:hAnsi="Times New Roman" w:cs="Times New Roman" w:eastAsia="Times New Roman"/>
                <w:sz w:val="24"/>
              </w:rPr>
              <w:t>2. umožnenie, aby odídenec mohol byť držiteľom vozidla podľa § 114 ZoCP;</w:t>
              <w:br/>
            </w:r>
            <w:r>
              <w:rPr>
                <w:b w:val="off"/>
                <w:color w:val="000000"/>
                <w:rFonts w:ascii="Times New Roman" w:hAnsi="Times New Roman" w:cs="Times New Roman" w:eastAsia="Times New Roman"/>
                <w:sz w:val="24"/>
              </w:rPr>
              <w:t>3. prijatie prechodnej úpravy zabezpečujúcej započítanie obdobia pobytu odídenca pred účinnosťou novely do 185-dňovej lehoty podľa § 77 ods. 1 písm. b) ZoCP a v prípade potreby súvisiaca úprava zákona o autoškolách (§ 2b ods. 1 zákona č. 93/2005 Z. z.);</w:t>
              <w:br/>
            </w:r>
            <w:r>
              <w:rPr>
                <w:b w:val="off"/>
                <w:color w:val="000000"/>
                <w:rFonts w:ascii="Times New Roman" w:hAnsi="Times New Roman" w:cs="Times New Roman" w:eastAsia="Times New Roman"/>
                <w:sz w:val="24"/>
              </w:rPr>
              <w:t>4. zachovanie súčasného režimu podľa § 104 ods. 4 a 5 ZoCP, teda bez zavedenia povinnosti výmeny ukrajinských vodičských preukazov za slovenské vodičské preukazy.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top"/>
          </w:tcPr>
          <w:p>
            <w:pPr>
              <w:spacing w:after="0"/>
              <w:jc w:val="start"/>
            </w:pPr>
            <w:r>
              <w:rPr>
                <w:b w:val="off"/>
                <w:color w:val="000000"/>
                <w:rFonts w:ascii="Times New Roman" w:hAnsi="Times New Roman" w:cs="Times New Roman" w:eastAsia="Times New Roman"/>
                <w:sz w:val="24"/>
              </w:rPr>
              <w:t>Návrh na rozšírenie pripravovanej novely zákona č. 8/2009 Z. z. o riešenie postavenia osôb s dočasným útočiskom pri získaní vodičského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predbežnú informáciu PI/2026/230 si dovoľujem navrhnúť, aby Ministerstvo vnútra Slovenskej republiky pri príprave predmetnej novely zvážilo rozšírenie jej vecného zámeru aj o odstránenie súčasného legislatívneho problému týkajúceho sa možnosti získania vodičského oprávnenia osobami, ktoré sa na území Slovenskej republiky oprávnene zdržiavajú na základe poskytnutého dočasného útočiska.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77 ods. 1 písm. b) zákona č. 8/2009 Z. z. je jednou z podmienok udelenia vodičského oprávnenia, aby mal žiadateľ na území Slovenskej republiky pobyt v trvaní najmenej 185 dní v príslušnom kalendárnom 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„pobyt“ je na účely zákona č. 8/2009 Z. z. v aktuálnom znení vymedzený v § 2 ods. 2 písm. s). Táto definícia zahŕňa trvalý pobyt občana Slovenskej republiky, prechodný pobyt občana Slovenskej republiky trvalo žijúceho v zahraničí, trvalý alebo prechodný pobyt cudzinca na území Slovenskej republiky a zdržiavanie sa na území Slovenskej republiky na základe národného víza. Zdržiavanie sa na území Slovenskej republiky na základe dočasného útočiska medzi týmito formami uvedené nie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dôsledku toho sa podľa súčasného výkladu osoba, ktorá sa na území Slovenskej republiky oprávnene zdržiava výlučne na základe dočasného útočiska, môže dostať do situácie, keď napriek dlhodobému faktickému životu na Slovensku nespĺňa podmienku pobytu podľa § 77 ods. 1 písm. b), a preto nemôže získať slovenské vodičské oprávnenie.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problém sa týka najmä osôb, ktoré nemajú vodičské oprávnenie vydané v inom štáte a chcú ho po prvýkrát riadne získať na Slovensku absolvovaním vodičského kurzu, predpísaných skúšok a splnením všetkých ostatných zákonných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Praktický dôsledok súčasnej právnej úpravy možno ilustrovať aj na konkrétnom prípade, ktorý bol podnetom na otvorenie tejto otázky. Osoba s poskytnutým dočasným útočiskom dlhodobo a reálne žije na území Slovenskej republiky a je zároveň spoluvlastníčkou bytu v Bratislave, v ktorom skutočne býva. Napriek týmto dlhodobým a preukázateľným väzbám na Slovenskú republiku samotné vlastníctvo nehnuteľnosti ani faktické bývanie na Slovensku nenahrádza osobitnú podmienku „pobytu“ podľa § 77 ods. 1 písm. b), pokiaľ sa osoba na území Slovenskej republiky zdržiava na základe dočasného útočiska.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Vzniká tak situácia, keď osoba môže na Slovensku dlhodobo reálne žiť, mať tu svoje bydlisko, vlastniť nehnuteľnosť, pracovať alebo podnikať, no napriek tomu jej samotný druh oprávneného pobytového statusu bráni splniť jednu zo zákonných podmienok na získanie vodičského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Nejde pritom o požiadavku na výnimku z povinnosti absolvovať vodičský kurz, skúšku z odbornej spôsobilosti, zdravotnú spôsobilosť ani inú zákonom ustanovenú podmienku. Cieľom navrhovaného riešenia je umožniť osobám s dočasným útočiskom, ktoré na Slovensku dlhodobo a oprávnene žijú, splniť rovnaké podmienky a riadne absolvovať proces získania vodičského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preto, aby Ministerstvo vnútra Slovenskej republiky pri príprave predmetnej novely posúdilo možnosť legislatívneho riešenia, ktorým by sa na účely splnenia podmienok na udelenie vodičského oprávnenia zohľadňovalo aj oprávnené zdržiavanie sa osoby na území Slovenskej republiky na základe poskytnutého dočasného útočiska.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 zvážiť, aby sa pri posudzovaní časovej podmienky podľa § 77 ods. 1 písm. b) mohla zohľadniť aj doba, počas ktorej sa osoba oprávnene zdržiavala na území Slovenskej republiky na základe dočasného útočiska pred účinnosťou prípadnej legislatívnej zmeny. Takéto riešenie by zabránilo situácii, v ktorej by osoby dlhodobo žijúce na Slovensku museli po prijatí novej právnej úpravy začať rozhodujúcu dobu počítať od začiatku.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Som si vedomý, že základným predmetom predbežnej informácie PI/2026/230 je modernizácia a elektronizácia procesov súvisiacich s ukladaním, evidenciou a úhradou pokút v blokovom konaní. Keďže však pripravovaný právny predpis zároveň mení zákon č. 8/2009 Z. z. o cestnej premávke a legislatívny proces sa nachádza ešte vo fáze predbežnej informácie, považujem za vhodné upozorniť Ministerstvo vnútra Slovenskej republiky na uvedený problém už v tejto fáze a požiadať o zváženie jeho zahrnutia do pripravovaného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Ďakujem za posúdenie podnetu.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Lukáš Hajdúch</w:t>
            </w:r>
          </w:p>
        </w:tc>
      </w:tr>
    </w:tbl>
    <w:p w14:paraId="1F01DA97" w14:textId="77777777" w:rsidR="00E66622" w:rsidRPr="00E66622" w:rsidRDefault="00E66622">
      <w:pPr>
        <w:rPr>
          <w:rFonts w:ascii="Times New Roman" w:hAnsi="Times New Roman" w:cs="Times New Roman"/>
        </w:rPr>
      </w:pPr>
    </w:p>
    <w:sectPr w:rsidR="00E66622" w:rsidRPr="00E66622" w:rsidSect="00463836">
      <w:footerReference w:type="default" r:id="rId6"/>
      <w:footerReference w:type="first" r:id="rId7"/>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DEEF4" w14:textId="77777777" w:rsidR="00C26117" w:rsidRPr="00E66622" w:rsidRDefault="00C26117" w:rsidP="00E66622">
      <w:pPr>
        <w:spacing w:after="0" w:line="240" w:lineRule="auto"/>
      </w:pPr>
      <w:r w:rsidRPr="00E66622">
        <w:separator/>
      </w:r>
    </w:p>
  </w:endnote>
  <w:endnote w:type="continuationSeparator" w:id="0">
    <w:p w14:paraId="1E5D75E2" w14:textId="77777777" w:rsidR="00C26117" w:rsidRPr="00E66622" w:rsidRDefault="00C26117"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1560082"/>
      <w:docPartObj>
        <w:docPartGallery w:val="Page Numbers (Bottom of Page)"/>
        <w:docPartUnique/>
      </w:docPartObj>
    </w:sdtPr>
    <w:sdtEndPr>
      <w:rPr>
        <w:noProof/>
      </w:rPr>
    </w:sdtEndPr>
    <w:sdtContent>
      <w:p w14:paraId="78DC3A0B" w14:textId="5A4296D4" w:rsidR="00236556" w:rsidRDefault="002365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4FCCA7" w14:textId="77777777" w:rsidR="00E66622" w:rsidRDefault="00E666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9100" w14:textId="37C3F5DD" w:rsidR="00236556" w:rsidRPr="00236556" w:rsidRDefault="00236556">
    <w:pPr>
      <w:pStyle w:val="Footer"/>
      <w:jc w:val="center"/>
      <w:rPr>
        <w:rFonts w:ascii="Times New Roman" w:hAnsi="Times New Roman"/>
      </w:rPr>
    </w:pPr>
  </w:p>
  <w:p w14:paraId="5CD0C25D" w14:textId="77777777" w:rsidR="004E6AA4" w:rsidRDefault="004E6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214C0" w14:textId="77777777" w:rsidR="00C26117" w:rsidRPr="00E66622" w:rsidRDefault="00C26117" w:rsidP="00E66622">
      <w:pPr>
        <w:spacing w:after="0" w:line="240" w:lineRule="auto"/>
      </w:pPr>
      <w:r w:rsidRPr="00E66622">
        <w:separator/>
      </w:r>
    </w:p>
  </w:footnote>
  <w:footnote w:type="continuationSeparator" w:id="0">
    <w:p w14:paraId="5F583473" w14:textId="77777777" w:rsidR="00C26117" w:rsidRPr="00E66622" w:rsidRDefault="00C26117" w:rsidP="00E66622">
      <w:pPr>
        <w:spacing w:after="0" w:line="240" w:lineRule="auto"/>
      </w:pPr>
      <w:r w:rsidRPr="00E66622">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900"/>
    <w:rsid w:val="00047E84"/>
    <w:rsid w:val="00050137"/>
    <w:rsid w:val="000724FE"/>
    <w:rsid w:val="00076DCD"/>
    <w:rsid w:val="000A158B"/>
    <w:rsid w:val="000B2D78"/>
    <w:rsid w:val="000B34D9"/>
    <w:rsid w:val="000C172E"/>
    <w:rsid w:val="001228AD"/>
    <w:rsid w:val="00131490"/>
    <w:rsid w:val="00131742"/>
    <w:rsid w:val="001433FA"/>
    <w:rsid w:val="00146A7D"/>
    <w:rsid w:val="001E50FA"/>
    <w:rsid w:val="001E5996"/>
    <w:rsid w:val="001F777F"/>
    <w:rsid w:val="00231554"/>
    <w:rsid w:val="00236556"/>
    <w:rsid w:val="00237490"/>
    <w:rsid w:val="00245F36"/>
    <w:rsid w:val="0026614F"/>
    <w:rsid w:val="002715E0"/>
    <w:rsid w:val="0029170C"/>
    <w:rsid w:val="00295E6A"/>
    <w:rsid w:val="002A4482"/>
    <w:rsid w:val="002C368A"/>
    <w:rsid w:val="002D3B5E"/>
    <w:rsid w:val="00312884"/>
    <w:rsid w:val="00335FFB"/>
    <w:rsid w:val="003A5C5F"/>
    <w:rsid w:val="003C31D4"/>
    <w:rsid w:val="003E641E"/>
    <w:rsid w:val="003F1216"/>
    <w:rsid w:val="003F3166"/>
    <w:rsid w:val="003F37C1"/>
    <w:rsid w:val="004050CF"/>
    <w:rsid w:val="00405348"/>
    <w:rsid w:val="00425A59"/>
    <w:rsid w:val="00434080"/>
    <w:rsid w:val="00463836"/>
    <w:rsid w:val="00467653"/>
    <w:rsid w:val="00491026"/>
    <w:rsid w:val="004A62B8"/>
    <w:rsid w:val="004B0317"/>
    <w:rsid w:val="004B4188"/>
    <w:rsid w:val="004E0BF7"/>
    <w:rsid w:val="004E6AA4"/>
    <w:rsid w:val="004F1B4F"/>
    <w:rsid w:val="004F4092"/>
    <w:rsid w:val="00503F23"/>
    <w:rsid w:val="0051341E"/>
    <w:rsid w:val="00513767"/>
    <w:rsid w:val="005146CA"/>
    <w:rsid w:val="00533748"/>
    <w:rsid w:val="0053699B"/>
    <w:rsid w:val="00563EB3"/>
    <w:rsid w:val="00583F11"/>
    <w:rsid w:val="00592017"/>
    <w:rsid w:val="005B618C"/>
    <w:rsid w:val="005E5B0E"/>
    <w:rsid w:val="005F3E6F"/>
    <w:rsid w:val="005F71E1"/>
    <w:rsid w:val="00602231"/>
    <w:rsid w:val="006371D1"/>
    <w:rsid w:val="00641DD8"/>
    <w:rsid w:val="00664F3B"/>
    <w:rsid w:val="00695857"/>
    <w:rsid w:val="006C2D6E"/>
    <w:rsid w:val="0070694E"/>
    <w:rsid w:val="00707B3A"/>
    <w:rsid w:val="007247A7"/>
    <w:rsid w:val="00762E51"/>
    <w:rsid w:val="00774ED8"/>
    <w:rsid w:val="00784062"/>
    <w:rsid w:val="007C1A93"/>
    <w:rsid w:val="00820A78"/>
    <w:rsid w:val="0084088F"/>
    <w:rsid w:val="008741FE"/>
    <w:rsid w:val="00882D49"/>
    <w:rsid w:val="008C2612"/>
    <w:rsid w:val="008D299D"/>
    <w:rsid w:val="00913D14"/>
    <w:rsid w:val="00917A99"/>
    <w:rsid w:val="00932936"/>
    <w:rsid w:val="00934F23"/>
    <w:rsid w:val="00947810"/>
    <w:rsid w:val="009647D6"/>
    <w:rsid w:val="00980D7A"/>
    <w:rsid w:val="009912BF"/>
    <w:rsid w:val="009B1491"/>
    <w:rsid w:val="009D152C"/>
    <w:rsid w:val="009D32B4"/>
    <w:rsid w:val="009E0711"/>
    <w:rsid w:val="009F35D2"/>
    <w:rsid w:val="00A070EB"/>
    <w:rsid w:val="00A50443"/>
    <w:rsid w:val="00A53B17"/>
    <w:rsid w:val="00A81039"/>
    <w:rsid w:val="00B02EF2"/>
    <w:rsid w:val="00B0310C"/>
    <w:rsid w:val="00B11932"/>
    <w:rsid w:val="00B13C0C"/>
    <w:rsid w:val="00B8742A"/>
    <w:rsid w:val="00B946A0"/>
    <w:rsid w:val="00B95BCC"/>
    <w:rsid w:val="00B95FCB"/>
    <w:rsid w:val="00BC339E"/>
    <w:rsid w:val="00BD7F55"/>
    <w:rsid w:val="00BE323C"/>
    <w:rsid w:val="00BE5283"/>
    <w:rsid w:val="00BF207A"/>
    <w:rsid w:val="00C06F1F"/>
    <w:rsid w:val="00C26117"/>
    <w:rsid w:val="00C43D79"/>
    <w:rsid w:val="00C529CC"/>
    <w:rsid w:val="00C81BA6"/>
    <w:rsid w:val="00C84A5B"/>
    <w:rsid w:val="00CD7313"/>
    <w:rsid w:val="00CE2823"/>
    <w:rsid w:val="00D0302E"/>
    <w:rsid w:val="00D2596D"/>
    <w:rsid w:val="00D44E47"/>
    <w:rsid w:val="00D466F6"/>
    <w:rsid w:val="00D610D0"/>
    <w:rsid w:val="00D91683"/>
    <w:rsid w:val="00DA267A"/>
    <w:rsid w:val="00DB2917"/>
    <w:rsid w:val="00DD2850"/>
    <w:rsid w:val="00DD302E"/>
    <w:rsid w:val="00DD7CB5"/>
    <w:rsid w:val="00E07639"/>
    <w:rsid w:val="00E078E8"/>
    <w:rsid w:val="00E11D16"/>
    <w:rsid w:val="00E37A37"/>
    <w:rsid w:val="00E41A2D"/>
    <w:rsid w:val="00E66622"/>
    <w:rsid w:val="00E67174"/>
    <w:rsid w:val="00E922B9"/>
    <w:rsid w:val="00E92A50"/>
    <w:rsid w:val="00EA3B3C"/>
    <w:rsid w:val="00EE00C6"/>
    <w:rsid w:val="00EE3DCD"/>
    <w:rsid w:val="00F14D0A"/>
    <w:rsid w:val="00F456DC"/>
    <w:rsid w:val="00F5065D"/>
    <w:rsid w:val="00F73F9B"/>
    <w:rsid w:val="00F8431B"/>
    <w:rsid w:val="00F85AB8"/>
    <w:rsid w:val="00F907A2"/>
    <w:rsid w:val="00FA016F"/>
    <w:rsid w:val="00FA2BCB"/>
    <w:rsid w:val="00FA4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footer1.xml" Type="http://schemas.openxmlformats.org/officeDocument/2006/relationships/footer"/><Relationship Id="rId7" Target="footer2.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18</Words>
  <Characters>107</Characters>
  <Application>Microsoft Office Word</Application>
  <DocSecurity>0</DocSecurity>
  <Lines>1</Lines>
  <Paragraphs>1</Paragraphs>
  <ScaleCrop>false</ScaleCrop>
  <Company/>
  <LinksUpToDate>false</LinksUpToDate>
  <CharactersWithSpaces>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2025-01-21T10:44:00Z</dcterms:modified>
  <cp:revision>58</cp:revision>
</cp:coreProperties>
</file>