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5EFAF" w14:textId="17FD2D6C" w:rsidR="00E66622" w:rsidRPr="00785E8D" w:rsidRDefault="00461B69" w:rsidP="00796EBE">
      <w:pPr>
        <w:spacing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lang w:val="en-US"/>
        </w:rPr>
        <w:t>VYHODNOTENIE PRIPOMIENKOVÉHO KONANIA</w:t>
      </w:r>
      <w:r w:rsidR="00785E8D" w:rsidRPr="00785E8D">
        <w:rPr>
          <w:rFonts w:ascii="Times New Roman" w:eastAsia="Times New Roman" w:hAnsi="Times New Roman" w:cs="Times New Roman"/>
          <w:b/>
          <w:sz w:val="28"/>
        </w:rPr>
        <w:br/>
      </w:r>
      <w:r w:rsidR="009D32B4" w:rsidRPr="00215E64">
        <w:rPr>
          <w:rFonts w:ascii="Times New Roman" w:eastAsia="Times New Roman" w:hAnsi="Times New Roman" w:cs="Times New Roman"/>
          <w:b/>
          <w:sz w:val="24"/>
          <w:szCs w:val="20"/>
        </w:rPr>
        <w:t>Návrh zákona o ochrane označení pôvodu a zemepisných označení a o zmene a doplnení zákona Národnej rady Slovenskej republiky č. 145/1995 Z. z. o správnych poplatkoch v znení neskorších predpisov</w:t>
      </w:r>
      <w:r w:rsidR="00917A99" w:rsidRPr="00785E8D">
        <w:rPr>
          <w:rFonts w:ascii="Times New Roman" w:eastAsia="Times New Roman" w:hAnsi="Times New Roman" w:cs="Times New Roman"/>
          <w:b/>
          <w:sz w:val="28"/>
        </w:rPr>
        <w:br/>
      </w:r>
      <w:r w:rsidR="003F1216" w:rsidRPr="00785E8D">
        <w:rPr>
          <w:rFonts w:ascii="Times New Roman" w:eastAsia="Times New Roman" w:hAnsi="Times New Roman" w:cs="Times New Roman"/>
          <w:bCs/>
          <w:sz w:val="24"/>
          <w:szCs w:val="24"/>
        </w:rPr>
        <w:t>LP/2025/355</w:t>
      </w:r>
    </w:p>
    <w:p w14:paraId="37B19B45" w14:textId="0784701B" w:rsidR="00362D69" w:rsidRPr="00362D69" w:rsidRDefault="00785E8D" w:rsidP="00362D69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  <w:sectPr w:rsidR="00362D69" w:rsidRPr="00362D69" w:rsidSect="00362D69">
          <w:footerReference w:type="default" r:id="rId7"/>
          <w:pgSz w:w="15840" w:h="12240" w:orient="landscape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785E8D">
        <w:rPr>
          <w:rFonts w:ascii="Times New Roman" w:eastAsia="Times New Roman" w:hAnsi="Times New Roman" w:cs="Times New Roman"/>
          <w:b/>
          <w:bCs/>
          <w:sz w:val="24"/>
          <w:szCs w:val="24"/>
        </w:rPr>
        <w:t>Spôsob pripomienkového konania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Počet vznesených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z toho z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á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sadn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  <w:lang w:val="en-US"/>
        </w:rPr>
        <w:t>69/0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et vyhodnoten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 pripomienok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754CB0">
        <w:rPr>
          <w:rFonts w:ascii="Times New Roman" w:eastAsia="Times New Roman" w:hAnsi="Times New Roman" w:cs="Times New Roman"/>
          <w:sz w:val="24"/>
          <w:szCs w:val="24"/>
        </w:rPr>
        <w:t>69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et akceptovan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 pripomienok, z toho z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á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sadn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785E8D">
        <w:rPr>
          <w:rFonts w:ascii="Times New Roman" w:eastAsia="Times New Roman" w:hAnsi="Times New Roman" w:cs="Times New Roman"/>
          <w:sz w:val="18"/>
          <w:szCs w:val="18"/>
        </w:rPr>
        <w:tab/>
      </w:r>
      <w:r w:rsidR="009275DB">
        <w:rPr>
          <w:rFonts w:ascii="Times New Roman" w:eastAsia="Times New Roman" w:hAnsi="Times New Roman" w:cs="Times New Roman"/>
          <w:sz w:val="18"/>
          <w:szCs w:val="18"/>
        </w:rPr>
        <w:tab/>
      </w:r>
      <w:r w:rsidR="00273DAE">
        <w:rPr>
          <w:rFonts w:ascii="Times New Roman" w:eastAsia="Times New Roman" w:hAnsi="Times New Roman" w:cs="Times New Roman"/>
          <w:sz w:val="24"/>
          <w:szCs w:val="24"/>
        </w:rPr>
        <w:t>54</w:t>
      </w:r>
      <w:r w:rsidR="00754CB0">
        <w:rPr>
          <w:rFonts w:ascii="Times New Roman" w:eastAsia="Times New Roman" w:hAnsi="Times New Roman" w:cs="Times New Roman"/>
          <w:sz w:val="24"/>
          <w:szCs w:val="24"/>
        </w:rPr>
        <w:t>/0</w:t>
      </w:r>
      <w:r w:rsidR="009275DB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 xml:space="preserve">et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iasto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ne akceptovaných pripomienok, z toho zásadných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7/</w:t>
      </w:r>
      <w:r w:rsidR="008E0404">
        <w:rPr>
          <w:rFonts w:ascii="Times New Roman" w:eastAsia="Times New Roman" w:hAnsi="Times New Roman" w:cs="Times New Roman"/>
          <w:sz w:val="24"/>
          <w:szCs w:val="24"/>
        </w:rPr>
        <w:t xml:space="preserve">0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hAnsi="Times New Roman" w:cs="Times New Roman"/>
          <w:sz w:val="24"/>
          <w:szCs w:val="24"/>
        </w:rPr>
        <w:t>et neakceptovaných pripomienok, z toho zásadných</w:t>
      </w:r>
      <w:r w:rsidR="009275DB">
        <w:rPr>
          <w:rFonts w:ascii="Times New Roman" w:hAnsi="Times New Roman" w:cs="Times New Roman"/>
          <w:sz w:val="24"/>
          <w:szCs w:val="24"/>
        </w:rPr>
        <w:t>:</w:t>
      </w:r>
      <w:r w:rsidR="00AE09D4">
        <w:rPr>
          <w:rFonts w:ascii="Times New Roman" w:hAnsi="Times New Roman" w:cs="Times New Roman"/>
          <w:sz w:val="24"/>
          <w:szCs w:val="24"/>
        </w:rPr>
        <w:tab/>
      </w:r>
      <w:r w:rsidR="00AE09D4">
        <w:rPr>
          <w:rFonts w:ascii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8</w:t>
      </w:r>
      <w:r w:rsidR="004A48F0">
        <w:rPr>
          <w:rFonts w:ascii="Times New Roman" w:eastAsia="Times New Roman" w:hAnsi="Times New Roman" w:cs="Times New Roman"/>
          <w:sz w:val="24"/>
          <w:szCs w:val="24"/>
        </w:rPr>
        <w:t>/0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vznesených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011D51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vyhodnotených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hAnsi="Times New Roman" w:cs="Times New Roman"/>
          <w:sz w:val="24"/>
          <w:szCs w:val="24"/>
        </w:rPr>
        <w:t>0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 xml:space="preserve">et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iasto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ne 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neakceptovaných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362D69">
        <w:rPr>
          <w:sz w:val="24"/>
          <w:szCs w:val="24"/>
        </w:rPr>
        <w:tab/>
      </w:r>
    </w:p>
    <w:p w14:paraId="7416DD4C" w14:textId="08345D1C" w:rsidR="00677591" w:rsidRP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7591">
        <w:rPr>
          <w:rFonts w:ascii="Times New Roman" w:eastAsia="Times New Roman" w:hAnsi="Times New Roman" w:cs="Times New Roman"/>
          <w:sz w:val="24"/>
          <w:szCs w:val="24"/>
        </w:rPr>
        <w:lastRenderedPageBreak/>
        <w:t>Vysvetlivky k použitým skratkám v tabu</w:t>
      </w:r>
      <w:r w:rsidR="00A6034C">
        <w:rPr>
          <w:rFonts w:ascii="Times New Roman" w:eastAsia="Times New Roman" w:hAnsi="Times New Roman" w:cs="Times New Roman"/>
          <w:sz w:val="24"/>
          <w:szCs w:val="24"/>
        </w:rPr>
        <w:t>ľ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>kách:</w:t>
      </w:r>
    </w:p>
    <w:p w14:paraId="6682E303" w14:textId="77777777" w:rsid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7591">
        <w:rPr>
          <w:rFonts w:ascii="Times New Roman" w:eastAsia="Times New Roman" w:hAnsi="Times New Roman" w:cs="Times New Roman"/>
          <w:sz w:val="24"/>
          <w:szCs w:val="24"/>
        </w:rPr>
        <w:t>O – obyčajná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ab/>
        <w:t>A – 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>Z – zásadná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ab/>
        <w:t>N – neakceptovaná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      ČA – čiastočne 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      NEP – neprihliada sa</w:t>
      </w:r>
    </w:p>
    <w:p w14:paraId="1D01C82C" w14:textId="77777777" w:rsid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Vyhodnotenie vecných pripomienok</w:t>
      </w:r>
    </w:p>
    <w:p w14:paraId="1F0934E1" w14:textId="3FA44BEE" w:rsidR="007C1A93" w:rsidRPr="00677591" w:rsidRDefault="00E66622" w:rsidP="001E6254">
      <w:pPr>
        <w:keepLines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5E8D">
        <w:rPr>
          <w:rFonts w:ascii="Times New Roman" w:eastAsia="Times New Roman" w:hAnsi="Times New Roman" w:cs="Times New Roman"/>
          <w:sz w:val="24"/>
          <w:szCs w:val="24"/>
        </w:rPr>
        <w:t>Vznesené pripomienky</w:t>
      </w:r>
    </w:p>
    <w:tbl>
      <w:tblPr>
        <w:tblW w:w="0" w:type="auto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4"/>
        <w:gridCol w:w="1296"/>
        <w:gridCol w:w="6480"/>
        <w:gridCol w:w="778"/>
        <w:gridCol w:w="2462"/>
      </w:tblGrid>
      <w:tr w:rsidR="000B16EA" w:rsidRPr="00785E8D" w14:paraId="575AAFA8" w14:textId="1649F593" w:rsidTr="00343965">
        <w:trPr>
          <w:trHeight w:val="648"/>
          <w:jc w:val="center"/>
        </w:trPr>
        <w:tc>
          <w:tcPr>
            <w:tcW w:w="1944" w:type="dxa"/>
            <w:vAlign w:val="center"/>
          </w:tcPr>
          <w:p w14:paraId="4B4FA583" w14:textId="62ECD7CF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1296" w:type="dxa"/>
            <w:vAlign w:val="center"/>
          </w:tcPr>
          <w:p w14:paraId="498D7DF6" w14:textId="5D009C3B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Typ</w:t>
            </w:r>
          </w:p>
        </w:tc>
        <w:tc>
          <w:tcPr>
            <w:tcW w:w="6480" w:type="dxa"/>
            <w:vAlign w:val="center"/>
          </w:tcPr>
          <w:p w14:paraId="54262B5F" w14:textId="62E0E806" w:rsidR="000B16EA" w:rsidRPr="00785E8D" w:rsidRDefault="000B16EA" w:rsidP="001E6254">
            <w:pPr>
              <w:keepLines/>
              <w:spacing w:after="0" w:line="240" w:lineRule="auto"/>
              <w:ind w:left="-21" w:firstLine="2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  <w:tc>
          <w:tcPr>
            <w:tcW w:w="778" w:type="dxa"/>
            <w:vAlign w:val="center"/>
          </w:tcPr>
          <w:p w14:paraId="41ADFD06" w14:textId="0CD664FD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Vyh.</w:t>
            </w:r>
          </w:p>
        </w:tc>
        <w:tc>
          <w:tcPr>
            <w:tcW w:w="2462" w:type="dxa"/>
            <w:vAlign w:val="center"/>
          </w:tcPr>
          <w:p w14:paraId="2E5EC5EB" w14:textId="449D24DE" w:rsidR="000B16EA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Spôsob vyhodnotenia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Generálna prokuratúra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Všeobecne - O: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vyššie uvedenému materiálu Generálna prokuratúra Slovenskej republiky neuplatňuje pripomienky.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návrhu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	Vzhľadom na rozsah návrhu neodporúčame členiť návrh na časti.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	V § 1 navrhujeme označiť prvú vetu ako samostatný odsek a v druhej vete za slovo „rozsahu“ vložiť slovo „podľa“.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	V § 1 a 2 navrhujeme vypustiť nadpisy, a nad § 1 umiestniť nadpis „Úvodné ustanovenia“, keďže § 2 neobsahuje základné pojmy vzhľadom na početnosť výskytu oboch pojmov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4.	V § 3 už je zavedená legislatívna skratka pre ministerstvo, z tohto dôvodu odporúčame v § 4 ods. 2 legislatívnu skratku vypustiť a odporúčame vypustiť slová ,,tohto zákona“, v prípade akceptovania pripomienky k vypusteniu označení častí nahradiť vnútorný odkaz na druhú časť vnútorným odkazom na konkrétne paragrafy.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5.	V § 4 ods. 3 navrhujeme obdobne ako je tomu v § 19 ods. 3 správneho poriadku upraviť povinnosť úradu poučiť žiadateľa o následku neodstránenia nedostatkov žiadosti.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6.	V § 4 ods. 4 navrhujeme slová „má byť...zamietnutá“ nahradiť slovami „sa má...zamietnuť“.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7.	V § 5 ods. 2 navrhujeme slovo „položené“ nahradiť slovom „podložené“.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8.	V § 5 ods. 8 odporúčame upraviť poslednú vetu takto: ,,Odseky 9 a 10 tým nie sú dotknuté.“.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9.	V § 5 ods. 9 navrhujeme slová „boli...umiestňované“ nahradiť slovami „sa...umiestňovali“.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10.	V § 7 nadpise navrhujeme skratku „EÚ“ nahradiť slovami „Európskej únie“ a slovo „stanovenej“ nahradiť slovami „ustanovenej“.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11.	Navrhujeme spojiť § 8 a 9  tak, že odsek 1 bude upravovať komu sa podáva žiadosť o zmenu špecifikácie alebo žiadosť o zrušenie  zápisu  výrobku pochádzajúcemu zo Slovenskej republiky a odsek 2 bude upravovať to isté pokiaľ ide o zmenu alebo zrušenie, ak ide o únijnú zmenu alebo zmenu na úrovni EÚ v nadväznosti na uvedené upraviť nadpis napríklad takto „Zmena špecifikácie výrobku a zrušenie zápisu“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12.	Odporúčame preformulovať § 11 ods. 1 takto: ,,Úrad môže predĺžiť lehotu na základe žiadosti...“.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13.	V § 11 ods. 2 navrhujeme slová „nezodpovedá podmienkam podľa odseku 1“ nahradiť slovami „ak  nie  je splnená niektorá z podmienok podľa odseku 1“, keďže máme za to že postačuje nesplnenie čo i len jednej z viacerých podmienok.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14.	V § 12 ods. 2 navrhujeme slová „boli účastníkmi ...navrhnuté a predložené“ nahradiť slovami „účastníci konania navrhli a predložili“.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15.	V § 15 ods. 1 navrhujeme slová „bolo zakázané...boli odstránené“ nahradiť slovami „sa zakázalo...sa odstránili“, pripomienka platí primerane aj pre odsek 2.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16.	V § 15 ods. 15 navrhujeme buď druhovo konkretizovať, ktoré ustanovenia Občianskeho zákonníka  má predkladateľ na mysli resp. slová „použijú ustanovenia Občianskeho zákonníka“ nahradiť slovami „použije Občiansky zákonník“.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17.	V § 16 ods. 2 písm. a) navrhujeme vypustiť slová „obchodné meno alebo“, keďže názov ako nadradený pojem zahŕňa aj pojem obchodné meno.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18.	V § 18 nadpise sa používa len pojem „zábezpeka“  v ods. 1 sa hovorí o „peňažnej zábezpeke a v ods. 2 a 3 o „zloženej zábezpeke“, navrhujeme zjednotiť pojmoslovie.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19.	V § 19 ods. 1 navrhujeme slová „ustanovenia odseku...dotknuté“ nahradiť slovami „odsek...dotknutý“.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20.	V § 19 ods. 2 navrhujeme slovo „predchádzajúcej“ nahradiť slovom „prvej“.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21.	V § 19 ods. 3 navrhujeme, vzhľadom na generálnu klauzulu subsidiárnej pôsobnosti správneho poriadku, upraviť znenie ustanovenia tak, aby obsahovalo len negatívny výpočet ustanovení správneho poriadku.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22.	V § 19 ods. 4 navrhujeme slová „písomne...elektronickej podobe,“ nahradiť  slovami „v písomnej forme“, keďže písomná forma zahŕňa tak listinnú podobu ako aj elektronickú podobu.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23.	V § 19 ods. 5 navrhujeme slová „v...inak“ nahradiť slovami „odsek 6 neustanovuje inak“.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24.	V § 20 navrhujeme slová „podľa doterajších predpisov“ nahradiť slovami „podľa zákona č. 469/2003 Z. z. o označeniach pôvodu výrobkov a zemepisných označeniach výrobkov a o zmene a doplnení niektorých zákonov v znení“, obdobne ako je tomu v § 25 ods. 2, 3 a 9 zákona č. 54/2019 Z. z.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25.	V § 21 navrhujeme začiatok ustanovenia upraviť takto: „Zrušuje sa zákon č. 469/2003 Z. z. o označeniach pôvodu výrobkov a zemepisných označeniach výrobkov a o zmene a doplnení niektorých zákonov v znení zákona...“.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26.	§ 22 navrhujem z hľadiska systematiky presunúť za § 20 a pred § 21 ako nový § 21 a § 21 označiť ako § 22.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27.	V Čl. II bode 1 odporúčame za slovom ,,ktorý“ vložiť slová ,,vrátane nadpisu“.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28.	V čl. II bode 1 v § 19wb navrhujeme pred slovo „neukončených“ vložiť slov „právoplatne“.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ČA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jednotlivým častiam pripomienky: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CA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	Vzhľadom na charakter návrhu (implementácia práva EÚ,) predkladateľ považuje za vhodné z dôvodu prehľadnosti a zabezpečenia zrozumiteľnej nadväznosti na právnu úpravu EÚ ponechať členenie návrhu na časti, ktoré zahŕňajú obsahovo súvisiace úseky. V rámci štvrtej časti bol presunutý nadpis pod § 14 ako nadpis časti.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	Akceptovaná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	Čiastočne akceptovaná; vypustenie nadpisu § 2 (Vymedzenie základných pojmov)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4.	Akceptovaná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5.	Akceptované; môže sa stať, že nám povedia, že máme vypustiť vetu Ak žiadateľ nedostatky v úradom určenej lehote neodstráni, úrad konanie o žiadosti o zápis zastaví, nakoľko nemáme vylúčený § 30 správneho poriadku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6.	Akceptovaná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7.	Akceptovaná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8.	Akceptovaná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9.	Akceptované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10.	Akceptované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11.	Neakceptovaná; predkladateľ považuje pôvodné znenie za prehľadnejšie.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12.	Neakceptovaná;Pôvodné znenie je zrozumiteľnejšie ako navrhovaná úprava.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13.	Neakceptované; pôvodná úprava je dostatočne zrozumiteľná a predpokladá splnenie všetkých podmienok podľa odseku 1.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14.	Neakceptovaná; štandardná formulácia v priemyselnoprávnych predpisoch.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15.	Neakceptovaná; štandardná formulácia v priemyselnoprávnych predpisoch.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16.	Akceptovaná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17.	Akceptovaná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18.	Neakceptovaná; v odsekoch 2 a 3 je zábezpeka určená odkazom na odsek 1.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19.	Akceptovaná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20.	Akceptovaná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21.	Akceptovaná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22.	Neakceptovaná – ustálená terminológia používaná v právnych predpisoch upravujúcich priemyselné práva, ktorá zodpovedá aj všeobecnej úprave formy podania v Správnom poriadku. 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23.	Akceptovaná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24.	Neakceptovaná; ochrana na vnútroštátnej úrovni mohla byť udelená aj na základe zákona, ktorý predchádzal zákonu č. 469/2003 Z. z.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25.	Akceptovaná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26.	Akceptovaná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27.	Akceptovaná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28.	Neakceptovaná; ide o štandardne formulované prechodné ustanovenie zákona NR SR č. 145/1995 Z. z. (porovanj napr § 19v, § 19wa)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MFSR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financií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Návrh je potrebné zosúladiť s prílohou č. 1 Legislatívnych pravidiel vlády SR (ďalej len „príloha LPV“) [napríklad v celom návrhu zákona odporúčame zvážiť používanie pojmov „ochrana označení pôvodu výrobkov“ a „ochrana zemepisných označení výrobkov“ v príslušnom tvare z dôvodu upresnenia pojmov a zachovania kontinuity so zaužívanými pojmami, v čl. I v poznámkach pod čiarou k odkazom 1 až 50 za číselné označenie poznámky pod čiarou vložiť znak „)“, v poznámke pod čiarou k odkazu 1 prvej vete na konci pripojiť slová „v platnom znení“; pripomienka sa v súlade s bodom 62.11 prílohy LPV primerane vzťahuje na všetky skrátené citácie tohto nariadenia uvedené v poznámkach pod čiarou, v § 1 úvodnej vete slová „alebo zemepisného“ nahradiť slovami „alebo zápisu zemepisného“, v poznámke pod čiarou k odkazu 5 druhej vete slovo „Kapitola“ nahradiť slovami „Hlava II kapitola“, v nadpise druhej časti  slová „EÚ“ nahradiť slovami „Európskej únie“, v § 4 ods. 1 prvej vete za slovo „cezhraničnej“ vložiť slovo „zemepisnej“, v § 4 ods. 2 slová „Ministerstvom pôdohospodárstva a rozvoja vidieka Slovenskej republiky (ďalej len „ministerstvo“)“ nahradiť slovom „ministerstvom“ z dôvodu dôsledného používania legislatívnej skratky zavedenej v § 3, v § 5 ods. 2 druhej vete slovo „položené“ nahradiť slovom „podložené“, v poznámke pod čiarou k odkazu 20 v súlade s bodom 48 prílohy LPV slová „zákona č. 71/1967 Zb. o správnom konaní (správny poriadok) v znení neskorších predpisov“ nahradiť slovami „Správneho poriadku“, v § 7 nadpise slová „EÚ“ nahradiť slovami „Európskej únie“, v § 7 slová „stanovenej v osobitnom predpise“ nahradiť slovami „podľa osobitného predpisu“, v § 11 ods. 1 odporúčame upresniť slová „lehoty na vykonanie úkonu“ vnútornými odkazmi, v § 11 preformulovať odsek 2, pretože  odsek 1 žiadne podmienky neupravuje, v § 13 ods. 1 slová „všeobecným predpisom o správnom konaní“ nahradiť slovami „Správnym poriadkom“ a v poznámke pod čiarou k odkazu 27 v súlade s bodom 48 prílohy LPV slová „zákona č. 71/1967 Zb. v znení zákona č. 527/2003 Z. z.“ nahradiť slovami „Správneho poriadku“, v § 13 ods. 2 slovo „rozsahom“ nahradiť slovom „obsahom“, pod slová „ ŠTVRTÁ ČASŤ“ odporúčame presunúť nadpis § 14, v § 14 odporúčame preformulovať odsek 1, tak aby bolo jeho znenie normatívne, v § 16 ods. 2 písm. a) upresniť pojem „zamýšľaného predajcu“, v § 16 ods. 3 písm. d) slová „uvedenou v písmenách“ nahradiť slovami „podľa písmen“, v nadpise šiestej časti návrhu zákona slovo „ZRUŠOVACIE“ nahradiť slovom „ZÁVEREČNÉ“, v § 19 ods. 1 a 2 upresniť pojmy „podnik na území Slovenskej republiky“ a „podnik na území štátu“, v § 19 ods. 3 slová „všeobecný predpis o správnom konaní39)“ nahradiť slovami „Správny poriadok“ a vypustiť poznámku pod čiarou k odkazu 39, v § 19 ods.4 vypustiť slovo „a“ ako nadbytočné, v § 19 ods. 6 odkaz 42 nahradiť odkazom 9 a vypustiť poznámku po čiarou k odkazu 42, v § 19 ods. 7 druhej vete a tretej vete slová „Každé podanie“ nahradiť slovom „Podanie“, v § 20 ods. 4 časti vety za bodkočiarkou slová „neplatí, ak bude vnútroštátna ochrana nahradená ochranou na úrovni“ nahradiť slovami „neplatí po nahradení vnútroštátnej ochrany ochranou podľa predpisov“, v § 21 text uviesť v jednom odseku a slová „sa: Zákon“ nahradiť slovami „sa zákon“, v čl. II bode 1 úvodnej vete slová „§ 19 wa“ nahradiť slovami „§19wa“, slová „§ 19 wb“ nahradiť slovami „§19wb“ a za slovo „ktorý“ vložiť slová „vrátane nadpisu“, v označení paragrafu slová „§ 19 wb“ nahradiť slovami „§ 19wb“, v bode 2 slová „ÚPV SR“ nahradiť slovami „Úradu priemyselného vlastníctva Slovenskej republiky“, v prílohe citáciu právne záväzného aktu Európskej únie zosúladiť s bodom 62.13 prílohy LPV].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ČA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neakceptované časti pripomienky: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 odporúčame zvážiť používanie pojmov „ochrana označení pôvodu výrobkov“ a „ochrana zemepisných označení výrobkov“ v príslušnom tvare z dôvodu upresnenia pojmov a zachovania kontinuity so zaužívanými pojmami; dôvod neakceptovania:  Návrh je implementáciou práva EÚ z danej oblasti, ktorá používa pojmy „zemepisné označenie, resp. označenie pôvodu“, predkladateľ sleduje túto terminológiu; zachovanie kontinuity s doterajšou vnútroštátnou právnou úpravou nie je relevantné.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 v poznámke pod čiarou k odkazu 1 prvej vete na konci pripojiť slová „v platnom znení“; pripomienka sa v súlade s bodom 62.11 prílohy LPV primerane vzťahuje na všetky skrátené citácie tohto nariadenia uvedené v poznámkach pod čiarou; dôvod neakceptovania: Nariadenie (EÚ) 2023/2411 zatiaľ nebolo menené, preto nie je dôvodné uvádzať ho s dodatkom v platnom znení.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3. v poznámke pod čiarou k odkazu 20 v súlade s bodom 48 prílohy LPV slová „zákona č. 71/1967 Zb. o správnom konaní (správny poriadok) v znení neskorších predpisov“ nahradiť slovami „Správneho poriadku“; dôvod neakceptovania: Podľa názoru predkladateľa sa bod 48. prílohy LPV na daný právny predpis nevzťahuje. V danom prípade ide o zákon so stručným slovným označením podľa bodu 16 Prílohy č. 1 k LPV SR, pri ktorom nie je možné použiť citáciu pomocou slovného označenia.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4.   v § 7 slová „stanovenej v osobitnom predpise“ nahradiť slovami „podľa osobitného predpisu“; dôvod neakceptovania: Pôvodné znenie je jednoznačnejšie z hľadiska prepojenia na lehotu.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5. v § 11 ods. 1 odporúčame upresniť slová „lehoty na vykonanie úkonu“ vnútornými odkazmi; dôvod neakceptovania: Upresnenie v zmysle pripomienky považuje predkladateľ za nadbytočné.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6. v § 11 preformulovať odsek 2, pretože  odsek 1 žiadne podmienky neupravuje; dôvod neakceptovania: V zmysle odseku 1 musí ísť o úradom určenú lehotu a žiadosť musí byť podaná pred uplynutím tejto lehoty (podmienky pre vyhovenie žiadosti).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7. v § 13 ods. 1 slová „všeobecným predpisom o správnom konaní“ nahradiť slovami „Správnym poriadkom“ a v poznámke pod čiarou k odkazu 27 v súlade s bodom 48 prílohy LPV slová „zákona č. 71/1967 Zb. v znení zákona č. 527/2003 Z. z.“ nahradiť slovami „Správneho poriadku“; dôvod neakceptovania: Podľa názoru predkladateľa sa bod 48. prílohy LPV na daný právny predpis nevzťahuje; zákon č. 71/1967 Zb. nie je právnym predpisom, pri ktorom by bolo možné používať slovné označenie.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8. v § 13 ods. 2 slovo „rozsahom“ nahradiť slovom „obsahom“; dôvod neakceptovania:Ide o osobitnú úpravu vo vzťahu k § 58 ods. 1 správneho poriadku; porovnaj jeho znenie (Odvolací orgán preskúma napadnuté rozhodnutie v celom rozsahu;)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9. v § 14 odporúčame preformulovať odsek 1, tak aby bolo jeho znenie normatívne; dôvod neakceptovania: Podľa názorupredkladateľa je znenie normatívne.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10. v § 16 ods. 2 písm. a) upresniť pojem „zamýšľaného predajcu“; dôvod neakceptovania: Ide o pojem z práva EÚ [čl. 8 ods. 2 smernice (ES) 2004/48], ktorý nemožno vo vnútroštátnej legislatíve upresňovať, resp. definovať.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11. v § 19 ods. 1 a 2 upresniť pojmy „podnik na území Slovenskej republiky“ a „podnik na území štátu“; dôvod neakceptovania: Štandardná formulácia národného zaobchádzania v priemyselnoprávnych predpisoch; prebratie záväzkov z medzinárodných dohovorov (pozri napr.  poznámku pod čiarou k odkazu 1 v Čl. 1 ods. 3 Dohody o obchodných aspektoch práv duševného vlastníctva (TRIPS).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12.  v § 19 ods. 3 slová „všeobecný predpis o správnom konaní39)“ nahradiť slovami „Správny poriadok“ a vypustiť poznámku pod čiarou k odkazu 39; dôvod neakceptovania: Podľa názoru predkladateľa sa bod 48. prílohy LPV na daný právny predpis nevzťahuje; zákon č. 71/1967 Zb. nie je právnym predpisom, pri ktorom by bolo možné používať slovné označenie.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13. v § 19 ods. 6 odkaz 42 nahradiť odkazom 9 a vypustiť poznámku po čiarou k odkazu 42; dôvod neakceptovania: V dotknutých poznámkach pod čiarou nie sú uvedené totožné obsahy.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14. 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hospodárstva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Doložke vybraných vplyvov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Odporúčame predkladateľovi v bode 1 ,,Základné údaje“ v časti „Charakter predkladaného materiálu“ vyznačiť, že sa jedná aj o transpozíciu/ implementáciu práva EÚ.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 Je potrebné vyznačenie transpozíciu/ implementáciu práva EÚ, keďže cieľom prijatia novej právnej úpravy je náležitá implementácia nariadení EÚ, konkrétne nariadenia (EÚ) 2023/2411 a nariadenia (EÚ) 2024/1143, a prijatie opatrení na zabezpečenie ich riadneho vykonávania v podmienkach SR.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cestovného ruchu a športu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názvu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názve zákona odporúčame doplniť, že ide o ochranu označenia pôvodu výrobkov a zemepisných označení výrobkov z dôvodu spresnenia názvu a jeho zosúladenie s obsahom zákona.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Návrh je implementáciou práva EÚ z danej oblasti, ktorá používa pojmy „zemepisné označenie, resp. označenie pôvodu“, predkladateľ sleduje túto terminológiu.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cestovného ruchu a športu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členeniu návrhu zákona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Návrh zákona je členený na časti, pričom nejde o rozsiahlu právnu úpravu, ktorá by si to kôli lepšej prehľadnosti vyžadovala. Preto odporúčame zvážiť vypustiť členenie na časti a upraviť názvy nad paragrafmi.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Vzhľadom na charakter návrhu (implementácia práva EÚ,) predkladateľ považuje za vhodné z dôvodu prehľadnosti a zabezpečenia zrozumiteľnej nadväznosti na právnu úpravu EÚ ponechať členenie návrhu na časti, ktoré zahŕňajú obsahovo súvisiace úseky. V rámci štvrtej časti bol presunutý nadpis pod § 14 ako nadpis časti.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cestovného ruchu a športu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§ 1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 § 1 slová „ v rozsahu“ odporúčame nahradiť slovom „podľa“ a  slovo „upravuje“ odporúčame nahradiť slovom „ustanovuje“.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ČA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Ustanovenie upravené aj v nadväznosti na pripomienku iného subjektu.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cestovného ruchu a športu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§ 2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§ 2  písm. a) odporúčame slovo „vína“ nahradiť slovom „víno“. Gramatická pripomienka.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cestovného ruchu a športu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§ 4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§ 4 ods. 2  je duplicitne zavedená legislatívna skratka ministerstvo (je už zavedená v  § 3). Odporúčame v tom zmysle odsek 2 upraviť.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cestovného ruchu a športu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 § 6 ods. 2  odporúčame zvážiť, či je doručenie rozhodnutia o podaní žiadosti Európskej komisii v prípade poľnohospodárskych výrobkov a rozhodnutia  o podaní žiadosti Úradu Európskej únie pre duševné vlastníctvo v prípade nepoľnohospodárskych výrobkov  verejnou vyhláškou dostačujúce, z hľadiska právnej istoty dotknutých subjektov. V odseku 4 za slovo „Po“ odporúčame vložiť slovo „nadobudnutí“.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ČA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Doručenie  verejnou vyhláškou je dostačujúce, a to najmä s ohľadom na skutočnosť, že vydanie rozhodnutia je oznámené aj vo vestníku ÚPV SR. V časti odporúčania vložiť slovo "nadobudnutí" pripomienka akceptovaná.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cestovného ruchu a športu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§ 7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nadpise § 7 odporúčame skratku EÚ nahradiť slovami „Európskej únie“.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cestovného ruchu a športu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§ 11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§ 11 ods. 2 slová „nezodpovedá podmienkam“ odporúčame nahradiť slovami „nespĺňa podmienky“.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cestovného ruchu a športu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§ 19 ods. 3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§ 19 ods. 3 slová „Ak tento zákon neustanovuje inak,“ odporúčame vypustiť z dôvodu nadbytočnosti, keďže v ustanovení o pôsobnosti Správneho poriadku sú  uvedené paragrafy, ktoré sa na konanie podľa tohto zákona nepoužijú.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cestovného ruchu a športu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§ 22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§ 22 odporúčame pod § 22 vložiť nadpis „Transpozičné ustanovenie“.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cestovného ruchu a športu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II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bode 1 úvodnej vete odporúčame  za slovo „ktorý“ vložiť slová „vrátane nadpisu“.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MKSR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kultúry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vlastnému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za poradové čísla jednotlivých poznámok pod čiarou odporúčame vložiť okrúhlu zátvorku.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Legislatívna technika.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MKSR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kultúry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vlastnému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v navrhovanom § 5 ods. 2 odporúčame slovo ,,položené" nahradiť slovom ,,podložené".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Gramatická pripomienka.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MKSR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kultúry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vlastnému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Označenie navrhovanej prílohy odporúčame upraviť na znenie: ,,Príloha k zákonu č. .../2025 Z. z.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Legislatívna technika.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spravodlivosti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§ 2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Vymedzenie základných pojmov nie je dostatočne určité. Zavádza sa jednotný pojem poľnohospodárske výrobky, pričom má zahŕňať aj víno a liehoviny s odkazom na osobitný predpis, ktorým nie je slovenský právny predpis, ale všeobecne nariadenie EÚ 2024/1143. Nariadenie pritom nezahŕňa medzi poľnohospodárske výrobky víno a liehoviny. Navrhujeme upraviť formuláciu a vypustiť slová „na ktorý sa vzťahuje osobitný predpis“ napríklad takto: „poľnohospodárskym výrobkom poľnohospodársky výrobok 6), víno6a) a liehoviny6b)“ a odkázať na príslušné články nariadenia, prípadne odkazy vhodne prečíslovať.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ČA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 dôvodu zdôraznenia existencie systému ochrany na úrovni EÚ zostávajú v texte slová  „na ktoré sa vzťahuje osobitný predpis“.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spravodlivosti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§ 3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Navrhujeme vypustiť slová „Slovenskej republiky“ z dôvodu nadbytočnosti.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spravodlivosti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§ 4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V nadpise navrhujeme rozpísať skratku „EÚ“.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odseku 2 sa duplicitne zavádza skratka Ministerstva pôdohospodárstva a rozvoja vidieka SR.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spravodlivosti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§ 5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odseku 2 odporúčame vykonať pravopisnú opravu slova „položené“.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spravodlivosti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§ 11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Navrhujeme v odseku 2 nahradiť slová „nezodpovedá podmienkam“, slovami „nebola účastníkom konania podaná v lehote“.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odseku 3 má platiť fikcia, že ak úrad nevydá rozhodnutie o zamietnutí do dvoch mesiacov, platí, že žiadosti vyhovel. Môže dôjsť k situácii, že návrh nepodal účastník konania a napriek tomu úrad žiadosti vyhovie? Nie je jasné ani o akú dobu úrad predĺži lehotu na vykonanie úkonu.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Ustanovenie upravené v nadväznosti na pripomienku iného subjektu; žiadosť musí byť podaná účastníkom konania, tzn. úrad nevyhovie žiadosti, ktorá by bola podaná inou osobou, ako je účastník konania, prípadne jeho zástupca. Je na uvážení úradu, o akú dobu lehotu predĺži, štandardne sa lehoty predlžujú o 2 mesiace.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spravodlivosti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§ 22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Navrhujeme podľa čl. 9 ods. 11 v spojitosti s čl. 4 ods. 2 Prílohy č. 1 Legislatívnych pravidiel vlády SR doplniť nadpis „Transpozičné ustanovenie“.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spravodlivosti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II § 19wb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Navrhujeme v novelizačnej vete doplniť slová „vrátane nadpisu“.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spravodlivosti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Príloha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Navrhujeme v prílohe doplniť za slovom „Príloha“ slová „k zákonu č. .../2025 Z. z.“ podľa bodu 15 prílohy č. 1 LPV SR.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vnútra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§ 4 a 7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čl. I § 4 a k § 7: V nadpise druhej časti a v nadpise § 7 treba skratku „EÚ“ nahradiť slovami „Európskej únie“ alebo v § 1 zaviesť legislatívnu skratku „(ďalej len „členský štát“)“ pre členský štát Európskej únie, a ďalej ju dôsledne dodržiavať.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vnútra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§ 4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čl. I § 4: V § 4 ods. 2 treba slová „Ministerstvom pôdohospodárstva a rozvoja vidieka Slovenskej republiky (ďalej len „ministerstvo“) nahradiť slovom „ministerstvom“. Legislatívna skratka „(ďalej len „ministerstvo“)“ pre Ministerstvo pôdohospodárstva a rozvoja vidieka Slovenskej republiky je zavedená úž v § 3.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vnútra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II bodu 1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čl. II bodu 1: V úvodnej vete slová „ktorý znie“ navrhujeme nahradiť slovami „ktorý vrátane nadpisu znie“ vzhľadom k tomu že navrhovaný paragraf má nadpis.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vnútra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II bodu 2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čl. II bodu 2: Skratku „ÚPV SR“ treba nahradiť slovami „Úradu priemyselného vlastníctva Slovenskej republiky“.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vnútra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prílohe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prílohe: Označenie prílohy treba dať do súladu s bodom č. 15 prílohy č. 1 k Legislatívnym pravidlám vlády Slovenskej republiky.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školstva,výskumu,vývoja a mládeže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Odporúčame návrh zákona upraviť legislatívno-technicky, napríklad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 v čl. I vo všetkých poznámkach pod čiarou za jednotlivým odkazom vložiť znak zátvorky ")",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 v čl. I zvážiť jeho členenie na časti z dôvodu rozsahu zákona.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ČA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Vzhľadom na charakter návrhu (implementácia práva EÚ,) predkladateľ považuje za vhodné z dôvodu prehľadnosti a zabezpečenia zrozumiteľnej nadväznosti na právnu úpravu EÚ ponechať členenie návrhu na časti, ktoré zahŕňajú obsahovo súvisiace úseky. V rámci štvrtej časti bol presunutý nadpis pod § 14 ako nadpis časti.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§ 2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	V poznámke pod čiarou k odkazu 6) v navrhovanom § 2 písm. a) odporúčame odkazovať na čl. 5 ods. 1 nariadenia (EÚ) 2024/1143 v platnom znení.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§ 2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	V poznámke pod čiarou k odkazu 7) v navrhovanom § 2 písm. b) odporúčame odkazovať na čl. 3 nariadenia (EÚ) 2023/2411.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	V názve druhej časti predkladaného návrhu zákona žiadame skratku „EÚ“ nahradiť slovami „Európskej únie“.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§ 4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4.	V poznámke pod čiarou k odkazu 9) v navrhovanom § 4 ods. 1 žiadame odkazovať na prvom mieste uvádzať čl. 67 nariadenia (EÚ) 2023/2411, a na druhom mieste uvádzať § 2 ods. 2 písm. e) zákona o e-Governmente.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§ 4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5.	Z navrhovaného § 4 ods. 2 žiadame vypustiť slová „(ďalej len „ministerstvo“)“, nakoľko legislatívna skratka je zavedená v čl. I § 3 predkladaného návrhu zákona.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§ 7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6.	V nadpise pod § 7 predkladaného návrhu zákona žiadame skratku „EÚ“ nahradiť slovami „Európskej únie“.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§ 14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7.	V navrhovanom § 14 ods. 1 a 3 žiadame slová „medzinárodného dohovoru“ nahradiť slovami „osobitného predpisu“, nakoľko rozhodnutie Rady o pristúpení Európskej únie k medzinárodnému dohovoru nie je medzinárodným dohovorom, ale sekundárnym právnym aktom Európskej únie.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Pri pristúpení EÚ k Ženevskému aktu na základe rozhodnutia (EÚ) 2019/1754 bol samotný medzinárodný dohovor publikovaný v Úradnom vestníku EÚ ako súčasť predmetného rozhodnutia (EÚ) 2019/1754. Uvedený spôsob odkazu na medzinárodný dohovor prostredníctvom rozhodnutia (EÚ) 2019/1754, v ktorom je publikovaný samotný medzinárodný dohovor, je vzhľadom na výlučnú kompetenciu EÚ v danej oblasti náležitý.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Pre úplnosť porovnaj aj znenie § 31a ods. 1 zákona č. 469/2003 Z. z. 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§ 20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8.	V navrhovanom § 20 ods. 4 odporúčame za slová „k medzinárodnému dohovoru“ doplniť slová „podľa osobitného predpisu“ a odkaz 28) uvádzať nad slovom „predpisu“.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Pri pristúpení EÚ k Ženevskému aktu na základe rozhodnutia (EÚ) 2019/1754 bol samotný medzinárodný dohovor publikovaný v Úradnom vestníku EÚ ako súčasť predmetného rozhodnutia (EÚ) 2019/1754. Uvedený spôsob odkazu na medzinárodný dohovor prostredníctvom rozhodnutia (EÚ) 2019/1754, v ktorom je publikovaný samotný medzinárodný dohovor, je vzhľadom na výlučnú kompetenciu EÚ v danej oblasti náležitý.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Pre úplnosť porovnaj aj znenie § 31 ods. 3 zákona č. 469/2003 Z. z.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§ 22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9.	Pod navrhovaným § 22 žiadame uvádzať nadpis „Transpozičné ustanovenie“.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10.	Publikačný zdroj smernice 2004/48/ES v transpozičnej prílohe predkladaného návrhu zákona žiadame upraviť nasledovne: „(Mimoriadne vydanie Ú. v. EÚ, kap. 17/zv. 2; Ú. v. EÚ L 157, 30.4.2004)“.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transpozícií a tabuľke zhody so smernicou 2004/48/ES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	V ľavej časti záhlavia tabuľky so smernicou 2004/48/ES žiadame za názvom smernice uvádzať jej publikačný zdroj nasledovne: „(Mimoriadne vydanie Ú. v. EÚ, kap. 17/zv. 2; Ú. v. EÚ L 157, 30.4.2004)“.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transpozícií a tabuľke zhody so smernicou 2004/48/ES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	V pravej časti záhlavia tabuľky zhody žiadame uvádzať aj ďalšie všeobecne záväzné právne predpisy, ktorými sa preukazuje transpozícia smernice 2004/48/ES do slovenského právneho poriadku.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 základe výsledku konzultácie s OAP predkladateľ upravil tabuľku zhody tak, že sú v nej ponechané len tie ustanovenia smernice 2004/48/ES, ktoré je v nadväznosti na navrhované zrušenie zákona č. 469/2003 Z. z. opätovne potrebné transponovať do právneho poriadku na základe návrhu zákona. Transpozícia ustanovení smernice 2004/48/ES, ktoré sú predmetom upravenej tabuľky zhody, bola zabezpečená už platnou právnou úpravou zákona č. 469/2003 Z. z., nebolo potrebné v záhlaví tabuľky zhody dopĺňať ďalšie právne predpisy.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transpozícií a tabuľke zhody so smernicou 2004/48/ES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	Pri preukazovaní transpozície čl. 8 ods. 1 až 3, čl. 9 ods. 6 a 7 a čl. 10 ods. 1 až 3 smernice 2004/48/ES do slovenského právneho poriadku žiadame v záujme preukázania úplnej transpozície smernice v štvrtom až šiestom stĺpci tabuľky zhody uvádzať konkrétne ustanovenia Civilného sporového poriadku a Autorského zákona.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Na základe výsledku konzultácie s OAP bola tabuľka zhody upravená tak, aby jej súčasťou boli len tie ustanovenia smernice 2004/48/ES, ktoré je v nadväznosti na navrhované zrušenie zákona č. 469/2003 Z. z. opätovne potrebné transponovať do právneho poriadku na základe návrhu zákona.  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transpozícií a tabuľke zhody so smernicou 2004/48/ES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4.	Pri preukazovaní transpozície čl. 9 ods. 6 a 7 smernice 2004/48/ES do slovenského právneho poriadku žiadame v treťom stĺpci tabuľky zhody uvádzať skratku „N“, nakoľko máme za to, že ide o ustanovenie smernice, ktorého transpozícia je pre členské štáty povinná.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transpozícií a tabuľke zhody so smernicou 2004/48/ES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5.	Žiadame preukázať transpozíciu čl. 10 ods. 3 smernice 2004/48/ES do slovenského právneho poriadku, nakoľko uvádzané transpozičné opatrenia nepovažujeme za dostatočné na preukázanie úplnej transpozície.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ČA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Na základe výsledku konzultácie s OAP bolo ustanovenie čl. 10 ods. 3 smernice 2004/48/ES z tabuľky zhody vypustené. Súčasťou tabuľky zhody zostali len tie ustanovenia smernice 2004/48/ES, ktoré je v nadväznosti na navrhované zrušenie zákona č. 469/2003 Z. z. opätovne potrebné transponovať do právneho poriadku na základe návrhu zákona.  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transpozícií a tabuľke zhody so smernicou 2004/48/ES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6.	Z predkladanej tabuľky zhody žiadame vypustiť čl. 13 ods. 1 písm. a) smernice 2004/48/ES.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transpozícií a tabuľke zhody so smernicou 2004/48/ES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7.	Predkladanú tabuľku zhody so smernicou 2004/48/ES žiadame rozšíriť o preukazovanie čl.. 70 ods. 1 smernice do slovenského právneho poriadku, a transpozíciu žiadame preukazovať prostredníctvom čl. I § 22 predkladaného návrhu zákona, Prílohy k návrhu zákona, čl. III predkladaného návrhu zákona (účinnosť), ako aj prostredníctvom § 35 ods. 7 zákona č. 575/2001 Z. z. v znení neskorších predpisov.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 zlučiteľnosti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	Z bodu 3 písm. a) doložky zlučiteľnosti žiadame vypustiť publikačný zdroj Zmluvy o fungovaní Európskej únie.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 zlučiteľnosti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	V bode 3 písm. b) doložky zlučiteľnosti žiadame pri všetkých uvádzaných sekundárnych právnych aktoch Európskej únie uvádzať gestora určeného príslušným uznesením vlády Slovenskej republiky.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 zlučiteľnosti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	V bode 3 písm. b) doložky zlučiteľnosti žiadame spolu s gestorom uvádzať aj rozhodnutie (EÚ) 2019/1754 v platnom znení.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 zlučiteľnosti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4.	V bode 3 písm. c) doložky zlučiteľnosti žiadame pri všetkých rozsudkoch Súdneho dvora Európskej únie uvádzať výrok resp. relevantné právne vety.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 zlučiteľnosti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5.	V bode 4 písm. a) doložky zlučiteľnosti žiadame za názvom nariadenia (EÚ) 2024/1143 v platnom znení doplniť slová „v platnom znení“.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 zlučiteľnosti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6.	V bode 4 písm. c) doložky zlučiteľnosti žiadame z názvu smernice 2004/48/ES vypustiť slová „Európskeho parlamentu a Rady“.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 zlučiteľnosti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7.	Z bodu 4 písm. c) doložky zlučiteľnosti žiadame vypustiť Obchodný zákonník, Civilný sporový poriadok, zákon č. 146/2000 Z. z. a zákon č. 506/2009 Z. z., nakoľko tieto právne predpisy neboli notifikované Európskej komisii ako transpozičné opatrenia smernice 2004/48/ES.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predkladacej správe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druhom odseku predkladacej správy žiadame za názvom nariadenia (EÚ) 2024/1143 v platnom znení a za názvom nariadenia (EÚ) 2019/1753 v platnom znení doplniť slová „v platnom znení“.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všeobecnej časti dôvodovej správy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prvom odseku všeobecnej časti dôvodovej správy žiadame za názvom nariadenia (EÚ) 2024/1143 v platnom znení a za názvom nariadenia (EÚ) 2019/1753 v platnom znení doplniť slová „v platnom znení“. Túto pripomienku vzťahujeme aj na skrátenú citáciu nariadenia (EÚ) 2024/1143 v platnom znení a nariadenia (EÚ) 2019/1753 v platnom znení uvádzanú v siedmom a deviatom odseku všeobecnej časti dôvodovej správy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osobitnej časti dôvodovej správy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	V odôvodnení k čl. I § 1 predkladaného návrhu zákona žiadame za názvom nariadenia (EÚ) 2024/1143 v platnom znení a za názvom nariadenia (EÚ) 2019/1753 v platnom znení doplniť slová „v platnom znení“.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osobitnej časti dôvodovej správy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	V odôvodnení k čl. I § 1 predkladaného návrhu zákona žiadame zaviesť za názvami uvádzaných nariadení Európskej únie ich skrátené citácie nasledovne:: „nariadenie (EÚ) 2023/2411“; „nariadenie (EÚ) 2024/1143 v platnom znení“; a „nariadenie (EÚ) 2019/1753 v platnom znení“. Takto zavedené skrátené citácie žiadame dôsledne používať v celom texte osobitnej časti dôvodovej správy.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osobitnej časti dôvodovej správy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	V odôvodnení k čl. I § 1 predkladaného návrhu zákona žiadame názov smernice 2004/48/ES upraviť nasledovne: „smernica Európskeho parlamentu a Rady 2004/48/ES z 29. apríla 2004 o vymožiteľnosti práv duševného vlastníctva (Mimoriadne vydanie Ú. v. EÚ, kap. 17/zv. 2; Ú. v. EÚ L 157, 30.4.2004) (ďalej len „smernica 2004/48/ES“)“. Takto zavedenú skrátenú citácie žiadame následne dôsledne používať v celom texte osobitnej časti dôvodovej správy, najmä v odôvodnení k čl. I § 15 až 17 a § 22.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osobitnej časti dôvodovej správy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4.	V odôvodnení k čl. I § 4 až 6 žiadame v treťom odseku slová „čl. 10 ods. 4 nariadenia (EÚ) 2024/1143“ nahradiť slovami „čl. 10 ods. 5 nariadenia (EÚ) 2024/1143 v platnom znení“.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osobitnej časti dôvodovej správy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5.	V odôvodnení k čl. I § 4 žiadame v treťom odseku slová „čl. 9 nariadenia (EÚ) 2024/114393“ nahradiť slovami „čl. 9 nariadenia (EÚ) 2024/1143 v platnom znení“.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osobitnej časti dôvodovej správy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6.	V odôvodnení k čl. I § 14 žiadame názov rozhodnutia (EÚ) 2019/1754 v platnom znení upraviť nasledovne: „rozhodnutie Rady (EÚ) 2019/1754 zo 7. októbra 2019 o pristúpení Európskej únie k Ženevskému aktu Lisabonskej dohody o označeniach pôvodu a zemepisných označeniach (Ú. v. EÚ L 271, 24.10.2019) v platnom znení (ďalej len „rozhodnutie (EÚ) 2019/1754 v platnom znení“)“.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 vybraných vplyvov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	V prvom bode doložky vybraných vplyvov žiadame vyznačiť, že predkladaným návrhom zákona dochádza k transpozícií a implementácií práva Európskej únie, a následne uviesť zoznam transponovaných a implementovaných predpisov.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 vybraných vplyvov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	V druhom bode doložky vybraných vplyvov žiadame za názvom nariadenia (EÚ) 2024/1143 v platnom znení doplniť slová „v platnom znení“. Túto pripomienku vzťahujeme aj na skrátenú citáciu nariadenia (EÚ) 2024/1143 v platnom znení uvádzanú v druhom, treťom, piatom, siedmom a ôsmom bode doložky vybraných vplyvov.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 vybraných vplyvov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	V piatom bode doložky vybraných vplyvov žiadame za názvom nariadenia (EÚ) 2019/1753 v platnom znení doplniť slová „v platnom znení“. Túto pripomienku vzťahujeme aj na skrátenú citáciu nariadenia (EÚ) 2019/1753 v platnom znení uvádzanú v siedmom bode doložky vybraných vplyvov.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návrhu uznesenia vlády Slovenskej republiky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návrhu uznesenia vlády Slovenskej republiky žiadame v bode B.2. doplniť člena vlády, ktorý uvedie vládny návrh zákona v Národnej rade Slovenskej republiky.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Verejnosť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Verejnosť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§ 19 ods. 3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§ 19 ods. 3 je potrebné slová „všeobecný predpis o správnom konaní“ nahradiť slovami „správny poriadok“.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Legislatívno-technická pripomienka. Použitie pojmu „všeobecný predpis o správnom konaní“ je nepresné a neurčité. Taktiež je zmätočné odkazovať na konkrétne ustanovenia konkrétneho predpisu – správneho poriadku – bez použitia jeho presného skráteného názvu „správny poriadok“.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Podľa názoru predkladateľa sa bod 48. prílohy LPV na daný právny predpis nevzťahuje; zákon č. 71/1967 Zb. nie je právnym predpisom, pri ktorom by bolo možné používať slovné označenie.</w:t>
            </w:r>
          </w:p>
        </w:tc>
      </w:tr>
    </w:tbl>
    <w:p w14:paraId="3A57E3AF" w14:textId="77777777" w:rsidR="000B2D78" w:rsidRPr="00785E8D" w:rsidRDefault="000B2D78">
      <w:pPr>
        <w:rPr>
          <w:rFonts w:ascii="Times New Roman" w:hAnsi="Times New Roman" w:cs="Times New Roman"/>
        </w:rPr>
      </w:pPr>
    </w:p>
    <w:p w14:paraId="48602EC8" w14:textId="37FB2F71" w:rsidR="00E66622" w:rsidRPr="00785E8D" w:rsidRDefault="00E66622" w:rsidP="001E6254">
      <w:pPr>
        <w:keepLines/>
        <w:rPr>
          <w:rFonts w:ascii="Times New Roman" w:hAnsi="Times New Roman" w:cs="Times New Roman"/>
        </w:rPr>
      </w:pPr>
      <w:r w:rsidRPr="00785E8D">
        <w:rPr>
          <w:rFonts w:ascii="Times New Roman" w:eastAsia="Times New Roman" w:hAnsi="Times New Roman" w:cs="Times New Roman"/>
          <w:sz w:val="24"/>
          <w:szCs w:val="24"/>
        </w:rPr>
        <w:t>Vznesené hromadné pripomienky</w:t>
      </w:r>
    </w:p>
    <w:tbl>
      <w:tblPr>
        <w:tblW w:w="0" w:type="auto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4"/>
        <w:gridCol w:w="1296"/>
        <w:gridCol w:w="6480"/>
        <w:gridCol w:w="778"/>
        <w:gridCol w:w="2462"/>
      </w:tblGrid>
      <w:tr w:rsidR="000B16EA" w:rsidRPr="00785E8D" w14:paraId="57C7F9BD" w14:textId="5FDA99DB" w:rsidTr="00343965">
        <w:trPr>
          <w:trHeight w:val="648"/>
          <w:jc w:val="center"/>
        </w:trPr>
        <w:tc>
          <w:tcPr>
            <w:tcW w:w="1944" w:type="dxa"/>
            <w:vAlign w:val="center"/>
          </w:tcPr>
          <w:p w14:paraId="12485476" w14:textId="77777777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1296" w:type="dxa"/>
            <w:vAlign w:val="center"/>
          </w:tcPr>
          <w:p w14:paraId="7BDCDFBF" w14:textId="7CC13C3E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Podporo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vatelia</w:t>
            </w:r>
          </w:p>
        </w:tc>
        <w:tc>
          <w:tcPr>
            <w:tcW w:w="6480" w:type="dxa"/>
            <w:vAlign w:val="center"/>
          </w:tcPr>
          <w:p w14:paraId="63809B05" w14:textId="77777777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  <w:tc>
          <w:tcPr>
            <w:tcW w:w="778" w:type="dxa"/>
            <w:vAlign w:val="center"/>
          </w:tcPr>
          <w:p w14:paraId="5D84DA5A" w14:textId="5E88111B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Vyh.</w:t>
            </w:r>
          </w:p>
        </w:tc>
        <w:tc>
          <w:tcPr>
            <w:tcW w:w="2462" w:type="dxa"/>
            <w:vAlign w:val="center"/>
          </w:tcPr>
          <w:p w14:paraId="604D4B30" w14:textId="0F85F5F9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Spôsob vyhodnotenia</w:t>
            </w:r>
          </w:p>
        </w:tc>
      </w:tr>
      <w:tr>
        <w:trPr>
          <w:trHeight w:val="648"/>
        </w:trPr>
        <w:tc>
          <w:tcPr>
            <w:hMerge w:val="restart"/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materiálu neboli pridané hromadné pripomienky.</w:t>
            </w:r>
          </w:p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</w:tr>
    </w:tbl>
    <w:p w14:paraId="1F01DA97" w14:textId="77777777" w:rsidR="00E66622" w:rsidRDefault="00E66622">
      <w:pPr>
        <w:rPr>
          <w:rFonts w:ascii="Times New Roman" w:hAnsi="Times New Roman" w:cs="Times New Roman"/>
        </w:rPr>
      </w:pPr>
    </w:p>
    <w:p w14:paraId="20BAA03A" w14:textId="3B15C826" w:rsidR="00677591" w:rsidRDefault="00677591" w:rsidP="001E6254">
      <w:pPr>
        <w:keepLines/>
        <w:rPr>
          <w:rFonts w:ascii="Times New Roman" w:hAnsi="Times New Roman" w:cs="Times New Roman"/>
          <w:sz w:val="24"/>
          <w:szCs w:val="24"/>
          <w:lang w:val="en-US"/>
        </w:rPr>
      </w:pPr>
      <w:r w:rsidRPr="00677591">
        <w:rPr>
          <w:rFonts w:ascii="Times New Roman" w:hAnsi="Times New Roman" w:cs="Times New Roman"/>
          <w:sz w:val="24"/>
          <w:szCs w:val="24"/>
        </w:rPr>
        <w:t>Sumarizácia vznesených pripomienok pod</w:t>
      </w:r>
      <w:r w:rsidRPr="00677591">
        <w:rPr>
          <w:rFonts w:ascii="Times New Roman" w:hAnsi="Times New Roman" w:cs="Times New Roman"/>
          <w:sz w:val="24"/>
          <w:szCs w:val="24"/>
          <w:lang w:val="en-US"/>
        </w:rPr>
        <w:t>ľa subjektov</w:t>
      </w:r>
    </w:p>
    <w:tbl>
      <w:tblPr>
        <w:tblW w:w="5000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450"/>
        <w:gridCol w:w="6777"/>
        <w:gridCol w:w="1550"/>
        <w:gridCol w:w="1550"/>
        <w:gridCol w:w="1537"/>
        <w:gridCol w:w="1096"/>
      </w:tblGrid>
      <w:tr w:rsidR="00634468" w:rsidRPr="00785E8D" w14:paraId="45EBE45F" w14:textId="77777777" w:rsidTr="008C63F3">
        <w:trPr>
          <w:trHeight w:val="648"/>
          <w:jc w:val="center"/>
        </w:trPr>
        <w:tc>
          <w:tcPr>
            <w:tcW w:w="178" w:type="pct"/>
            <w:tcBorders>
              <w:right w:val="single" w:sz="2" w:space="0" w:color="auto"/>
            </w:tcBorders>
            <w:vAlign w:val="center"/>
          </w:tcPr>
          <w:p w14:paraId="2337D103" w14:textId="702E9A83" w:rsidR="00634468" w:rsidRPr="00785E8D" w:rsidRDefault="00634468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Č.</w:t>
            </w:r>
          </w:p>
        </w:tc>
        <w:tc>
          <w:tcPr>
            <w:tcW w:w="2750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F5A17B0" w14:textId="580FA8A4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613" w:type="pct"/>
            <w:tcBorders>
              <w:left w:val="single" w:sz="2" w:space="0" w:color="auto"/>
            </w:tcBorders>
            <w:vAlign w:val="center"/>
          </w:tcPr>
          <w:p w14:paraId="2E49D00C" w14:textId="475549EF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Pripomienky do termínu</w:t>
            </w:r>
          </w:p>
        </w:tc>
        <w:tc>
          <w:tcPr>
            <w:tcW w:w="613" w:type="pct"/>
            <w:vAlign w:val="center"/>
          </w:tcPr>
          <w:p w14:paraId="2E4B8C3C" w14:textId="1CD05F49" w:rsidR="00634468" w:rsidRPr="00A80C4C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Pripomienky po termíne</w:t>
            </w:r>
          </w:p>
        </w:tc>
        <w:tc>
          <w:tcPr>
            <w:tcW w:w="486" w:type="pct"/>
            <w:vAlign w:val="center"/>
          </w:tcPr>
          <w:p w14:paraId="4561F266" w14:textId="377257BE" w:rsidR="00634468" w:rsidRDefault="00634468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Nemali pripomienky</w:t>
            </w:r>
          </w:p>
        </w:tc>
        <w:tc>
          <w:tcPr>
            <w:tcW w:w="486" w:type="pct"/>
            <w:vAlign w:val="center"/>
          </w:tcPr>
          <w:p w14:paraId="44212096" w14:textId="60E9F3CB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Vôbec neza</w:t>
            </w:r>
            <w:r w:rsidR="000135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slali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APZD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Asociácia priemyselných zväzov a dopravy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AZZZ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Asociácia zamestnávatelských zväzov a združení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BBSK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Banskobystrický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BSK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BRATISLAVSKÝ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Generálna prokuratúra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KBS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Konferencia biskupov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KOZSR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Konfederácia odborových zväzov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Košický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Klub 500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Klub 500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dopravy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MFSR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financií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hospodárstva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cestovného ruchu a športu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11 (11o,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MIRRI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investícií, regionálneho rozvoja a informatizácie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MKSR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kultúry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 (3o,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MOSR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obrany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pôdohospodárstva a rozvoja vidieka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MPSVRSR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práce, sociálnych vecí a rodiny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spravodlivosti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8 (8o,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vnútra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 (5o,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zdravotníctva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MZVEZ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zahraničných vecí a európskych záležitostí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školstva,výskumu,vývoja a mládeže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MŽPSR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životného prostredia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Národná banka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NBÚ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Národný bezpečnostný úrad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NKÚSR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Najvyšší kontrolný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Nitriansky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NSSR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Najvyšší súd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Odbor aproximácie práva sekcie vládnej legislatívy Úradu vlády SR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36 (36o,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PMÚSR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Protimonopolný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Prešovský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RÚZSR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Republiková únia zamestnávateľov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SK8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Samosprávne kraje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SKPZ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Slovenská komora patentových zástupcov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SPPK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Slovenská poľnohospodárska a potravinárska komora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SVSLPRK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Splnomocnenec vlády Slovenskej republiky pre rómske komunity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Slovenská advokátska komora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Slovenská advokátska komora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SŠHRSR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Správa štátnych hmotných rezerv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TSK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Trenčiansky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TTSK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Trnavský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UOOU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na ochranu osobných údajov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UPVSR POaZE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podpredsedu vlády Slovenskej republiky pre Plán obnovy a znalostnú ekonomiku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URSO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reguláciu sieťových odvetví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UpUPaVSR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územné plánovanie a výstavbu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Verejnosť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Verejnosť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ZMOS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Združenie miest a obcí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hlavné mesto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Hlavné mesto Slovenskej republiky Bratislava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ÚDZS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dohľad nad zdravotnou starostlivosťou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ÚGKKSR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geodézie, kartografie a katastra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ÚJDSR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jadrového dozoru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ÚMS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Únia miest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ÚNMSSR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normalizáciu,  metrológiu a skúšobníctvo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ÚPVSR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priemyselného vlastníctva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ÚVO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verejné obstarávanie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vlády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Ústavný súd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Kancelária Ústavného súdu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ŠÚSR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Štatistický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ŽSK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Žilinský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center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Spolu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69 (69o, 0z)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14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34</w:t>
            </w:r>
          </w:p>
        </w:tc>
      </w:tr>
    </w:tbl>
    <w:p w14:paraId="1D280440" w14:textId="77777777" w:rsidR="008960F8" w:rsidRPr="00677591" w:rsidRDefault="008960F8" w:rsidP="00C00CF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sectPr w:rsidR="008960F8" w:rsidRPr="00677591" w:rsidSect="00362D69">
      <w:headerReference w:type="first" r:id="rId8"/>
      <w:footerReference w:type="first" r:id="rId9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92465" w14:textId="77777777" w:rsidR="006D051F" w:rsidRPr="00785E8D" w:rsidRDefault="006D051F" w:rsidP="00E66622">
      <w:pPr>
        <w:spacing w:after="0" w:line="240" w:lineRule="auto"/>
      </w:pPr>
      <w:r w:rsidRPr="00785E8D">
        <w:separator/>
      </w:r>
    </w:p>
  </w:endnote>
  <w:endnote w:type="continuationSeparator" w:id="0">
    <w:p w14:paraId="72C637E6" w14:textId="77777777" w:rsidR="006D051F" w:rsidRPr="00785E8D" w:rsidRDefault="006D051F" w:rsidP="00E66622">
      <w:pPr>
        <w:spacing w:after="0" w:line="240" w:lineRule="auto"/>
      </w:pPr>
      <w:r w:rsidRPr="00785E8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1274362024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45945688" w14:textId="3489CFEE" w:rsidR="00362D69" w:rsidRPr="00362D69" w:rsidRDefault="00362D69">
        <w:pPr>
          <w:pStyle w:val="Footer"/>
          <w:jc w:val="center"/>
          <w:rPr>
            <w:rFonts w:ascii="Times New Roman" w:hAnsi="Times New Roman"/>
          </w:rPr>
        </w:pPr>
        <w:r w:rsidRPr="00362D69">
          <w:rPr>
            <w:rFonts w:ascii="Times New Roman" w:hAnsi="Times New Roman"/>
            <w:noProof w:val="0"/>
          </w:rPr>
          <w:fldChar w:fldCharType="begin"/>
        </w:r>
        <w:r w:rsidRPr="00362D69">
          <w:rPr>
            <w:rFonts w:ascii="Times New Roman" w:hAnsi="Times New Roman"/>
          </w:rPr>
          <w:instrText xml:space="preserve"> PAGE   \* MERGEFORMAT </w:instrText>
        </w:r>
        <w:r w:rsidRPr="00362D69">
          <w:rPr>
            <w:rFonts w:ascii="Times New Roman" w:hAnsi="Times New Roman"/>
            <w:noProof w:val="0"/>
          </w:rPr>
          <w:fldChar w:fldCharType="separate"/>
        </w:r>
        <w:r w:rsidRPr="00362D69">
          <w:rPr>
            <w:rFonts w:ascii="Times New Roman" w:hAnsi="Times New Roman"/>
          </w:rPr>
          <w:t>2</w:t>
        </w:r>
        <w:r w:rsidRPr="00362D69">
          <w:rPr>
            <w:rFonts w:ascii="Times New Roman" w:hAnsi="Times New Roman"/>
          </w:rPr>
          <w:fldChar w:fldCharType="end"/>
        </w:r>
      </w:p>
    </w:sdtContent>
  </w:sdt>
  <w:p w14:paraId="1A536CAE" w14:textId="77777777" w:rsidR="00362D69" w:rsidRDefault="00362D6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170914649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487DCFBA" w14:textId="77777777" w:rsidR="00362D69" w:rsidRPr="003E3F51" w:rsidRDefault="00362D69">
        <w:pPr>
          <w:pStyle w:val="Footer"/>
          <w:jc w:val="center"/>
          <w:rPr>
            <w:rFonts w:ascii="Times New Roman" w:hAnsi="Times New Roman" w:cs="Times New Roman"/>
          </w:rPr>
        </w:pPr>
        <w:r w:rsidRPr="003E3F51">
          <w:rPr>
            <w:rFonts w:ascii="Times New Roman" w:hAnsi="Times New Roman" w:cs="Times New Roman"/>
            <w:noProof w:val="0"/>
          </w:rPr>
          <w:fldChar w:fldCharType="begin"/>
        </w:r>
        <w:r w:rsidRPr="003E3F51">
          <w:rPr>
            <w:rFonts w:ascii="Times New Roman" w:hAnsi="Times New Roman" w:cs="Times New Roman"/>
          </w:rPr>
          <w:instrText xml:space="preserve"> PAGE   \* MERGEFORMAT </w:instrText>
        </w:r>
        <w:r w:rsidRPr="003E3F51">
          <w:rPr>
            <w:rFonts w:ascii="Times New Roman" w:hAnsi="Times New Roman" w:cs="Times New Roman"/>
            <w:noProof w:val="0"/>
          </w:rPr>
          <w:fldChar w:fldCharType="separate"/>
        </w:r>
        <w:r w:rsidRPr="003E3F51">
          <w:rPr>
            <w:rFonts w:ascii="Times New Roman" w:hAnsi="Times New Roman" w:cs="Times New Roman"/>
          </w:rPr>
          <w:t>2</w:t>
        </w:r>
        <w:r w:rsidRPr="003E3F51">
          <w:rPr>
            <w:rFonts w:ascii="Times New Roman" w:hAnsi="Times New Roman" w:cs="Times New Roman"/>
          </w:rPr>
          <w:fldChar w:fldCharType="end"/>
        </w:r>
      </w:p>
    </w:sdtContent>
  </w:sdt>
  <w:p w14:paraId="1D96E3B8" w14:textId="77777777" w:rsidR="00362D69" w:rsidRDefault="00362D69" w:rsidP="00FD38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C60E1" w14:textId="77777777" w:rsidR="006D051F" w:rsidRPr="00785E8D" w:rsidRDefault="006D051F" w:rsidP="00E66622">
      <w:pPr>
        <w:spacing w:after="0" w:line="240" w:lineRule="auto"/>
      </w:pPr>
      <w:r w:rsidRPr="00785E8D">
        <w:separator/>
      </w:r>
    </w:p>
  </w:footnote>
  <w:footnote w:type="continuationSeparator" w:id="0">
    <w:p w14:paraId="1ED6E918" w14:textId="77777777" w:rsidR="006D051F" w:rsidRPr="00785E8D" w:rsidRDefault="006D051F" w:rsidP="00E66622">
      <w:pPr>
        <w:spacing w:after="0" w:line="240" w:lineRule="auto"/>
      </w:pPr>
      <w:r w:rsidRPr="00785E8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88A22" w14:textId="77777777" w:rsidR="00362D69" w:rsidRDefault="00362D6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A93"/>
    <w:rsid w:val="00011D51"/>
    <w:rsid w:val="0001352E"/>
    <w:rsid w:val="00047E84"/>
    <w:rsid w:val="00050137"/>
    <w:rsid w:val="0006133B"/>
    <w:rsid w:val="000A2F5F"/>
    <w:rsid w:val="000B16EA"/>
    <w:rsid w:val="000B2D78"/>
    <w:rsid w:val="000C172E"/>
    <w:rsid w:val="000D3CA3"/>
    <w:rsid w:val="000D5402"/>
    <w:rsid w:val="001228AD"/>
    <w:rsid w:val="00131490"/>
    <w:rsid w:val="00131742"/>
    <w:rsid w:val="001433FA"/>
    <w:rsid w:val="00146A7D"/>
    <w:rsid w:val="00176679"/>
    <w:rsid w:val="0019276A"/>
    <w:rsid w:val="001B1BE3"/>
    <w:rsid w:val="001D2B4E"/>
    <w:rsid w:val="001E50FA"/>
    <w:rsid w:val="001E6254"/>
    <w:rsid w:val="001F2C94"/>
    <w:rsid w:val="001F5D28"/>
    <w:rsid w:val="001F777F"/>
    <w:rsid w:val="00215E64"/>
    <w:rsid w:val="00231554"/>
    <w:rsid w:val="00237490"/>
    <w:rsid w:val="00245F36"/>
    <w:rsid w:val="0026614F"/>
    <w:rsid w:val="002715E0"/>
    <w:rsid w:val="00273DAE"/>
    <w:rsid w:val="0029170C"/>
    <w:rsid w:val="00295E6A"/>
    <w:rsid w:val="002A0A58"/>
    <w:rsid w:val="002A4482"/>
    <w:rsid w:val="002D3B5E"/>
    <w:rsid w:val="002E17D6"/>
    <w:rsid w:val="002F4660"/>
    <w:rsid w:val="002F717D"/>
    <w:rsid w:val="003034A4"/>
    <w:rsid w:val="00303CA7"/>
    <w:rsid w:val="00335FFB"/>
    <w:rsid w:val="00343965"/>
    <w:rsid w:val="00362D69"/>
    <w:rsid w:val="003640A5"/>
    <w:rsid w:val="003A59FA"/>
    <w:rsid w:val="003C31D4"/>
    <w:rsid w:val="003E3F51"/>
    <w:rsid w:val="003E641E"/>
    <w:rsid w:val="003E7146"/>
    <w:rsid w:val="003F1216"/>
    <w:rsid w:val="003F37C1"/>
    <w:rsid w:val="004050CF"/>
    <w:rsid w:val="00405348"/>
    <w:rsid w:val="00434080"/>
    <w:rsid w:val="00461B69"/>
    <w:rsid w:val="0048545F"/>
    <w:rsid w:val="004A12EE"/>
    <w:rsid w:val="004A48F0"/>
    <w:rsid w:val="004A62B8"/>
    <w:rsid w:val="004B4188"/>
    <w:rsid w:val="004C6C3C"/>
    <w:rsid w:val="004E0BF7"/>
    <w:rsid w:val="004F10FF"/>
    <w:rsid w:val="004F4092"/>
    <w:rsid w:val="00500EBD"/>
    <w:rsid w:val="00506E0B"/>
    <w:rsid w:val="00511A3C"/>
    <w:rsid w:val="00513767"/>
    <w:rsid w:val="005146CA"/>
    <w:rsid w:val="005259A1"/>
    <w:rsid w:val="0053699B"/>
    <w:rsid w:val="00550D13"/>
    <w:rsid w:val="00583F11"/>
    <w:rsid w:val="0059287B"/>
    <w:rsid w:val="005B618C"/>
    <w:rsid w:val="005C0A7E"/>
    <w:rsid w:val="005C4CF5"/>
    <w:rsid w:val="005E6A45"/>
    <w:rsid w:val="005F3B1C"/>
    <w:rsid w:val="005F3E6F"/>
    <w:rsid w:val="005F5908"/>
    <w:rsid w:val="00602231"/>
    <w:rsid w:val="006031E3"/>
    <w:rsid w:val="00634468"/>
    <w:rsid w:val="006371D1"/>
    <w:rsid w:val="00641DD8"/>
    <w:rsid w:val="006434AC"/>
    <w:rsid w:val="00664F3B"/>
    <w:rsid w:val="00677591"/>
    <w:rsid w:val="00695857"/>
    <w:rsid w:val="006C2D6E"/>
    <w:rsid w:val="006D051F"/>
    <w:rsid w:val="0070694E"/>
    <w:rsid w:val="00707B3A"/>
    <w:rsid w:val="0072062B"/>
    <w:rsid w:val="00724A0E"/>
    <w:rsid w:val="00726A34"/>
    <w:rsid w:val="00727704"/>
    <w:rsid w:val="00745443"/>
    <w:rsid w:val="00754CB0"/>
    <w:rsid w:val="0077472A"/>
    <w:rsid w:val="00774ED8"/>
    <w:rsid w:val="00776E62"/>
    <w:rsid w:val="00784062"/>
    <w:rsid w:val="00785E8D"/>
    <w:rsid w:val="00796E02"/>
    <w:rsid w:val="00796EBE"/>
    <w:rsid w:val="007C1A93"/>
    <w:rsid w:val="007C678D"/>
    <w:rsid w:val="007E7C38"/>
    <w:rsid w:val="007E7E01"/>
    <w:rsid w:val="007F53D4"/>
    <w:rsid w:val="0084532B"/>
    <w:rsid w:val="0087153C"/>
    <w:rsid w:val="008741FE"/>
    <w:rsid w:val="00876D47"/>
    <w:rsid w:val="008960F8"/>
    <w:rsid w:val="008C2612"/>
    <w:rsid w:val="008C63F3"/>
    <w:rsid w:val="008D299D"/>
    <w:rsid w:val="008E0404"/>
    <w:rsid w:val="008F1FF3"/>
    <w:rsid w:val="00913D14"/>
    <w:rsid w:val="00917A99"/>
    <w:rsid w:val="00925ABD"/>
    <w:rsid w:val="009275DB"/>
    <w:rsid w:val="00932936"/>
    <w:rsid w:val="00947810"/>
    <w:rsid w:val="00980D7A"/>
    <w:rsid w:val="009912BF"/>
    <w:rsid w:val="00995007"/>
    <w:rsid w:val="009B0C1F"/>
    <w:rsid w:val="009B1491"/>
    <w:rsid w:val="009D152C"/>
    <w:rsid w:val="009D32B4"/>
    <w:rsid w:val="009D3FBE"/>
    <w:rsid w:val="009F35D2"/>
    <w:rsid w:val="00A070EB"/>
    <w:rsid w:val="00A6034C"/>
    <w:rsid w:val="00A61348"/>
    <w:rsid w:val="00A80C4C"/>
    <w:rsid w:val="00A81039"/>
    <w:rsid w:val="00AD6CAE"/>
    <w:rsid w:val="00AE09D4"/>
    <w:rsid w:val="00AF678C"/>
    <w:rsid w:val="00B02EF2"/>
    <w:rsid w:val="00B0310C"/>
    <w:rsid w:val="00B11932"/>
    <w:rsid w:val="00B13C0C"/>
    <w:rsid w:val="00B41FEA"/>
    <w:rsid w:val="00B60148"/>
    <w:rsid w:val="00B74B69"/>
    <w:rsid w:val="00B8742A"/>
    <w:rsid w:val="00B946A0"/>
    <w:rsid w:val="00BD7F55"/>
    <w:rsid w:val="00BE323C"/>
    <w:rsid w:val="00BF207A"/>
    <w:rsid w:val="00C00CF3"/>
    <w:rsid w:val="00C42676"/>
    <w:rsid w:val="00C43D79"/>
    <w:rsid w:val="00C53F43"/>
    <w:rsid w:val="00C62C70"/>
    <w:rsid w:val="00C84A5B"/>
    <w:rsid w:val="00CD7313"/>
    <w:rsid w:val="00D40591"/>
    <w:rsid w:val="00D44E47"/>
    <w:rsid w:val="00D466F6"/>
    <w:rsid w:val="00D50310"/>
    <w:rsid w:val="00D610D0"/>
    <w:rsid w:val="00D91683"/>
    <w:rsid w:val="00DA267A"/>
    <w:rsid w:val="00DD2850"/>
    <w:rsid w:val="00DD302E"/>
    <w:rsid w:val="00DD7CB5"/>
    <w:rsid w:val="00DE3F5A"/>
    <w:rsid w:val="00E06854"/>
    <w:rsid w:val="00E07639"/>
    <w:rsid w:val="00E078E8"/>
    <w:rsid w:val="00E11D16"/>
    <w:rsid w:val="00E245BC"/>
    <w:rsid w:val="00E37A37"/>
    <w:rsid w:val="00E41A2D"/>
    <w:rsid w:val="00E66622"/>
    <w:rsid w:val="00E741B6"/>
    <w:rsid w:val="00E92A50"/>
    <w:rsid w:val="00EA23A2"/>
    <w:rsid w:val="00EB4CEF"/>
    <w:rsid w:val="00ED6E83"/>
    <w:rsid w:val="00EE00C6"/>
    <w:rsid w:val="00F23986"/>
    <w:rsid w:val="00F273EE"/>
    <w:rsid w:val="00F456DC"/>
    <w:rsid w:val="00F727C3"/>
    <w:rsid w:val="00F758C6"/>
    <w:rsid w:val="00F8431B"/>
    <w:rsid w:val="00F85AB8"/>
    <w:rsid w:val="00F907A2"/>
    <w:rsid w:val="00FA016F"/>
    <w:rsid w:val="00FA0A5A"/>
    <w:rsid w:val="00FA40AE"/>
    <w:rsid w:val="00FC0831"/>
    <w:rsid w:val="00FD38D1"/>
    <w:rsid w:val="00FE1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32CD4F"/>
  <w15:docId w15:val="{800A4F65-FABE-47DB-AF8A-6E31DFCA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0F8"/>
    <w:rPr>
      <w:noProof/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622"/>
  </w:style>
  <w:style w:type="paragraph" w:styleId="Footer">
    <w:name w:val="footer"/>
    <w:basedOn w:val="Normal"/>
    <w:link w:val="Foot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6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ntTable.xml" Type="http://schemas.openxmlformats.org/officeDocument/2006/relationships/fontTable"/><Relationship Id="rId11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oter1.xml" Type="http://schemas.openxmlformats.org/officeDocument/2006/relationships/footer"/><Relationship Id="rId8" Target="header1.xml" Type="http://schemas.openxmlformats.org/officeDocument/2006/relationships/header"/><Relationship Id="rId9" Target="footer2.xml" Type="http://schemas.openxmlformats.org/officeDocument/2006/relationships/footer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3904B-5DF0-4166-8157-7EF183BD1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2024-12-11T14:15:00Z</dcterms:created>
  <dc:creator>Apache POI</dc:creator>
  <cp:lastModifiedBy>Mark M</cp:lastModifiedBy>
  <dcterms:modified xsi:type="dcterms:W3CDTF">2025-01-21T10:34:00Z</dcterms:modified>
  <cp:revision>80</cp:revision>
</cp:coreProperties>
</file>