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EA802"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6B804498" w14:textId="77777777" w:rsidR="00054C41" w:rsidRPr="00895898" w:rsidRDefault="00054C41" w:rsidP="00054C41">
      <w:pPr>
        <w:jc w:val="both"/>
        <w:rPr>
          <w:rFonts w:ascii="Times New Roman" w:eastAsia="Calibri" w:hAnsi="Times New Roman" w:cs="Times New Roman"/>
          <w:b/>
          <w:sz w:val="24"/>
          <w:szCs w:val="24"/>
        </w:rPr>
      </w:pPr>
    </w:p>
    <w:p w14:paraId="32D45C54" w14:textId="77777777" w:rsidR="00054C41" w:rsidRPr="001F1B43" w:rsidRDefault="00054C41" w:rsidP="0026787B">
      <w:pPr>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26787B">
        <w:rPr>
          <w:rFonts w:ascii="Times New Roman" w:eastAsia="Calibri" w:hAnsi="Times New Roman" w:cs="Times New Roman"/>
          <w:b/>
          <w:sz w:val="24"/>
          <w:szCs w:val="24"/>
        </w:rPr>
        <w:t xml:space="preserve"> </w:t>
      </w:r>
      <w:r w:rsidR="0026787B" w:rsidRPr="0026787B">
        <w:rPr>
          <w:rFonts w:ascii="Times New Roman" w:eastAsia="Calibri" w:hAnsi="Times New Roman" w:cs="Times New Roman"/>
          <w:bCs/>
          <w:sz w:val="24"/>
          <w:szCs w:val="24"/>
        </w:rPr>
        <w:t>Návrh vyhlášky, ktorou sa mení a dopĺňa vyhláška Úradu pre normalizáciu, metrológiu a skúšobníctvo Slovenskej republiky č. 76/2019 Z. z. o výške úhrady za poskytovanie technickej normy</w:t>
      </w:r>
    </w:p>
    <w:p w14:paraId="17E6C594"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26787B">
        <w:rPr>
          <w:rFonts w:ascii="Times New Roman" w:eastAsia="Calibri" w:hAnsi="Times New Roman" w:cs="Times New Roman"/>
          <w:b/>
          <w:sz w:val="24"/>
          <w:szCs w:val="24"/>
        </w:rPr>
        <w:t xml:space="preserve"> </w:t>
      </w:r>
      <w:r w:rsidR="0026787B" w:rsidRPr="0026787B">
        <w:rPr>
          <w:rFonts w:ascii="Times New Roman" w:eastAsia="Calibri" w:hAnsi="Times New Roman" w:cs="Times New Roman"/>
          <w:bCs/>
          <w:sz w:val="24"/>
          <w:szCs w:val="24"/>
        </w:rPr>
        <w:t>Úrad pre normalizáciu, metrológiu a skúšobníctvo Slovenskej republiky</w:t>
      </w:r>
    </w:p>
    <w:p w14:paraId="0B36880D" w14:textId="77777777" w:rsidR="00054C41" w:rsidRPr="001F1B43" w:rsidRDefault="00054C41" w:rsidP="00054C41">
      <w:pPr>
        <w:jc w:val="both"/>
        <w:rPr>
          <w:rFonts w:ascii="Times New Roman" w:eastAsia="Calibri" w:hAnsi="Times New Roman" w:cs="Times New Roman"/>
          <w:b/>
          <w:sz w:val="24"/>
          <w:szCs w:val="24"/>
        </w:rPr>
      </w:pPr>
    </w:p>
    <w:p w14:paraId="460E0090"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223863BD"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685711D0"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6F5355B1"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072" w:type="dxa"/>
        <w:tblCellMar>
          <w:left w:w="70" w:type="dxa"/>
          <w:right w:w="70" w:type="dxa"/>
        </w:tblCellMar>
        <w:tblLook w:val="04A0" w:firstRow="1" w:lastRow="0" w:firstColumn="1" w:lastColumn="0" w:noHBand="0" w:noVBand="1"/>
      </w:tblPr>
      <w:tblGrid>
        <w:gridCol w:w="4962"/>
        <w:gridCol w:w="2055"/>
        <w:gridCol w:w="2055"/>
      </w:tblGrid>
      <w:tr w:rsidR="003C7F99" w:rsidRPr="003C7F99" w14:paraId="451D6E59" w14:textId="77777777" w:rsidTr="00AF2A58">
        <w:trPr>
          <w:trHeight w:val="675"/>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B0B4E2D" w14:textId="77777777" w:rsidR="003C7F99" w:rsidRPr="003C7F99" w:rsidRDefault="003C7F99" w:rsidP="003C7F99">
            <w:pPr>
              <w:spacing w:after="0" w:line="240" w:lineRule="auto"/>
              <w:jc w:val="center"/>
              <w:rPr>
                <w:rFonts w:ascii="Times New Roman" w:eastAsia="Times New Roman" w:hAnsi="Times New Roman" w:cs="Times New Roman"/>
                <w:b/>
                <w:bCs/>
                <w:i/>
                <w:iCs/>
                <w:color w:val="000000"/>
                <w:sz w:val="20"/>
                <w:szCs w:val="20"/>
                <w:lang w:eastAsia="sk-SK"/>
              </w:rPr>
            </w:pPr>
            <w:r w:rsidRPr="003C7F99">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2BC2FD53"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727D1F0F"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Zníženie nákladov v € na PP</w:t>
            </w:r>
          </w:p>
        </w:tc>
      </w:tr>
      <w:tr w:rsidR="003C7F99" w:rsidRPr="003C7F99" w14:paraId="39192D0A" w14:textId="77777777" w:rsidTr="00AF2A58">
        <w:trPr>
          <w:trHeight w:val="81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151F1564" w14:textId="77777777" w:rsidR="003C7F99" w:rsidRPr="003C7F99" w:rsidRDefault="003C7F99" w:rsidP="003C7F99">
            <w:pPr>
              <w:spacing w:after="0" w:line="240" w:lineRule="auto"/>
              <w:rPr>
                <w:rFonts w:ascii="Times New Roman" w:eastAsia="Times New Roman" w:hAnsi="Times New Roman" w:cs="Times New Roman"/>
                <w:b/>
                <w:bCs/>
                <w:i/>
                <w:iCs/>
                <w:color w:val="000000"/>
                <w:sz w:val="20"/>
                <w:szCs w:val="20"/>
                <w:lang w:eastAsia="sk-SK"/>
              </w:rPr>
            </w:pPr>
            <w:proofErr w:type="spellStart"/>
            <w:r w:rsidRPr="003C7F99">
              <w:rPr>
                <w:rFonts w:ascii="Times New Roman" w:eastAsia="Times New Roman" w:hAnsi="Times New Roman" w:cs="Times New Roman"/>
                <w:b/>
                <w:bCs/>
                <w:i/>
                <w:iCs/>
                <w:color w:val="000000"/>
                <w:sz w:val="20"/>
                <w:szCs w:val="20"/>
                <w:lang w:eastAsia="sk-SK"/>
              </w:rPr>
              <w:t>A.Dane</w:t>
            </w:r>
            <w:proofErr w:type="spellEnd"/>
            <w:r w:rsidRPr="003C7F99">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3C7F99">
              <w:rPr>
                <w:rFonts w:ascii="Times New Roman" w:eastAsia="Times New Roman" w:hAnsi="Times New Roman" w:cs="Times New Roman"/>
                <w:b/>
                <w:bCs/>
                <w:i/>
                <w:iCs/>
                <w:color w:val="000000"/>
                <w:sz w:val="20"/>
                <w:szCs w:val="20"/>
                <w:lang w:eastAsia="sk-SK"/>
              </w:rPr>
              <w:t>externality</w:t>
            </w:r>
            <w:proofErr w:type="spellEnd"/>
          </w:p>
        </w:tc>
        <w:tc>
          <w:tcPr>
            <w:tcW w:w="1880" w:type="dxa"/>
            <w:tcBorders>
              <w:top w:val="nil"/>
              <w:left w:val="nil"/>
              <w:bottom w:val="single" w:sz="4" w:space="0" w:color="auto"/>
              <w:right w:val="single" w:sz="4" w:space="0" w:color="auto"/>
            </w:tcBorders>
            <w:shd w:val="clear" w:color="000000" w:fill="FFC000"/>
            <w:vAlign w:val="center"/>
            <w:hideMark/>
          </w:tcPr>
          <w:p w14:paraId="648454A0"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43AF59EA"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0</w:t>
            </w:r>
          </w:p>
        </w:tc>
      </w:tr>
      <w:tr w:rsidR="003C7F99" w:rsidRPr="003C7F99" w14:paraId="268E943E" w14:textId="77777777" w:rsidTr="00AF2A58">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15E1B9F8" w14:textId="77777777" w:rsidR="003C7F99" w:rsidRPr="003C7F99" w:rsidRDefault="003C7F99" w:rsidP="003C7F99">
            <w:pPr>
              <w:spacing w:after="0" w:line="240" w:lineRule="auto"/>
              <w:rPr>
                <w:rFonts w:ascii="Times New Roman" w:eastAsia="Times New Roman" w:hAnsi="Times New Roman" w:cs="Times New Roman"/>
                <w:b/>
                <w:bCs/>
                <w:i/>
                <w:iCs/>
                <w:color w:val="000000"/>
                <w:sz w:val="20"/>
                <w:szCs w:val="20"/>
                <w:lang w:eastAsia="sk-SK"/>
              </w:rPr>
            </w:pPr>
            <w:r w:rsidRPr="003C7F99">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0FA810B3"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131 551</w:t>
            </w:r>
          </w:p>
        </w:tc>
        <w:tc>
          <w:tcPr>
            <w:tcW w:w="1880" w:type="dxa"/>
            <w:tcBorders>
              <w:top w:val="nil"/>
              <w:left w:val="nil"/>
              <w:bottom w:val="single" w:sz="4" w:space="0" w:color="auto"/>
              <w:right w:val="single" w:sz="8" w:space="0" w:color="auto"/>
            </w:tcBorders>
            <w:shd w:val="clear" w:color="000000" w:fill="92D050"/>
            <w:vAlign w:val="center"/>
            <w:hideMark/>
          </w:tcPr>
          <w:p w14:paraId="3D955FF2"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0</w:t>
            </w:r>
          </w:p>
        </w:tc>
      </w:tr>
      <w:tr w:rsidR="003C7F99" w:rsidRPr="003C7F99" w14:paraId="3B26B4A4" w14:textId="77777777" w:rsidTr="00AF2A58">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46D9D362" w14:textId="77777777" w:rsidR="003C7F99" w:rsidRPr="003C7F99" w:rsidRDefault="003C7F99" w:rsidP="003C7F99">
            <w:pPr>
              <w:spacing w:after="0" w:line="240" w:lineRule="auto"/>
              <w:rPr>
                <w:rFonts w:ascii="Times New Roman" w:eastAsia="Times New Roman" w:hAnsi="Times New Roman" w:cs="Times New Roman"/>
                <w:b/>
                <w:bCs/>
                <w:i/>
                <w:iCs/>
                <w:color w:val="000000"/>
                <w:sz w:val="20"/>
                <w:szCs w:val="20"/>
                <w:lang w:eastAsia="sk-SK"/>
              </w:rPr>
            </w:pPr>
            <w:r w:rsidRPr="003C7F99">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2D8F2DAB"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68D7D581"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0</w:t>
            </w:r>
          </w:p>
        </w:tc>
      </w:tr>
      <w:tr w:rsidR="003C7F99" w:rsidRPr="003C7F99" w14:paraId="62DFCD90" w14:textId="77777777" w:rsidTr="00AF2A58">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56ECDE4E" w14:textId="77777777" w:rsidR="003C7F99" w:rsidRPr="003C7F99" w:rsidRDefault="003C7F99" w:rsidP="003C7F99">
            <w:pPr>
              <w:spacing w:after="0" w:line="240" w:lineRule="auto"/>
              <w:rPr>
                <w:rFonts w:ascii="Times New Roman" w:eastAsia="Times New Roman" w:hAnsi="Times New Roman" w:cs="Times New Roman"/>
                <w:b/>
                <w:bCs/>
                <w:i/>
                <w:iCs/>
                <w:color w:val="000000"/>
                <w:sz w:val="20"/>
                <w:szCs w:val="20"/>
                <w:lang w:eastAsia="sk-SK"/>
              </w:rPr>
            </w:pPr>
            <w:r w:rsidRPr="003C7F99">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5819314C"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59851E14"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0</w:t>
            </w:r>
          </w:p>
        </w:tc>
      </w:tr>
      <w:tr w:rsidR="003C7F99" w:rsidRPr="003C7F99" w14:paraId="57058EF5" w14:textId="77777777" w:rsidTr="00AF2A58">
        <w:trPr>
          <w:trHeight w:val="300"/>
        </w:trPr>
        <w:tc>
          <w:tcPr>
            <w:tcW w:w="4540" w:type="dxa"/>
            <w:tcBorders>
              <w:top w:val="nil"/>
              <w:left w:val="single" w:sz="8" w:space="0" w:color="auto"/>
              <w:bottom w:val="nil"/>
              <w:right w:val="single" w:sz="4" w:space="0" w:color="auto"/>
            </w:tcBorders>
            <w:shd w:val="clear" w:color="auto" w:fill="auto"/>
            <w:vAlign w:val="center"/>
            <w:hideMark/>
          </w:tcPr>
          <w:p w14:paraId="3EDE0785" w14:textId="77777777" w:rsidR="003C7F99" w:rsidRPr="003C7F99" w:rsidRDefault="003C7F99" w:rsidP="003C7F99">
            <w:pPr>
              <w:spacing w:after="0" w:line="240" w:lineRule="auto"/>
              <w:rPr>
                <w:rFonts w:ascii="Times New Roman" w:eastAsia="Times New Roman" w:hAnsi="Times New Roman" w:cs="Times New Roman"/>
                <w:b/>
                <w:bCs/>
                <w:i/>
                <w:iCs/>
                <w:color w:val="000000"/>
                <w:sz w:val="20"/>
                <w:szCs w:val="20"/>
                <w:lang w:eastAsia="sk-SK"/>
              </w:rPr>
            </w:pPr>
            <w:r w:rsidRPr="003C7F99">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hideMark/>
          </w:tcPr>
          <w:p w14:paraId="66D35CF8"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14:paraId="55A28643"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0</w:t>
            </w:r>
          </w:p>
        </w:tc>
      </w:tr>
      <w:tr w:rsidR="003C7F99" w:rsidRPr="003C7F99" w14:paraId="796CFB62" w14:textId="77777777" w:rsidTr="00AF2A58">
        <w:trPr>
          <w:trHeight w:val="3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B4A25F3" w14:textId="77777777" w:rsidR="003C7F99" w:rsidRPr="003C7F99" w:rsidRDefault="003C7F99" w:rsidP="003C7F99">
            <w:pPr>
              <w:spacing w:after="0" w:line="240" w:lineRule="auto"/>
              <w:rPr>
                <w:rFonts w:ascii="Times New Roman" w:eastAsia="Times New Roman" w:hAnsi="Times New Roman" w:cs="Times New Roman"/>
                <w:b/>
                <w:bCs/>
                <w:i/>
                <w:iCs/>
                <w:color w:val="000000"/>
                <w:sz w:val="20"/>
                <w:szCs w:val="20"/>
                <w:lang w:eastAsia="sk-SK"/>
              </w:rPr>
            </w:pPr>
            <w:r w:rsidRPr="003C7F99">
              <w:rPr>
                <w:rFonts w:ascii="Times New Roman" w:eastAsia="Times New Roman" w:hAnsi="Times New Roman" w:cs="Times New Roman"/>
                <w:b/>
                <w:bCs/>
                <w:i/>
                <w:iCs/>
                <w:color w:val="000000"/>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369E7FB2"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131 551</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79958DC7"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0</w:t>
            </w:r>
          </w:p>
        </w:tc>
      </w:tr>
      <w:tr w:rsidR="003C7F99" w:rsidRPr="003C7F99" w14:paraId="168C53F1" w14:textId="77777777" w:rsidTr="00AF2A58">
        <w:trPr>
          <w:trHeight w:val="300"/>
        </w:trPr>
        <w:tc>
          <w:tcPr>
            <w:tcW w:w="4540" w:type="dxa"/>
            <w:tcBorders>
              <w:top w:val="nil"/>
              <w:left w:val="nil"/>
              <w:bottom w:val="nil"/>
              <w:right w:val="nil"/>
            </w:tcBorders>
            <w:shd w:val="clear" w:color="auto" w:fill="auto"/>
            <w:vAlign w:val="center"/>
            <w:hideMark/>
          </w:tcPr>
          <w:p w14:paraId="64F4D49D"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1F8D682C" w14:textId="77777777" w:rsidR="003C7F99" w:rsidRPr="003C7F99" w:rsidRDefault="003C7F99" w:rsidP="003C7F99">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0EE2315C" w14:textId="77777777" w:rsidR="003C7F99" w:rsidRPr="003C7F99" w:rsidRDefault="003C7F99" w:rsidP="003C7F99">
            <w:pPr>
              <w:spacing w:after="0" w:line="240" w:lineRule="auto"/>
              <w:rPr>
                <w:rFonts w:ascii="Times New Roman" w:eastAsia="Times New Roman" w:hAnsi="Times New Roman" w:cs="Times New Roman"/>
                <w:sz w:val="20"/>
                <w:szCs w:val="20"/>
                <w:lang w:eastAsia="sk-SK"/>
              </w:rPr>
            </w:pPr>
          </w:p>
        </w:tc>
      </w:tr>
      <w:tr w:rsidR="003C7F99" w:rsidRPr="003C7F99" w14:paraId="3288E911" w14:textId="77777777" w:rsidTr="00AF2A58">
        <w:trPr>
          <w:trHeight w:val="6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07CFCE6" w14:textId="77777777" w:rsidR="003C7F99" w:rsidRPr="003C7F99" w:rsidRDefault="003C7F99" w:rsidP="003C7F99">
            <w:pPr>
              <w:spacing w:after="0" w:line="240" w:lineRule="auto"/>
              <w:rPr>
                <w:rFonts w:ascii="Times New Roman" w:eastAsia="Times New Roman" w:hAnsi="Times New Roman" w:cs="Times New Roman"/>
                <w:b/>
                <w:bCs/>
                <w:i/>
                <w:iCs/>
                <w:color w:val="000000"/>
                <w:sz w:val="20"/>
                <w:szCs w:val="20"/>
                <w:lang w:eastAsia="sk-SK"/>
              </w:rPr>
            </w:pPr>
            <w:r w:rsidRPr="003C7F99">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75FECDCE"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4B2A5843"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Zníženie nákladov v € na PP</w:t>
            </w:r>
          </w:p>
        </w:tc>
      </w:tr>
      <w:tr w:rsidR="003C7F99" w:rsidRPr="003C7F99" w14:paraId="537745B8" w14:textId="77777777" w:rsidTr="00AF2A58">
        <w:trPr>
          <w:trHeight w:val="990"/>
        </w:trPr>
        <w:tc>
          <w:tcPr>
            <w:tcW w:w="4540" w:type="dxa"/>
            <w:tcBorders>
              <w:top w:val="nil"/>
              <w:left w:val="single" w:sz="8" w:space="0" w:color="auto"/>
              <w:bottom w:val="nil"/>
              <w:right w:val="single" w:sz="4" w:space="0" w:color="auto"/>
            </w:tcBorders>
            <w:shd w:val="clear" w:color="auto" w:fill="auto"/>
            <w:vAlign w:val="center"/>
            <w:hideMark/>
          </w:tcPr>
          <w:p w14:paraId="49620C23" w14:textId="77777777" w:rsidR="003C7F99" w:rsidRPr="003C7F99" w:rsidRDefault="003C7F99" w:rsidP="003C7F99">
            <w:pPr>
              <w:spacing w:after="0" w:line="240" w:lineRule="auto"/>
              <w:rPr>
                <w:rFonts w:ascii="Times New Roman" w:eastAsia="Times New Roman" w:hAnsi="Times New Roman" w:cs="Times New Roman"/>
                <w:b/>
                <w:bCs/>
                <w:i/>
                <w:iCs/>
                <w:color w:val="000000"/>
                <w:sz w:val="20"/>
                <w:szCs w:val="20"/>
                <w:lang w:eastAsia="sk-SK"/>
              </w:rPr>
            </w:pPr>
            <w:r w:rsidRPr="003C7F99">
              <w:rPr>
                <w:rFonts w:ascii="Times New Roman" w:eastAsia="Times New Roman" w:hAnsi="Times New Roman" w:cs="Times New Roman"/>
                <w:b/>
                <w:bCs/>
                <w:i/>
                <w:iCs/>
                <w:color w:val="000000"/>
                <w:sz w:val="20"/>
                <w:szCs w:val="20"/>
                <w:lang w:eastAsia="sk-SK"/>
              </w:rPr>
              <w:t>F. Úplná harmonizácia práva EÚ</w:t>
            </w:r>
            <w:r w:rsidRPr="003C7F99">
              <w:rPr>
                <w:rFonts w:ascii="Times New Roman" w:eastAsia="Times New Roman" w:hAnsi="Times New Roman" w:cs="Times New Roman"/>
                <w:b/>
                <w:bCs/>
                <w:i/>
                <w:iCs/>
                <w:color w:val="000000"/>
                <w:sz w:val="20"/>
                <w:szCs w:val="20"/>
                <w:lang w:eastAsia="sk-SK"/>
              </w:rPr>
              <w:br/>
            </w:r>
            <w:r w:rsidRPr="003C7F99">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3C7F99">
              <w:rPr>
                <w:rFonts w:ascii="Times New Roman" w:eastAsia="Times New Roman" w:hAnsi="Times New Roman" w:cs="Times New Roman"/>
                <w:i/>
                <w:iCs/>
                <w:color w:val="000000"/>
                <w:sz w:val="16"/>
                <w:szCs w:val="16"/>
                <w:lang w:eastAsia="sk-SK"/>
              </w:rPr>
              <w:t>externality</w:t>
            </w:r>
            <w:proofErr w:type="spellEnd"/>
            <w:r w:rsidRPr="003C7F99">
              <w:rPr>
                <w:rFonts w:ascii="Times New Roman" w:eastAsia="Times New Roman" w:hAnsi="Times New Roman" w:cs="Times New Roman"/>
                <w:i/>
                <w:iCs/>
                <w:color w:val="000000"/>
                <w:sz w:val="16"/>
                <w:szCs w:val="16"/>
                <w:lang w:eastAsia="sk-SK"/>
              </w:rPr>
              <w:t>)</w:t>
            </w:r>
          </w:p>
        </w:tc>
        <w:tc>
          <w:tcPr>
            <w:tcW w:w="1880" w:type="dxa"/>
            <w:tcBorders>
              <w:top w:val="nil"/>
              <w:left w:val="nil"/>
              <w:bottom w:val="nil"/>
              <w:right w:val="single" w:sz="4" w:space="0" w:color="auto"/>
            </w:tcBorders>
            <w:shd w:val="clear" w:color="000000" w:fill="FFC000"/>
            <w:vAlign w:val="center"/>
            <w:hideMark/>
          </w:tcPr>
          <w:p w14:paraId="5178882F"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14:paraId="180D5B61"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0</w:t>
            </w:r>
          </w:p>
        </w:tc>
      </w:tr>
      <w:tr w:rsidR="003C7F99" w:rsidRPr="003C7F99" w14:paraId="2C4C7295" w14:textId="77777777" w:rsidTr="00AF2A58">
        <w:trPr>
          <w:trHeight w:val="27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1BA8780" w14:textId="77777777" w:rsidR="003C7F99" w:rsidRPr="003C7F99" w:rsidRDefault="003C7F99" w:rsidP="003C7F99">
            <w:pPr>
              <w:spacing w:after="0" w:line="240" w:lineRule="auto"/>
              <w:rPr>
                <w:rFonts w:ascii="Times New Roman" w:eastAsia="Times New Roman" w:hAnsi="Times New Roman" w:cs="Times New Roman"/>
                <w:b/>
                <w:bCs/>
                <w:i/>
                <w:iCs/>
                <w:color w:val="000000"/>
                <w:sz w:val="20"/>
                <w:szCs w:val="20"/>
                <w:lang w:eastAsia="sk-SK"/>
              </w:rPr>
            </w:pPr>
            <w:r w:rsidRPr="003C7F99">
              <w:rPr>
                <w:rFonts w:ascii="Times New Roman" w:eastAsia="Times New Roman" w:hAnsi="Times New Roman" w:cs="Times New Roman"/>
                <w:b/>
                <w:bCs/>
                <w:i/>
                <w:iCs/>
                <w:color w:val="000000"/>
                <w:sz w:val="20"/>
                <w:szCs w:val="20"/>
                <w:lang w:eastAsia="sk-SK"/>
              </w:rPr>
              <w:t xml:space="preserve">G. </w:t>
            </w:r>
            <w:proofErr w:type="spellStart"/>
            <w:r w:rsidRPr="003C7F99">
              <w:rPr>
                <w:rFonts w:ascii="Times New Roman" w:eastAsia="Times New Roman" w:hAnsi="Times New Roman" w:cs="Times New Roman"/>
                <w:b/>
                <w:bCs/>
                <w:i/>
                <w:iCs/>
                <w:color w:val="000000"/>
                <w:sz w:val="20"/>
                <w:szCs w:val="20"/>
                <w:lang w:eastAsia="sk-SK"/>
              </w:rPr>
              <w:t>Goldplating</w:t>
            </w:r>
            <w:proofErr w:type="spellEnd"/>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0BED034F"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1EA49DF5"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0</w:t>
            </w:r>
          </w:p>
        </w:tc>
      </w:tr>
      <w:tr w:rsidR="003C7F99" w:rsidRPr="003C7F99" w14:paraId="728AFAAF" w14:textId="77777777" w:rsidTr="00AF2A58">
        <w:trPr>
          <w:trHeight w:val="270"/>
        </w:trPr>
        <w:tc>
          <w:tcPr>
            <w:tcW w:w="4540" w:type="dxa"/>
            <w:tcBorders>
              <w:top w:val="nil"/>
              <w:left w:val="nil"/>
              <w:bottom w:val="nil"/>
              <w:right w:val="nil"/>
            </w:tcBorders>
            <w:shd w:val="clear" w:color="auto" w:fill="auto"/>
            <w:noWrap/>
            <w:vAlign w:val="bottom"/>
            <w:hideMark/>
          </w:tcPr>
          <w:p w14:paraId="0BD488E9"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739510C2" w14:textId="77777777" w:rsidR="003C7F99" w:rsidRPr="003C7F99" w:rsidRDefault="003C7F99" w:rsidP="003C7F99">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38B0D292" w14:textId="77777777" w:rsidR="003C7F99" w:rsidRPr="003C7F99" w:rsidRDefault="003C7F99" w:rsidP="003C7F99">
            <w:pPr>
              <w:spacing w:after="0" w:line="240" w:lineRule="auto"/>
              <w:rPr>
                <w:rFonts w:ascii="Times New Roman" w:eastAsia="Times New Roman" w:hAnsi="Times New Roman" w:cs="Times New Roman"/>
                <w:sz w:val="20"/>
                <w:szCs w:val="20"/>
                <w:lang w:eastAsia="sk-SK"/>
              </w:rPr>
            </w:pPr>
          </w:p>
        </w:tc>
      </w:tr>
      <w:tr w:rsidR="003C7F99" w:rsidRPr="003C7F99" w14:paraId="0E843AFE" w14:textId="77777777" w:rsidTr="00AF2A58">
        <w:trPr>
          <w:trHeight w:val="270"/>
        </w:trPr>
        <w:tc>
          <w:tcPr>
            <w:tcW w:w="4540" w:type="dxa"/>
            <w:tcBorders>
              <w:top w:val="nil"/>
              <w:left w:val="nil"/>
              <w:bottom w:val="nil"/>
              <w:right w:val="nil"/>
            </w:tcBorders>
            <w:shd w:val="clear" w:color="auto" w:fill="auto"/>
            <w:noWrap/>
            <w:vAlign w:val="bottom"/>
            <w:hideMark/>
          </w:tcPr>
          <w:p w14:paraId="58C00EFF" w14:textId="77777777" w:rsidR="003C7F99" w:rsidRPr="003C7F99" w:rsidRDefault="003C7F99" w:rsidP="003C7F99">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5B0C3D8D" w14:textId="77777777" w:rsidR="003C7F99" w:rsidRPr="003C7F99" w:rsidRDefault="003C7F99" w:rsidP="003C7F99">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7FA24028" w14:textId="77777777" w:rsidR="003C7F99" w:rsidRPr="003C7F99" w:rsidRDefault="003C7F99" w:rsidP="003C7F99">
            <w:pPr>
              <w:spacing w:after="0" w:line="240" w:lineRule="auto"/>
              <w:rPr>
                <w:rFonts w:ascii="Times New Roman" w:eastAsia="Times New Roman" w:hAnsi="Times New Roman" w:cs="Times New Roman"/>
                <w:sz w:val="20"/>
                <w:szCs w:val="20"/>
                <w:lang w:eastAsia="sk-SK"/>
              </w:rPr>
            </w:pPr>
          </w:p>
        </w:tc>
      </w:tr>
      <w:tr w:rsidR="003C7F99" w:rsidRPr="003C7F99" w14:paraId="3CEB80F0" w14:textId="77777777" w:rsidTr="00AF2A58">
        <w:trPr>
          <w:trHeight w:val="330"/>
        </w:trPr>
        <w:tc>
          <w:tcPr>
            <w:tcW w:w="4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1D7CA84" w14:textId="77777777" w:rsidR="003C7F99" w:rsidRPr="003C7F99" w:rsidRDefault="003C7F99" w:rsidP="003C7F99">
            <w:pPr>
              <w:spacing w:after="0" w:line="240" w:lineRule="auto"/>
              <w:rPr>
                <w:rFonts w:ascii="Times New Roman" w:eastAsia="Times New Roman" w:hAnsi="Times New Roman" w:cs="Times New Roman"/>
                <w:i/>
                <w:iCs/>
                <w:color w:val="000000"/>
                <w:sz w:val="20"/>
                <w:szCs w:val="20"/>
                <w:lang w:eastAsia="sk-SK"/>
              </w:rPr>
            </w:pPr>
            <w:r w:rsidRPr="003C7F99">
              <w:rPr>
                <w:rFonts w:ascii="Times New Roman" w:eastAsia="Times New Roman" w:hAnsi="Times New Roman" w:cs="Times New Roman"/>
                <w:i/>
                <w:iCs/>
                <w:color w:val="000000"/>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4E80CBD2"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3E181507"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OUT</w:t>
            </w:r>
          </w:p>
        </w:tc>
      </w:tr>
      <w:tr w:rsidR="003C7F99" w:rsidRPr="003C7F99" w14:paraId="334DEA1F" w14:textId="77777777" w:rsidTr="00AF2A58">
        <w:trPr>
          <w:trHeight w:val="345"/>
        </w:trPr>
        <w:tc>
          <w:tcPr>
            <w:tcW w:w="4540" w:type="dxa"/>
            <w:tcBorders>
              <w:top w:val="nil"/>
              <w:left w:val="single" w:sz="8" w:space="0" w:color="auto"/>
              <w:bottom w:val="single" w:sz="8" w:space="0" w:color="auto"/>
              <w:right w:val="single" w:sz="4" w:space="0" w:color="auto"/>
            </w:tcBorders>
            <w:shd w:val="clear" w:color="auto" w:fill="auto"/>
            <w:vAlign w:val="center"/>
            <w:hideMark/>
          </w:tcPr>
          <w:p w14:paraId="31BE5766" w14:textId="77777777" w:rsidR="003C7F99" w:rsidRPr="003C7F99" w:rsidRDefault="003C7F99" w:rsidP="003C7F99">
            <w:pPr>
              <w:spacing w:after="0" w:line="240" w:lineRule="auto"/>
              <w:rPr>
                <w:rFonts w:ascii="Times New Roman" w:eastAsia="Times New Roman" w:hAnsi="Times New Roman" w:cs="Times New Roman"/>
                <w:i/>
                <w:iCs/>
                <w:color w:val="000000"/>
                <w:sz w:val="20"/>
                <w:szCs w:val="20"/>
                <w:lang w:eastAsia="sk-SK"/>
              </w:rPr>
            </w:pPr>
            <w:r w:rsidRPr="003C7F99">
              <w:rPr>
                <w:rFonts w:ascii="Times New Roman" w:eastAsia="Times New Roman" w:hAnsi="Times New Roman" w:cs="Times New Roman"/>
                <w:i/>
                <w:iCs/>
                <w:color w:val="000000"/>
                <w:sz w:val="20"/>
                <w:szCs w:val="20"/>
                <w:lang w:eastAsia="sk-SK"/>
              </w:rPr>
              <w:t>H</w:t>
            </w:r>
            <w:r w:rsidRPr="003C7F99">
              <w:rPr>
                <w:rFonts w:ascii="Times New Roman" w:eastAsia="Times New Roman" w:hAnsi="Times New Roman" w:cs="Times New Roman"/>
                <w:b/>
                <w:bCs/>
                <w:i/>
                <w:iCs/>
                <w:color w:val="000000"/>
                <w:sz w:val="20"/>
                <w:szCs w:val="20"/>
                <w:lang w:eastAsia="sk-SK"/>
              </w:rPr>
              <w:t>.</w:t>
            </w:r>
            <w:r w:rsidRPr="003C7F99">
              <w:rPr>
                <w:rFonts w:ascii="Times New Roman" w:eastAsia="Times New Roman" w:hAnsi="Times New Roman" w:cs="Times New Roman"/>
                <w:i/>
                <w:iCs/>
                <w:color w:val="000000"/>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6E2BA038"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131 551</w:t>
            </w:r>
          </w:p>
        </w:tc>
        <w:tc>
          <w:tcPr>
            <w:tcW w:w="1880" w:type="dxa"/>
            <w:tcBorders>
              <w:top w:val="nil"/>
              <w:left w:val="nil"/>
              <w:bottom w:val="single" w:sz="8" w:space="0" w:color="auto"/>
              <w:right w:val="single" w:sz="8" w:space="0" w:color="auto"/>
            </w:tcBorders>
            <w:shd w:val="clear" w:color="000000" w:fill="92D050"/>
            <w:vAlign w:val="center"/>
            <w:hideMark/>
          </w:tcPr>
          <w:p w14:paraId="1AAE7F14"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20"/>
                <w:szCs w:val="20"/>
                <w:lang w:eastAsia="sk-SK"/>
              </w:rPr>
            </w:pPr>
            <w:r w:rsidRPr="003C7F99">
              <w:rPr>
                <w:rFonts w:ascii="Times New Roman" w:eastAsia="Times New Roman" w:hAnsi="Times New Roman" w:cs="Times New Roman"/>
                <w:b/>
                <w:bCs/>
                <w:color w:val="000000"/>
                <w:sz w:val="20"/>
                <w:szCs w:val="20"/>
                <w:lang w:eastAsia="sk-SK"/>
              </w:rPr>
              <w:t>0</w:t>
            </w:r>
          </w:p>
        </w:tc>
      </w:tr>
    </w:tbl>
    <w:p w14:paraId="4F1B8885" w14:textId="77777777" w:rsidR="000F6834" w:rsidRDefault="000F6834" w:rsidP="00054C41">
      <w:pPr>
        <w:jc w:val="both"/>
        <w:rPr>
          <w:rFonts w:ascii="Times New Roman" w:eastAsia="Calibri" w:hAnsi="Times New Roman" w:cs="Times New Roman"/>
          <w:i/>
          <w:sz w:val="24"/>
          <w:szCs w:val="24"/>
        </w:rPr>
      </w:pPr>
    </w:p>
    <w:p w14:paraId="6E512750" w14:textId="77777777" w:rsidR="000F6834" w:rsidRPr="00D8247C" w:rsidRDefault="000F6834" w:rsidP="00054C41">
      <w:pPr>
        <w:jc w:val="both"/>
        <w:rPr>
          <w:rFonts w:ascii="Times New Roman" w:eastAsia="Calibri" w:hAnsi="Times New Roman" w:cs="Times New Roman"/>
          <w:i/>
          <w:sz w:val="24"/>
          <w:szCs w:val="24"/>
        </w:rPr>
      </w:pPr>
    </w:p>
    <w:p w14:paraId="3A5E0F77"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4584152F"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772D7474"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4029" w:type="dxa"/>
        <w:tblCellMar>
          <w:top w:w="28" w:type="dxa"/>
          <w:left w:w="28" w:type="dxa"/>
          <w:bottom w:w="28" w:type="dxa"/>
          <w:right w:w="28" w:type="dxa"/>
        </w:tblCellMar>
        <w:tblLook w:val="04A0" w:firstRow="1" w:lastRow="0" w:firstColumn="1" w:lastColumn="0" w:noHBand="0" w:noVBand="1"/>
      </w:tblPr>
      <w:tblGrid>
        <w:gridCol w:w="482"/>
        <w:gridCol w:w="1833"/>
        <w:gridCol w:w="935"/>
        <w:gridCol w:w="1181"/>
        <w:gridCol w:w="1425"/>
        <w:gridCol w:w="934"/>
        <w:gridCol w:w="1852"/>
        <w:gridCol w:w="851"/>
        <w:gridCol w:w="773"/>
        <w:gridCol w:w="807"/>
        <w:gridCol w:w="916"/>
        <w:gridCol w:w="865"/>
        <w:gridCol w:w="1175"/>
      </w:tblGrid>
      <w:tr w:rsidR="003C7F99" w:rsidRPr="003C7F99" w14:paraId="093669FA" w14:textId="77777777" w:rsidTr="00BC7BA0">
        <w:trPr>
          <w:trHeight w:val="450"/>
        </w:trPr>
        <w:tc>
          <w:tcPr>
            <w:tcW w:w="48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5D971D1"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3C7F99">
              <w:rPr>
                <w:rFonts w:ascii="Times New Roman" w:eastAsia="Times New Roman" w:hAnsi="Times New Roman" w:cs="Times New Roman"/>
                <w:b/>
                <w:bCs/>
                <w:color w:val="000000"/>
                <w:sz w:val="18"/>
                <w:szCs w:val="18"/>
                <w:lang w:eastAsia="sk-SK"/>
              </w:rPr>
              <w:t>P.č</w:t>
            </w:r>
            <w:proofErr w:type="spellEnd"/>
            <w:r w:rsidRPr="003C7F99">
              <w:rPr>
                <w:rFonts w:ascii="Times New Roman" w:eastAsia="Times New Roman" w:hAnsi="Times New Roman" w:cs="Times New Roman"/>
                <w:b/>
                <w:bCs/>
                <w:color w:val="000000"/>
                <w:sz w:val="18"/>
                <w:szCs w:val="18"/>
                <w:lang w:eastAsia="sk-SK"/>
              </w:rPr>
              <w:t>.</w:t>
            </w:r>
          </w:p>
        </w:tc>
        <w:tc>
          <w:tcPr>
            <w:tcW w:w="183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1F01327"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18"/>
                <w:szCs w:val="18"/>
                <w:lang w:eastAsia="sk-SK"/>
              </w:rPr>
            </w:pPr>
            <w:r w:rsidRPr="003C7F99">
              <w:rPr>
                <w:rFonts w:ascii="Times New Roman" w:eastAsia="Times New Roman" w:hAnsi="Times New Roman" w:cs="Times New Roman"/>
                <w:b/>
                <w:bCs/>
                <w:color w:val="000000"/>
                <w:sz w:val="18"/>
                <w:szCs w:val="18"/>
                <w:lang w:eastAsia="sk-SK"/>
              </w:rPr>
              <w:t xml:space="preserve">Zrozumiteľný a stručný opis regulácie </w:t>
            </w:r>
            <w:r w:rsidRPr="003C7F99">
              <w:rPr>
                <w:rFonts w:ascii="Times New Roman" w:eastAsia="Times New Roman" w:hAnsi="Times New Roman" w:cs="Times New Roman"/>
                <w:b/>
                <w:bCs/>
                <w:color w:val="000000"/>
                <w:sz w:val="18"/>
                <w:szCs w:val="18"/>
                <w:lang w:eastAsia="sk-SK"/>
              </w:rPr>
              <w:br/>
              <w:t xml:space="preserve">(dôvod zvýšenia/zníženia nákladov na PP a dôvod ponechania nákladov na PP, ktoré </w:t>
            </w:r>
            <w:proofErr w:type="spellStart"/>
            <w:r w:rsidRPr="003C7F99">
              <w:rPr>
                <w:rFonts w:ascii="Times New Roman" w:eastAsia="Times New Roman" w:hAnsi="Times New Roman" w:cs="Times New Roman"/>
                <w:b/>
                <w:bCs/>
                <w:color w:val="000000"/>
                <w:sz w:val="18"/>
                <w:szCs w:val="18"/>
                <w:lang w:eastAsia="sk-SK"/>
              </w:rPr>
              <w:t>su</w:t>
            </w:r>
            <w:proofErr w:type="spellEnd"/>
            <w:r w:rsidRPr="003C7F99">
              <w:rPr>
                <w:rFonts w:ascii="Times New Roman" w:eastAsia="Times New Roman" w:hAnsi="Times New Roman" w:cs="Times New Roman"/>
                <w:b/>
                <w:bCs/>
                <w:color w:val="000000"/>
                <w:sz w:val="18"/>
                <w:szCs w:val="18"/>
                <w:lang w:eastAsia="sk-SK"/>
              </w:rPr>
              <w:t xml:space="preserve"> </w:t>
            </w:r>
            <w:proofErr w:type="spellStart"/>
            <w:r w:rsidRPr="003C7F99">
              <w:rPr>
                <w:rFonts w:ascii="Times New Roman" w:eastAsia="Times New Roman" w:hAnsi="Times New Roman" w:cs="Times New Roman"/>
                <w:b/>
                <w:bCs/>
                <w:color w:val="000000"/>
                <w:sz w:val="18"/>
                <w:szCs w:val="18"/>
                <w:lang w:eastAsia="sk-SK"/>
              </w:rPr>
              <w:t>goldplatingom</w:t>
            </w:r>
            <w:proofErr w:type="spellEnd"/>
            <w:r w:rsidRPr="003C7F99">
              <w:rPr>
                <w:rFonts w:ascii="Times New Roman" w:eastAsia="Times New Roman" w:hAnsi="Times New Roman" w:cs="Times New Roman"/>
                <w:b/>
                <w:bCs/>
                <w:color w:val="000000"/>
                <w:sz w:val="18"/>
                <w:szCs w:val="18"/>
                <w:lang w:eastAsia="sk-SK"/>
              </w:rPr>
              <w:t>)</w:t>
            </w:r>
          </w:p>
        </w:tc>
        <w:tc>
          <w:tcPr>
            <w:tcW w:w="935"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121B89CD"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18"/>
                <w:szCs w:val="18"/>
                <w:lang w:eastAsia="sk-SK"/>
              </w:rPr>
            </w:pPr>
            <w:r w:rsidRPr="003C7F99">
              <w:rPr>
                <w:rFonts w:ascii="Times New Roman" w:eastAsia="Times New Roman" w:hAnsi="Times New Roman" w:cs="Times New Roman"/>
                <w:b/>
                <w:bCs/>
                <w:color w:val="000000"/>
                <w:sz w:val="18"/>
                <w:szCs w:val="18"/>
                <w:lang w:eastAsia="sk-SK"/>
              </w:rPr>
              <w:t>Číslo normy</w:t>
            </w:r>
            <w:r w:rsidRPr="003C7F99">
              <w:rPr>
                <w:rFonts w:ascii="Times New Roman" w:eastAsia="Times New Roman" w:hAnsi="Times New Roman" w:cs="Times New Roman"/>
                <w:b/>
                <w:bCs/>
                <w:color w:val="000000"/>
                <w:sz w:val="18"/>
                <w:szCs w:val="18"/>
                <w:lang w:eastAsia="sk-SK"/>
              </w:rPr>
              <w:br/>
            </w:r>
            <w:r w:rsidRPr="003C7F99">
              <w:rPr>
                <w:rFonts w:ascii="Times New Roman" w:eastAsia="Times New Roman" w:hAnsi="Times New Roman" w:cs="Times New Roman"/>
                <w:color w:val="000000"/>
                <w:sz w:val="18"/>
                <w:szCs w:val="18"/>
                <w:lang w:eastAsia="sk-SK"/>
              </w:rPr>
              <w:t>(zákona, vyhlášky a pod.)</w:t>
            </w:r>
          </w:p>
        </w:tc>
        <w:tc>
          <w:tcPr>
            <w:tcW w:w="1181"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45822DA7"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18"/>
                <w:szCs w:val="18"/>
                <w:lang w:eastAsia="sk-SK"/>
              </w:rPr>
            </w:pPr>
            <w:r w:rsidRPr="003C7F99">
              <w:rPr>
                <w:rFonts w:ascii="Times New Roman" w:eastAsia="Times New Roman" w:hAnsi="Times New Roman" w:cs="Times New Roman"/>
                <w:b/>
                <w:bCs/>
                <w:color w:val="000000"/>
                <w:sz w:val="18"/>
                <w:szCs w:val="18"/>
                <w:lang w:eastAsia="sk-SK"/>
              </w:rPr>
              <w:t>Lokalizácia</w:t>
            </w:r>
            <w:r w:rsidRPr="003C7F99">
              <w:rPr>
                <w:rFonts w:ascii="Times New Roman" w:eastAsia="Times New Roman" w:hAnsi="Times New Roman" w:cs="Times New Roman"/>
                <w:b/>
                <w:bCs/>
                <w:color w:val="000000"/>
                <w:sz w:val="18"/>
                <w:szCs w:val="18"/>
                <w:lang w:eastAsia="sk-SK"/>
              </w:rPr>
              <w:br/>
              <w:t>(§, ods., čl.,...)</w:t>
            </w:r>
          </w:p>
        </w:tc>
        <w:tc>
          <w:tcPr>
            <w:tcW w:w="142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E1E31A4"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18"/>
                <w:szCs w:val="18"/>
                <w:lang w:eastAsia="sk-SK"/>
              </w:rPr>
            </w:pPr>
            <w:r w:rsidRPr="003C7F99">
              <w:rPr>
                <w:rFonts w:ascii="Times New Roman" w:eastAsia="Times New Roman" w:hAnsi="Times New Roman" w:cs="Times New Roman"/>
                <w:b/>
                <w:bCs/>
                <w:color w:val="000000"/>
                <w:sz w:val="18"/>
                <w:szCs w:val="18"/>
                <w:lang w:eastAsia="sk-SK"/>
              </w:rPr>
              <w:t xml:space="preserve">Pôvod regulácie: </w:t>
            </w:r>
            <w:r w:rsidRPr="003C7F99">
              <w:rPr>
                <w:rFonts w:ascii="Times New Roman" w:eastAsia="Times New Roman" w:hAnsi="Times New Roman" w:cs="Times New Roman"/>
                <w:b/>
                <w:bCs/>
                <w:color w:val="000000"/>
                <w:sz w:val="18"/>
                <w:szCs w:val="18"/>
                <w:lang w:eastAsia="sk-SK"/>
              </w:rPr>
              <w:br/>
            </w:r>
            <w:r w:rsidRPr="003C7F99">
              <w:rPr>
                <w:rFonts w:ascii="Times New Roman" w:eastAsia="Times New Roman" w:hAnsi="Times New Roman" w:cs="Times New Roman"/>
                <w:color w:val="000000"/>
                <w:sz w:val="18"/>
                <w:szCs w:val="18"/>
                <w:lang w:eastAsia="sk-SK"/>
              </w:rPr>
              <w:t xml:space="preserve">SK/EÚ úplná </w:t>
            </w:r>
            <w:proofErr w:type="spellStart"/>
            <w:r w:rsidRPr="003C7F99">
              <w:rPr>
                <w:rFonts w:ascii="Times New Roman" w:eastAsia="Times New Roman" w:hAnsi="Times New Roman" w:cs="Times New Roman"/>
                <w:color w:val="000000"/>
                <w:sz w:val="18"/>
                <w:szCs w:val="18"/>
                <w:lang w:eastAsia="sk-SK"/>
              </w:rPr>
              <w:t>harm</w:t>
            </w:r>
            <w:proofErr w:type="spellEnd"/>
            <w:r w:rsidRPr="003C7F99">
              <w:rPr>
                <w:rFonts w:ascii="Times New Roman" w:eastAsia="Times New Roman" w:hAnsi="Times New Roman" w:cs="Times New Roman"/>
                <w:color w:val="000000"/>
                <w:sz w:val="18"/>
                <w:szCs w:val="18"/>
                <w:lang w:eastAsia="sk-SK"/>
              </w:rPr>
              <w:t>./</w:t>
            </w:r>
            <w:r w:rsidRPr="003C7F99">
              <w:rPr>
                <w:rFonts w:ascii="Times New Roman" w:eastAsia="Times New Roman" w:hAnsi="Times New Roman" w:cs="Times New Roman"/>
                <w:color w:val="000000"/>
                <w:sz w:val="18"/>
                <w:szCs w:val="18"/>
                <w:lang w:eastAsia="sk-SK"/>
              </w:rPr>
              <w:br/>
            </w:r>
            <w:proofErr w:type="spellStart"/>
            <w:r w:rsidRPr="003C7F99">
              <w:rPr>
                <w:rFonts w:ascii="Times New Roman" w:eastAsia="Times New Roman" w:hAnsi="Times New Roman" w:cs="Times New Roman"/>
                <w:color w:val="000000"/>
                <w:sz w:val="18"/>
                <w:szCs w:val="18"/>
                <w:lang w:eastAsia="sk-SK"/>
              </w:rPr>
              <w:t>goldplating</w:t>
            </w:r>
            <w:proofErr w:type="spellEnd"/>
          </w:p>
        </w:tc>
        <w:tc>
          <w:tcPr>
            <w:tcW w:w="93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7632F7A"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18"/>
                <w:szCs w:val="18"/>
                <w:lang w:eastAsia="sk-SK"/>
              </w:rPr>
            </w:pPr>
            <w:r w:rsidRPr="003C7F99">
              <w:rPr>
                <w:rFonts w:ascii="Times New Roman" w:eastAsia="Times New Roman" w:hAnsi="Times New Roman" w:cs="Times New Roman"/>
                <w:b/>
                <w:bCs/>
                <w:color w:val="000000"/>
                <w:sz w:val="18"/>
                <w:szCs w:val="18"/>
                <w:lang w:eastAsia="sk-SK"/>
              </w:rPr>
              <w:t>Účinnosť regulácie</w:t>
            </w:r>
          </w:p>
        </w:tc>
        <w:tc>
          <w:tcPr>
            <w:tcW w:w="185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3213F6D"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18"/>
                <w:szCs w:val="18"/>
                <w:lang w:eastAsia="sk-SK"/>
              </w:rPr>
            </w:pPr>
            <w:r w:rsidRPr="003C7F99">
              <w:rPr>
                <w:rFonts w:ascii="Times New Roman" w:eastAsia="Times New Roman" w:hAnsi="Times New Roman" w:cs="Times New Roman"/>
                <w:b/>
                <w:bCs/>
                <w:color w:val="000000"/>
                <w:sz w:val="18"/>
                <w:szCs w:val="18"/>
                <w:lang w:eastAsia="sk-SK"/>
              </w:rPr>
              <w:t xml:space="preserve">Kategória </w:t>
            </w:r>
            <w:proofErr w:type="spellStart"/>
            <w:r w:rsidRPr="003C7F99">
              <w:rPr>
                <w:rFonts w:ascii="Times New Roman" w:eastAsia="Times New Roman" w:hAnsi="Times New Roman" w:cs="Times New Roman"/>
                <w:b/>
                <w:bCs/>
                <w:color w:val="000000"/>
                <w:sz w:val="18"/>
                <w:szCs w:val="18"/>
                <w:lang w:eastAsia="sk-SK"/>
              </w:rPr>
              <w:t>dotk</w:t>
            </w:r>
            <w:proofErr w:type="spellEnd"/>
            <w:r w:rsidRPr="003C7F99">
              <w:rPr>
                <w:rFonts w:ascii="Times New Roman" w:eastAsia="Times New Roman" w:hAnsi="Times New Roman" w:cs="Times New Roman"/>
                <w:b/>
                <w:bCs/>
                <w:color w:val="000000"/>
                <w:sz w:val="18"/>
                <w:szCs w:val="18"/>
                <w:lang w:eastAsia="sk-SK"/>
              </w:rPr>
              <w:t>. subjektov</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D8B05D8"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18"/>
                <w:szCs w:val="18"/>
                <w:lang w:eastAsia="sk-SK"/>
              </w:rPr>
            </w:pPr>
            <w:r w:rsidRPr="003C7F99">
              <w:rPr>
                <w:rFonts w:ascii="Times New Roman" w:eastAsia="Times New Roman" w:hAnsi="Times New Roman" w:cs="Times New Roman"/>
                <w:b/>
                <w:bCs/>
                <w:color w:val="000000"/>
                <w:sz w:val="18"/>
                <w:szCs w:val="18"/>
                <w:lang w:eastAsia="sk-SK"/>
              </w:rPr>
              <w:t xml:space="preserve">Počet </w:t>
            </w:r>
            <w:proofErr w:type="spellStart"/>
            <w:r w:rsidRPr="003C7F99">
              <w:rPr>
                <w:rFonts w:ascii="Times New Roman" w:eastAsia="Times New Roman" w:hAnsi="Times New Roman" w:cs="Times New Roman"/>
                <w:b/>
                <w:bCs/>
                <w:color w:val="000000"/>
                <w:sz w:val="18"/>
                <w:szCs w:val="18"/>
                <w:lang w:eastAsia="sk-SK"/>
              </w:rPr>
              <w:t>dotk</w:t>
            </w:r>
            <w:proofErr w:type="spellEnd"/>
            <w:r w:rsidRPr="003C7F99">
              <w:rPr>
                <w:rFonts w:ascii="Times New Roman" w:eastAsia="Times New Roman" w:hAnsi="Times New Roman" w:cs="Times New Roman"/>
                <w:b/>
                <w:bCs/>
                <w:color w:val="000000"/>
                <w:sz w:val="18"/>
                <w:szCs w:val="18"/>
                <w:lang w:eastAsia="sk-SK"/>
              </w:rPr>
              <w:t xml:space="preserve">. subjektov spolu </w:t>
            </w:r>
          </w:p>
        </w:tc>
        <w:tc>
          <w:tcPr>
            <w:tcW w:w="77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96C3A16"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18"/>
                <w:szCs w:val="18"/>
                <w:lang w:eastAsia="sk-SK"/>
              </w:rPr>
            </w:pPr>
            <w:r w:rsidRPr="003C7F99">
              <w:rPr>
                <w:rFonts w:ascii="Times New Roman" w:eastAsia="Times New Roman" w:hAnsi="Times New Roman" w:cs="Times New Roman"/>
                <w:b/>
                <w:bCs/>
                <w:color w:val="000000"/>
                <w:sz w:val="18"/>
                <w:szCs w:val="18"/>
                <w:lang w:eastAsia="sk-SK"/>
              </w:rPr>
              <w:t>Vplyv na 1 podnik. v €</w:t>
            </w:r>
          </w:p>
        </w:tc>
        <w:tc>
          <w:tcPr>
            <w:tcW w:w="807"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7FD3955"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18"/>
                <w:szCs w:val="18"/>
                <w:lang w:eastAsia="sk-SK"/>
              </w:rPr>
            </w:pPr>
            <w:r w:rsidRPr="003C7F99">
              <w:rPr>
                <w:rFonts w:ascii="Times New Roman" w:eastAsia="Times New Roman" w:hAnsi="Times New Roman" w:cs="Times New Roman"/>
                <w:b/>
                <w:bCs/>
                <w:color w:val="000000"/>
                <w:sz w:val="18"/>
                <w:szCs w:val="18"/>
                <w:lang w:eastAsia="sk-SK"/>
              </w:rPr>
              <w:t xml:space="preserve">Vplyv na kategóriu </w:t>
            </w:r>
            <w:proofErr w:type="spellStart"/>
            <w:r w:rsidRPr="003C7F99">
              <w:rPr>
                <w:rFonts w:ascii="Times New Roman" w:eastAsia="Times New Roman" w:hAnsi="Times New Roman" w:cs="Times New Roman"/>
                <w:b/>
                <w:bCs/>
                <w:color w:val="000000"/>
                <w:sz w:val="18"/>
                <w:szCs w:val="18"/>
                <w:lang w:eastAsia="sk-SK"/>
              </w:rPr>
              <w:t>dotk</w:t>
            </w:r>
            <w:proofErr w:type="spellEnd"/>
            <w:r w:rsidRPr="003C7F99">
              <w:rPr>
                <w:rFonts w:ascii="Times New Roman" w:eastAsia="Times New Roman" w:hAnsi="Times New Roman" w:cs="Times New Roman"/>
                <w:b/>
                <w:bCs/>
                <w:color w:val="000000"/>
                <w:sz w:val="18"/>
                <w:szCs w:val="18"/>
                <w:lang w:eastAsia="sk-SK"/>
              </w:rPr>
              <w:t>. subjektov v €</w:t>
            </w:r>
          </w:p>
        </w:tc>
        <w:tc>
          <w:tcPr>
            <w:tcW w:w="91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88D3577"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18"/>
                <w:szCs w:val="18"/>
                <w:lang w:eastAsia="sk-SK"/>
              </w:rPr>
            </w:pPr>
            <w:r w:rsidRPr="003C7F99">
              <w:rPr>
                <w:rFonts w:ascii="Times New Roman" w:eastAsia="Times New Roman" w:hAnsi="Times New Roman" w:cs="Times New Roman"/>
                <w:b/>
                <w:bCs/>
                <w:color w:val="000000"/>
                <w:sz w:val="18"/>
                <w:szCs w:val="18"/>
                <w:lang w:eastAsia="sk-SK"/>
              </w:rPr>
              <w:t>Druh vplyvu</w:t>
            </w:r>
            <w:r w:rsidRPr="003C7F99">
              <w:rPr>
                <w:rFonts w:ascii="Times New Roman" w:eastAsia="Times New Roman" w:hAnsi="Times New Roman" w:cs="Times New Roman"/>
                <w:b/>
                <w:bCs/>
                <w:color w:val="000000"/>
                <w:sz w:val="18"/>
                <w:szCs w:val="18"/>
                <w:lang w:eastAsia="sk-SK"/>
              </w:rPr>
              <w:br/>
            </w:r>
            <w:r w:rsidRPr="003C7F99">
              <w:rPr>
                <w:rFonts w:ascii="Times New Roman" w:eastAsia="Times New Roman" w:hAnsi="Times New Roman" w:cs="Times New Roman"/>
                <w:color w:val="000000"/>
                <w:sz w:val="18"/>
                <w:szCs w:val="18"/>
                <w:lang w:eastAsia="sk-SK"/>
              </w:rPr>
              <w:t xml:space="preserve">In (zvyšuje náklady) / </w:t>
            </w:r>
            <w:r w:rsidRPr="003C7F99">
              <w:rPr>
                <w:rFonts w:ascii="Times New Roman" w:eastAsia="Times New Roman" w:hAnsi="Times New Roman" w:cs="Times New Roman"/>
                <w:color w:val="000000"/>
                <w:sz w:val="18"/>
                <w:szCs w:val="18"/>
                <w:lang w:eastAsia="sk-SK"/>
              </w:rPr>
              <w:br/>
            </w:r>
            <w:proofErr w:type="spellStart"/>
            <w:r w:rsidRPr="003C7F99">
              <w:rPr>
                <w:rFonts w:ascii="Times New Roman" w:eastAsia="Times New Roman" w:hAnsi="Times New Roman" w:cs="Times New Roman"/>
                <w:color w:val="000000"/>
                <w:sz w:val="18"/>
                <w:szCs w:val="18"/>
                <w:lang w:eastAsia="sk-SK"/>
              </w:rPr>
              <w:t>Out</w:t>
            </w:r>
            <w:proofErr w:type="spellEnd"/>
            <w:r w:rsidRPr="003C7F99">
              <w:rPr>
                <w:rFonts w:ascii="Times New Roman" w:eastAsia="Times New Roman" w:hAnsi="Times New Roman" w:cs="Times New Roman"/>
                <w:color w:val="000000"/>
                <w:sz w:val="18"/>
                <w:szCs w:val="18"/>
                <w:lang w:eastAsia="sk-SK"/>
              </w:rPr>
              <w:t xml:space="preserve"> (znižuje náklady) / Nemení sa</w:t>
            </w:r>
          </w:p>
        </w:tc>
        <w:tc>
          <w:tcPr>
            <w:tcW w:w="8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48E9EE"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18"/>
                <w:szCs w:val="18"/>
                <w:lang w:eastAsia="sk-SK"/>
              </w:rPr>
            </w:pPr>
            <w:r w:rsidRPr="003C7F99">
              <w:rPr>
                <w:rFonts w:ascii="Times New Roman" w:eastAsia="Times New Roman" w:hAnsi="Times New Roman" w:cs="Times New Roman"/>
                <w:b/>
                <w:bCs/>
                <w:color w:val="000000"/>
                <w:sz w:val="18"/>
                <w:szCs w:val="18"/>
                <w:lang w:eastAsia="sk-SK"/>
              </w:rPr>
              <w:t xml:space="preserve">1in2out </w:t>
            </w:r>
            <w:r w:rsidRPr="003C7F99">
              <w:rPr>
                <w:rFonts w:ascii="Times New Roman" w:eastAsia="Times New Roman" w:hAnsi="Times New Roman" w:cs="Times New Roman"/>
                <w:b/>
                <w:bCs/>
                <w:color w:val="000000"/>
                <w:sz w:val="18"/>
                <w:szCs w:val="18"/>
                <w:lang w:eastAsia="sk-SK"/>
              </w:rPr>
              <w:br/>
              <w:t>celkom</w:t>
            </w:r>
          </w:p>
        </w:tc>
        <w:tc>
          <w:tcPr>
            <w:tcW w:w="11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42FED1" w14:textId="77777777" w:rsidR="003C7F99" w:rsidRPr="003C7F99" w:rsidRDefault="003C7F99" w:rsidP="003C7F99">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3C7F99">
              <w:rPr>
                <w:rFonts w:ascii="Times New Roman" w:eastAsia="Times New Roman" w:hAnsi="Times New Roman" w:cs="Times New Roman"/>
                <w:b/>
                <w:bCs/>
                <w:color w:val="000000"/>
                <w:sz w:val="18"/>
                <w:szCs w:val="18"/>
                <w:lang w:eastAsia="sk-SK"/>
              </w:rPr>
              <w:t>Goldplating</w:t>
            </w:r>
            <w:proofErr w:type="spellEnd"/>
            <w:r w:rsidRPr="003C7F99">
              <w:rPr>
                <w:rFonts w:ascii="Times New Roman" w:eastAsia="Times New Roman" w:hAnsi="Times New Roman" w:cs="Times New Roman"/>
                <w:b/>
                <w:bCs/>
                <w:color w:val="000000"/>
                <w:sz w:val="18"/>
                <w:szCs w:val="18"/>
                <w:lang w:eastAsia="sk-SK"/>
              </w:rPr>
              <w:t xml:space="preserve"> celkom</w:t>
            </w:r>
          </w:p>
        </w:tc>
      </w:tr>
      <w:tr w:rsidR="003C7F99" w:rsidRPr="003C7F99" w14:paraId="23DC821B" w14:textId="77777777" w:rsidTr="00BC7BA0">
        <w:trPr>
          <w:trHeight w:val="450"/>
        </w:trPr>
        <w:tc>
          <w:tcPr>
            <w:tcW w:w="482" w:type="dxa"/>
            <w:vMerge/>
            <w:tcBorders>
              <w:top w:val="single" w:sz="4" w:space="0" w:color="auto"/>
              <w:left w:val="single" w:sz="4" w:space="0" w:color="auto"/>
              <w:bottom w:val="single" w:sz="4" w:space="0" w:color="auto"/>
              <w:right w:val="single" w:sz="4" w:space="0" w:color="auto"/>
            </w:tcBorders>
            <w:vAlign w:val="center"/>
            <w:hideMark/>
          </w:tcPr>
          <w:p w14:paraId="078C4B54"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833" w:type="dxa"/>
            <w:vMerge/>
            <w:tcBorders>
              <w:top w:val="single" w:sz="4" w:space="0" w:color="auto"/>
              <w:left w:val="single" w:sz="4" w:space="0" w:color="auto"/>
              <w:bottom w:val="single" w:sz="4" w:space="0" w:color="auto"/>
              <w:right w:val="single" w:sz="4" w:space="0" w:color="auto"/>
            </w:tcBorders>
            <w:vAlign w:val="center"/>
            <w:hideMark/>
          </w:tcPr>
          <w:p w14:paraId="2C328F23"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935" w:type="dxa"/>
            <w:vMerge/>
            <w:tcBorders>
              <w:top w:val="single" w:sz="4" w:space="0" w:color="auto"/>
              <w:left w:val="single" w:sz="4" w:space="0" w:color="auto"/>
              <w:bottom w:val="single" w:sz="4" w:space="0" w:color="000000"/>
              <w:right w:val="single" w:sz="4" w:space="0" w:color="auto"/>
            </w:tcBorders>
            <w:vAlign w:val="center"/>
            <w:hideMark/>
          </w:tcPr>
          <w:p w14:paraId="2AA9FF58"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181" w:type="dxa"/>
            <w:vMerge/>
            <w:tcBorders>
              <w:top w:val="single" w:sz="4" w:space="0" w:color="auto"/>
              <w:left w:val="single" w:sz="4" w:space="0" w:color="auto"/>
              <w:bottom w:val="single" w:sz="4" w:space="0" w:color="000000"/>
              <w:right w:val="single" w:sz="4" w:space="0" w:color="auto"/>
            </w:tcBorders>
            <w:vAlign w:val="center"/>
            <w:hideMark/>
          </w:tcPr>
          <w:p w14:paraId="56B58D56"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425" w:type="dxa"/>
            <w:vMerge/>
            <w:tcBorders>
              <w:top w:val="single" w:sz="4" w:space="0" w:color="auto"/>
              <w:left w:val="single" w:sz="4" w:space="0" w:color="auto"/>
              <w:bottom w:val="single" w:sz="4" w:space="0" w:color="auto"/>
              <w:right w:val="single" w:sz="4" w:space="0" w:color="auto"/>
            </w:tcBorders>
            <w:vAlign w:val="center"/>
            <w:hideMark/>
          </w:tcPr>
          <w:p w14:paraId="0DFC0931"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18F95453"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852" w:type="dxa"/>
            <w:vMerge/>
            <w:tcBorders>
              <w:top w:val="single" w:sz="4" w:space="0" w:color="auto"/>
              <w:left w:val="single" w:sz="4" w:space="0" w:color="auto"/>
              <w:bottom w:val="single" w:sz="4" w:space="0" w:color="auto"/>
              <w:right w:val="single" w:sz="4" w:space="0" w:color="auto"/>
            </w:tcBorders>
            <w:vAlign w:val="center"/>
            <w:hideMark/>
          </w:tcPr>
          <w:p w14:paraId="3024BE7C"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CAC55B8"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14:paraId="4A612FF0"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807" w:type="dxa"/>
            <w:vMerge/>
            <w:tcBorders>
              <w:top w:val="single" w:sz="4" w:space="0" w:color="auto"/>
              <w:left w:val="single" w:sz="4" w:space="0" w:color="auto"/>
              <w:bottom w:val="single" w:sz="4" w:space="0" w:color="auto"/>
              <w:right w:val="single" w:sz="4" w:space="0" w:color="auto"/>
            </w:tcBorders>
            <w:vAlign w:val="center"/>
            <w:hideMark/>
          </w:tcPr>
          <w:p w14:paraId="0D78D798"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14:paraId="6FF387AE"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14:paraId="6CA91784"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175" w:type="dxa"/>
            <w:vMerge/>
            <w:tcBorders>
              <w:top w:val="single" w:sz="4" w:space="0" w:color="auto"/>
              <w:left w:val="single" w:sz="4" w:space="0" w:color="auto"/>
              <w:bottom w:val="single" w:sz="4" w:space="0" w:color="auto"/>
              <w:right w:val="single" w:sz="4" w:space="0" w:color="auto"/>
            </w:tcBorders>
            <w:vAlign w:val="center"/>
            <w:hideMark/>
          </w:tcPr>
          <w:p w14:paraId="2DF82627"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r>
      <w:tr w:rsidR="003C7F99" w:rsidRPr="003C7F99" w14:paraId="6DE7D137" w14:textId="77777777" w:rsidTr="00BC7BA0">
        <w:trPr>
          <w:trHeight w:val="450"/>
        </w:trPr>
        <w:tc>
          <w:tcPr>
            <w:tcW w:w="482" w:type="dxa"/>
            <w:vMerge/>
            <w:tcBorders>
              <w:top w:val="single" w:sz="4" w:space="0" w:color="auto"/>
              <w:left w:val="single" w:sz="4" w:space="0" w:color="auto"/>
              <w:bottom w:val="single" w:sz="4" w:space="0" w:color="auto"/>
              <w:right w:val="single" w:sz="4" w:space="0" w:color="auto"/>
            </w:tcBorders>
            <w:vAlign w:val="center"/>
            <w:hideMark/>
          </w:tcPr>
          <w:p w14:paraId="5D781AC7"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833" w:type="dxa"/>
            <w:vMerge/>
            <w:tcBorders>
              <w:top w:val="single" w:sz="4" w:space="0" w:color="auto"/>
              <w:left w:val="single" w:sz="4" w:space="0" w:color="auto"/>
              <w:bottom w:val="single" w:sz="4" w:space="0" w:color="auto"/>
              <w:right w:val="single" w:sz="4" w:space="0" w:color="auto"/>
            </w:tcBorders>
            <w:vAlign w:val="center"/>
            <w:hideMark/>
          </w:tcPr>
          <w:p w14:paraId="63A81D61"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935" w:type="dxa"/>
            <w:vMerge/>
            <w:tcBorders>
              <w:top w:val="single" w:sz="4" w:space="0" w:color="auto"/>
              <w:left w:val="single" w:sz="4" w:space="0" w:color="auto"/>
              <w:bottom w:val="single" w:sz="4" w:space="0" w:color="000000"/>
              <w:right w:val="single" w:sz="4" w:space="0" w:color="auto"/>
            </w:tcBorders>
            <w:vAlign w:val="center"/>
            <w:hideMark/>
          </w:tcPr>
          <w:p w14:paraId="437C1151"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181" w:type="dxa"/>
            <w:vMerge/>
            <w:tcBorders>
              <w:top w:val="single" w:sz="4" w:space="0" w:color="auto"/>
              <w:left w:val="single" w:sz="4" w:space="0" w:color="auto"/>
              <w:bottom w:val="single" w:sz="4" w:space="0" w:color="000000"/>
              <w:right w:val="single" w:sz="4" w:space="0" w:color="auto"/>
            </w:tcBorders>
            <w:vAlign w:val="center"/>
            <w:hideMark/>
          </w:tcPr>
          <w:p w14:paraId="09B12CAB"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425" w:type="dxa"/>
            <w:vMerge/>
            <w:tcBorders>
              <w:top w:val="single" w:sz="4" w:space="0" w:color="auto"/>
              <w:left w:val="single" w:sz="4" w:space="0" w:color="auto"/>
              <w:bottom w:val="single" w:sz="4" w:space="0" w:color="auto"/>
              <w:right w:val="single" w:sz="4" w:space="0" w:color="auto"/>
            </w:tcBorders>
            <w:vAlign w:val="center"/>
            <w:hideMark/>
          </w:tcPr>
          <w:p w14:paraId="6D0B403C"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63AC2CC4"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852" w:type="dxa"/>
            <w:vMerge/>
            <w:tcBorders>
              <w:top w:val="single" w:sz="4" w:space="0" w:color="auto"/>
              <w:left w:val="single" w:sz="4" w:space="0" w:color="auto"/>
              <w:bottom w:val="single" w:sz="4" w:space="0" w:color="auto"/>
              <w:right w:val="single" w:sz="4" w:space="0" w:color="auto"/>
            </w:tcBorders>
            <w:vAlign w:val="center"/>
            <w:hideMark/>
          </w:tcPr>
          <w:p w14:paraId="5F3E357D"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096F7E4"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14:paraId="6AB0CCDA"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807" w:type="dxa"/>
            <w:vMerge/>
            <w:tcBorders>
              <w:top w:val="single" w:sz="4" w:space="0" w:color="auto"/>
              <w:left w:val="single" w:sz="4" w:space="0" w:color="auto"/>
              <w:bottom w:val="single" w:sz="4" w:space="0" w:color="auto"/>
              <w:right w:val="single" w:sz="4" w:space="0" w:color="auto"/>
            </w:tcBorders>
            <w:vAlign w:val="center"/>
            <w:hideMark/>
          </w:tcPr>
          <w:p w14:paraId="1BAFBE1C"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14:paraId="401CF5C3"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14:paraId="320D1F85"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175" w:type="dxa"/>
            <w:vMerge/>
            <w:tcBorders>
              <w:top w:val="single" w:sz="4" w:space="0" w:color="auto"/>
              <w:left w:val="single" w:sz="4" w:space="0" w:color="auto"/>
              <w:bottom w:val="single" w:sz="4" w:space="0" w:color="auto"/>
              <w:right w:val="single" w:sz="4" w:space="0" w:color="auto"/>
            </w:tcBorders>
            <w:vAlign w:val="center"/>
            <w:hideMark/>
          </w:tcPr>
          <w:p w14:paraId="3C7EF773"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r>
      <w:tr w:rsidR="003C7F99" w:rsidRPr="003C7F99" w14:paraId="75BD3072" w14:textId="77777777" w:rsidTr="00BC7BA0">
        <w:trPr>
          <w:trHeight w:val="450"/>
        </w:trPr>
        <w:tc>
          <w:tcPr>
            <w:tcW w:w="482" w:type="dxa"/>
            <w:vMerge/>
            <w:tcBorders>
              <w:top w:val="single" w:sz="4" w:space="0" w:color="auto"/>
              <w:left w:val="single" w:sz="4" w:space="0" w:color="auto"/>
              <w:bottom w:val="single" w:sz="4" w:space="0" w:color="auto"/>
              <w:right w:val="single" w:sz="4" w:space="0" w:color="auto"/>
            </w:tcBorders>
            <w:vAlign w:val="center"/>
            <w:hideMark/>
          </w:tcPr>
          <w:p w14:paraId="71520E08"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833" w:type="dxa"/>
            <w:vMerge/>
            <w:tcBorders>
              <w:top w:val="single" w:sz="4" w:space="0" w:color="auto"/>
              <w:left w:val="single" w:sz="4" w:space="0" w:color="auto"/>
              <w:bottom w:val="single" w:sz="4" w:space="0" w:color="auto"/>
              <w:right w:val="single" w:sz="4" w:space="0" w:color="auto"/>
            </w:tcBorders>
            <w:vAlign w:val="center"/>
            <w:hideMark/>
          </w:tcPr>
          <w:p w14:paraId="73F14E33"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935" w:type="dxa"/>
            <w:vMerge/>
            <w:tcBorders>
              <w:top w:val="single" w:sz="4" w:space="0" w:color="auto"/>
              <w:left w:val="single" w:sz="4" w:space="0" w:color="auto"/>
              <w:bottom w:val="single" w:sz="4" w:space="0" w:color="000000"/>
              <w:right w:val="single" w:sz="4" w:space="0" w:color="auto"/>
            </w:tcBorders>
            <w:vAlign w:val="center"/>
            <w:hideMark/>
          </w:tcPr>
          <w:p w14:paraId="0B520021"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181" w:type="dxa"/>
            <w:vMerge/>
            <w:tcBorders>
              <w:top w:val="single" w:sz="4" w:space="0" w:color="auto"/>
              <w:left w:val="single" w:sz="4" w:space="0" w:color="auto"/>
              <w:bottom w:val="single" w:sz="4" w:space="0" w:color="000000"/>
              <w:right w:val="single" w:sz="4" w:space="0" w:color="auto"/>
            </w:tcBorders>
            <w:vAlign w:val="center"/>
            <w:hideMark/>
          </w:tcPr>
          <w:p w14:paraId="63DBA05E"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425" w:type="dxa"/>
            <w:vMerge/>
            <w:tcBorders>
              <w:top w:val="single" w:sz="4" w:space="0" w:color="auto"/>
              <w:left w:val="single" w:sz="4" w:space="0" w:color="auto"/>
              <w:bottom w:val="single" w:sz="4" w:space="0" w:color="auto"/>
              <w:right w:val="single" w:sz="4" w:space="0" w:color="auto"/>
            </w:tcBorders>
            <w:vAlign w:val="center"/>
            <w:hideMark/>
          </w:tcPr>
          <w:p w14:paraId="7BA420B1"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628731BE"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852" w:type="dxa"/>
            <w:vMerge/>
            <w:tcBorders>
              <w:top w:val="single" w:sz="4" w:space="0" w:color="auto"/>
              <w:left w:val="single" w:sz="4" w:space="0" w:color="auto"/>
              <w:bottom w:val="single" w:sz="4" w:space="0" w:color="auto"/>
              <w:right w:val="single" w:sz="4" w:space="0" w:color="auto"/>
            </w:tcBorders>
            <w:vAlign w:val="center"/>
            <w:hideMark/>
          </w:tcPr>
          <w:p w14:paraId="778C2135"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5E2F0A1"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14:paraId="7E362C6C"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807" w:type="dxa"/>
            <w:vMerge/>
            <w:tcBorders>
              <w:top w:val="single" w:sz="4" w:space="0" w:color="auto"/>
              <w:left w:val="single" w:sz="4" w:space="0" w:color="auto"/>
              <w:bottom w:val="single" w:sz="4" w:space="0" w:color="auto"/>
              <w:right w:val="single" w:sz="4" w:space="0" w:color="auto"/>
            </w:tcBorders>
            <w:vAlign w:val="center"/>
            <w:hideMark/>
          </w:tcPr>
          <w:p w14:paraId="7F532690"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14:paraId="33FB61EB"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14:paraId="4DE834BC"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175" w:type="dxa"/>
            <w:vMerge/>
            <w:tcBorders>
              <w:top w:val="single" w:sz="4" w:space="0" w:color="auto"/>
              <w:left w:val="single" w:sz="4" w:space="0" w:color="auto"/>
              <w:bottom w:val="single" w:sz="4" w:space="0" w:color="auto"/>
              <w:right w:val="single" w:sz="4" w:space="0" w:color="auto"/>
            </w:tcBorders>
            <w:vAlign w:val="center"/>
            <w:hideMark/>
          </w:tcPr>
          <w:p w14:paraId="603BEB42"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r>
      <w:tr w:rsidR="003C7F99" w:rsidRPr="003C7F99" w14:paraId="1C5235F2" w14:textId="77777777" w:rsidTr="00BC7BA0">
        <w:trPr>
          <w:trHeight w:val="450"/>
        </w:trPr>
        <w:tc>
          <w:tcPr>
            <w:tcW w:w="482" w:type="dxa"/>
            <w:vMerge/>
            <w:tcBorders>
              <w:top w:val="single" w:sz="4" w:space="0" w:color="auto"/>
              <w:left w:val="single" w:sz="4" w:space="0" w:color="auto"/>
              <w:bottom w:val="single" w:sz="4" w:space="0" w:color="auto"/>
              <w:right w:val="single" w:sz="4" w:space="0" w:color="auto"/>
            </w:tcBorders>
            <w:vAlign w:val="center"/>
            <w:hideMark/>
          </w:tcPr>
          <w:p w14:paraId="75F86DB6"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833" w:type="dxa"/>
            <w:vMerge/>
            <w:tcBorders>
              <w:top w:val="single" w:sz="4" w:space="0" w:color="auto"/>
              <w:left w:val="single" w:sz="4" w:space="0" w:color="auto"/>
              <w:bottom w:val="single" w:sz="4" w:space="0" w:color="auto"/>
              <w:right w:val="single" w:sz="4" w:space="0" w:color="auto"/>
            </w:tcBorders>
            <w:vAlign w:val="center"/>
            <w:hideMark/>
          </w:tcPr>
          <w:p w14:paraId="5695D953"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935" w:type="dxa"/>
            <w:vMerge/>
            <w:tcBorders>
              <w:top w:val="single" w:sz="4" w:space="0" w:color="auto"/>
              <w:left w:val="single" w:sz="4" w:space="0" w:color="auto"/>
              <w:bottom w:val="single" w:sz="4" w:space="0" w:color="000000"/>
              <w:right w:val="single" w:sz="4" w:space="0" w:color="auto"/>
            </w:tcBorders>
            <w:vAlign w:val="center"/>
            <w:hideMark/>
          </w:tcPr>
          <w:p w14:paraId="4DBF28E2"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181" w:type="dxa"/>
            <w:vMerge/>
            <w:tcBorders>
              <w:top w:val="single" w:sz="4" w:space="0" w:color="auto"/>
              <w:left w:val="single" w:sz="4" w:space="0" w:color="auto"/>
              <w:bottom w:val="single" w:sz="4" w:space="0" w:color="000000"/>
              <w:right w:val="single" w:sz="4" w:space="0" w:color="auto"/>
            </w:tcBorders>
            <w:vAlign w:val="center"/>
            <w:hideMark/>
          </w:tcPr>
          <w:p w14:paraId="399036E0"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425" w:type="dxa"/>
            <w:vMerge/>
            <w:tcBorders>
              <w:top w:val="single" w:sz="4" w:space="0" w:color="auto"/>
              <w:left w:val="single" w:sz="4" w:space="0" w:color="auto"/>
              <w:bottom w:val="single" w:sz="4" w:space="0" w:color="auto"/>
              <w:right w:val="single" w:sz="4" w:space="0" w:color="auto"/>
            </w:tcBorders>
            <w:vAlign w:val="center"/>
            <w:hideMark/>
          </w:tcPr>
          <w:p w14:paraId="6C9601DE"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51D2A153"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852" w:type="dxa"/>
            <w:vMerge/>
            <w:tcBorders>
              <w:top w:val="single" w:sz="4" w:space="0" w:color="auto"/>
              <w:left w:val="single" w:sz="4" w:space="0" w:color="auto"/>
              <w:bottom w:val="single" w:sz="4" w:space="0" w:color="auto"/>
              <w:right w:val="single" w:sz="4" w:space="0" w:color="auto"/>
            </w:tcBorders>
            <w:vAlign w:val="center"/>
            <w:hideMark/>
          </w:tcPr>
          <w:p w14:paraId="1883DAC6"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56CADCE"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14:paraId="05548371"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807" w:type="dxa"/>
            <w:vMerge/>
            <w:tcBorders>
              <w:top w:val="single" w:sz="4" w:space="0" w:color="auto"/>
              <w:left w:val="single" w:sz="4" w:space="0" w:color="auto"/>
              <w:bottom w:val="single" w:sz="4" w:space="0" w:color="auto"/>
              <w:right w:val="single" w:sz="4" w:space="0" w:color="auto"/>
            </w:tcBorders>
            <w:vAlign w:val="center"/>
            <w:hideMark/>
          </w:tcPr>
          <w:p w14:paraId="16434418"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14:paraId="2D980F7B"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14:paraId="3D96B574"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175" w:type="dxa"/>
            <w:vMerge/>
            <w:tcBorders>
              <w:top w:val="single" w:sz="4" w:space="0" w:color="auto"/>
              <w:left w:val="single" w:sz="4" w:space="0" w:color="auto"/>
              <w:bottom w:val="single" w:sz="4" w:space="0" w:color="auto"/>
              <w:right w:val="single" w:sz="4" w:space="0" w:color="auto"/>
            </w:tcBorders>
            <w:vAlign w:val="center"/>
            <w:hideMark/>
          </w:tcPr>
          <w:p w14:paraId="59BBFFD3"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r>
      <w:tr w:rsidR="003C7F99" w:rsidRPr="003C7F99" w14:paraId="45DA0C01" w14:textId="77777777" w:rsidTr="00BC7BA0">
        <w:trPr>
          <w:trHeight w:val="450"/>
        </w:trPr>
        <w:tc>
          <w:tcPr>
            <w:tcW w:w="482" w:type="dxa"/>
            <w:vMerge/>
            <w:tcBorders>
              <w:top w:val="single" w:sz="4" w:space="0" w:color="auto"/>
              <w:left w:val="single" w:sz="4" w:space="0" w:color="auto"/>
              <w:bottom w:val="single" w:sz="4" w:space="0" w:color="auto"/>
              <w:right w:val="single" w:sz="4" w:space="0" w:color="auto"/>
            </w:tcBorders>
            <w:vAlign w:val="center"/>
            <w:hideMark/>
          </w:tcPr>
          <w:p w14:paraId="18EC34CC"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833" w:type="dxa"/>
            <w:vMerge/>
            <w:tcBorders>
              <w:top w:val="single" w:sz="4" w:space="0" w:color="auto"/>
              <w:left w:val="single" w:sz="4" w:space="0" w:color="auto"/>
              <w:bottom w:val="single" w:sz="4" w:space="0" w:color="auto"/>
              <w:right w:val="single" w:sz="4" w:space="0" w:color="auto"/>
            </w:tcBorders>
            <w:vAlign w:val="center"/>
            <w:hideMark/>
          </w:tcPr>
          <w:p w14:paraId="38B22C35"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935" w:type="dxa"/>
            <w:vMerge/>
            <w:tcBorders>
              <w:top w:val="single" w:sz="4" w:space="0" w:color="auto"/>
              <w:left w:val="single" w:sz="4" w:space="0" w:color="auto"/>
              <w:bottom w:val="single" w:sz="4" w:space="0" w:color="000000"/>
              <w:right w:val="single" w:sz="4" w:space="0" w:color="auto"/>
            </w:tcBorders>
            <w:vAlign w:val="center"/>
            <w:hideMark/>
          </w:tcPr>
          <w:p w14:paraId="2656CCA4"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181" w:type="dxa"/>
            <w:vMerge/>
            <w:tcBorders>
              <w:top w:val="single" w:sz="4" w:space="0" w:color="auto"/>
              <w:left w:val="single" w:sz="4" w:space="0" w:color="auto"/>
              <w:bottom w:val="single" w:sz="4" w:space="0" w:color="000000"/>
              <w:right w:val="single" w:sz="4" w:space="0" w:color="auto"/>
            </w:tcBorders>
            <w:vAlign w:val="center"/>
            <w:hideMark/>
          </w:tcPr>
          <w:p w14:paraId="6AF56BD1"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425" w:type="dxa"/>
            <w:vMerge/>
            <w:tcBorders>
              <w:top w:val="single" w:sz="4" w:space="0" w:color="auto"/>
              <w:left w:val="single" w:sz="4" w:space="0" w:color="auto"/>
              <w:bottom w:val="single" w:sz="4" w:space="0" w:color="auto"/>
              <w:right w:val="single" w:sz="4" w:space="0" w:color="auto"/>
            </w:tcBorders>
            <w:vAlign w:val="center"/>
            <w:hideMark/>
          </w:tcPr>
          <w:p w14:paraId="643632A0"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0E410E27"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852" w:type="dxa"/>
            <w:vMerge/>
            <w:tcBorders>
              <w:top w:val="single" w:sz="4" w:space="0" w:color="auto"/>
              <w:left w:val="single" w:sz="4" w:space="0" w:color="auto"/>
              <w:bottom w:val="single" w:sz="4" w:space="0" w:color="auto"/>
              <w:right w:val="single" w:sz="4" w:space="0" w:color="auto"/>
            </w:tcBorders>
            <w:vAlign w:val="center"/>
            <w:hideMark/>
          </w:tcPr>
          <w:p w14:paraId="70C8A277"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C0DA730"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773" w:type="dxa"/>
            <w:vMerge/>
            <w:tcBorders>
              <w:top w:val="single" w:sz="4" w:space="0" w:color="auto"/>
              <w:left w:val="single" w:sz="4" w:space="0" w:color="auto"/>
              <w:bottom w:val="single" w:sz="4" w:space="0" w:color="auto"/>
              <w:right w:val="single" w:sz="4" w:space="0" w:color="auto"/>
            </w:tcBorders>
            <w:vAlign w:val="center"/>
            <w:hideMark/>
          </w:tcPr>
          <w:p w14:paraId="12D3D54D"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807" w:type="dxa"/>
            <w:vMerge/>
            <w:tcBorders>
              <w:top w:val="single" w:sz="4" w:space="0" w:color="auto"/>
              <w:left w:val="single" w:sz="4" w:space="0" w:color="auto"/>
              <w:bottom w:val="single" w:sz="4" w:space="0" w:color="auto"/>
              <w:right w:val="single" w:sz="4" w:space="0" w:color="auto"/>
            </w:tcBorders>
            <w:vAlign w:val="center"/>
            <w:hideMark/>
          </w:tcPr>
          <w:p w14:paraId="63AA9DEC"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14:paraId="2379545B"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14:paraId="00A5F6F0"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c>
          <w:tcPr>
            <w:tcW w:w="1175" w:type="dxa"/>
            <w:vMerge/>
            <w:tcBorders>
              <w:top w:val="single" w:sz="4" w:space="0" w:color="auto"/>
              <w:left w:val="single" w:sz="4" w:space="0" w:color="auto"/>
              <w:bottom w:val="single" w:sz="4" w:space="0" w:color="auto"/>
              <w:right w:val="single" w:sz="4" w:space="0" w:color="auto"/>
            </w:tcBorders>
            <w:vAlign w:val="center"/>
            <w:hideMark/>
          </w:tcPr>
          <w:p w14:paraId="79FEFA6C" w14:textId="77777777" w:rsidR="003C7F99" w:rsidRPr="003C7F99" w:rsidRDefault="003C7F99" w:rsidP="003C7F99">
            <w:pPr>
              <w:spacing w:after="0" w:line="240" w:lineRule="auto"/>
              <w:rPr>
                <w:rFonts w:ascii="Times New Roman" w:eastAsia="Times New Roman" w:hAnsi="Times New Roman" w:cs="Times New Roman"/>
                <w:b/>
                <w:bCs/>
                <w:color w:val="000000"/>
                <w:sz w:val="18"/>
                <w:szCs w:val="18"/>
                <w:lang w:eastAsia="sk-SK"/>
              </w:rPr>
            </w:pPr>
          </w:p>
        </w:tc>
      </w:tr>
      <w:tr w:rsidR="003C7F99" w:rsidRPr="003C7F99" w14:paraId="7693833F" w14:textId="77777777" w:rsidTr="00BC7BA0">
        <w:trPr>
          <w:trHeight w:val="57"/>
        </w:trPr>
        <w:tc>
          <w:tcPr>
            <w:tcW w:w="482" w:type="dxa"/>
            <w:tcBorders>
              <w:top w:val="nil"/>
              <w:left w:val="single" w:sz="4" w:space="0" w:color="auto"/>
              <w:bottom w:val="single" w:sz="4" w:space="0" w:color="auto"/>
              <w:right w:val="single" w:sz="4" w:space="0" w:color="auto"/>
            </w:tcBorders>
            <w:shd w:val="clear" w:color="auto" w:fill="auto"/>
            <w:vAlign w:val="center"/>
            <w:hideMark/>
          </w:tcPr>
          <w:p w14:paraId="590B50AA"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1</w:t>
            </w:r>
          </w:p>
        </w:tc>
        <w:tc>
          <w:tcPr>
            <w:tcW w:w="1833" w:type="dxa"/>
            <w:tcBorders>
              <w:top w:val="nil"/>
              <w:left w:val="nil"/>
              <w:bottom w:val="single" w:sz="4" w:space="0" w:color="auto"/>
              <w:right w:val="single" w:sz="4" w:space="0" w:color="auto"/>
            </w:tcBorders>
            <w:shd w:val="clear" w:color="auto" w:fill="auto"/>
            <w:vAlign w:val="center"/>
            <w:hideMark/>
          </w:tcPr>
          <w:p w14:paraId="22225C7B"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Zmena (zvýšenie) úhrad za službu STN-online o 20 %.</w:t>
            </w:r>
          </w:p>
        </w:tc>
        <w:tc>
          <w:tcPr>
            <w:tcW w:w="935" w:type="dxa"/>
            <w:tcBorders>
              <w:top w:val="nil"/>
              <w:left w:val="nil"/>
              <w:bottom w:val="single" w:sz="4" w:space="0" w:color="auto"/>
              <w:right w:val="single" w:sz="4" w:space="0" w:color="auto"/>
            </w:tcBorders>
            <w:shd w:val="clear" w:color="auto" w:fill="auto"/>
            <w:vAlign w:val="center"/>
            <w:hideMark/>
          </w:tcPr>
          <w:p w14:paraId="1B42A28B"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vyhláška č. 76/2019 Z. z.</w:t>
            </w:r>
          </w:p>
        </w:tc>
        <w:tc>
          <w:tcPr>
            <w:tcW w:w="1181" w:type="dxa"/>
            <w:tcBorders>
              <w:top w:val="nil"/>
              <w:left w:val="nil"/>
              <w:bottom w:val="single" w:sz="4" w:space="0" w:color="auto"/>
              <w:right w:val="single" w:sz="4" w:space="0" w:color="auto"/>
            </w:tcBorders>
            <w:shd w:val="clear" w:color="auto" w:fill="auto"/>
            <w:vAlign w:val="center"/>
            <w:hideMark/>
          </w:tcPr>
          <w:p w14:paraId="66626963"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Čl. I návrhu (Príloha č. 1, časti I. A, C)</w:t>
            </w:r>
          </w:p>
        </w:tc>
        <w:tc>
          <w:tcPr>
            <w:tcW w:w="1425" w:type="dxa"/>
            <w:tcBorders>
              <w:top w:val="nil"/>
              <w:left w:val="nil"/>
              <w:bottom w:val="single" w:sz="4" w:space="0" w:color="auto"/>
              <w:right w:val="single" w:sz="4" w:space="0" w:color="auto"/>
            </w:tcBorders>
            <w:shd w:val="clear" w:color="auto" w:fill="auto"/>
            <w:vAlign w:val="center"/>
            <w:hideMark/>
          </w:tcPr>
          <w:p w14:paraId="6871F253"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1.SK</w:t>
            </w:r>
          </w:p>
        </w:tc>
        <w:tc>
          <w:tcPr>
            <w:tcW w:w="934" w:type="dxa"/>
            <w:tcBorders>
              <w:top w:val="nil"/>
              <w:left w:val="nil"/>
              <w:bottom w:val="single" w:sz="4" w:space="0" w:color="auto"/>
              <w:right w:val="single" w:sz="4" w:space="0" w:color="auto"/>
            </w:tcBorders>
            <w:shd w:val="clear" w:color="auto" w:fill="auto"/>
            <w:vAlign w:val="center"/>
            <w:hideMark/>
          </w:tcPr>
          <w:p w14:paraId="766A418D"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01.01.27</w:t>
            </w:r>
          </w:p>
        </w:tc>
        <w:tc>
          <w:tcPr>
            <w:tcW w:w="1852" w:type="dxa"/>
            <w:tcBorders>
              <w:top w:val="nil"/>
              <w:left w:val="nil"/>
              <w:bottom w:val="single" w:sz="4" w:space="0" w:color="auto"/>
              <w:right w:val="single" w:sz="4" w:space="0" w:color="auto"/>
            </w:tcBorders>
            <w:shd w:val="clear" w:color="auto" w:fill="auto"/>
            <w:vAlign w:val="center"/>
            <w:hideMark/>
          </w:tcPr>
          <w:p w14:paraId="6561B189"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Podnikatelia využívajúci službu STN-online.  Z celkového počtu 74 zmluvných odberateľov za rok boli odpočítané subjekty verejnej správy a akademická obec</w:t>
            </w:r>
          </w:p>
        </w:tc>
        <w:tc>
          <w:tcPr>
            <w:tcW w:w="851" w:type="dxa"/>
            <w:tcBorders>
              <w:top w:val="nil"/>
              <w:left w:val="nil"/>
              <w:bottom w:val="single" w:sz="4" w:space="0" w:color="auto"/>
              <w:right w:val="single" w:sz="4" w:space="0" w:color="auto"/>
            </w:tcBorders>
            <w:shd w:val="clear" w:color="auto" w:fill="auto"/>
            <w:vAlign w:val="center"/>
            <w:hideMark/>
          </w:tcPr>
          <w:p w14:paraId="6FE4C396" w14:textId="77777777" w:rsidR="003C7F99" w:rsidRPr="003C7F99" w:rsidRDefault="003C7F99" w:rsidP="00BC7BA0">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55</w:t>
            </w:r>
          </w:p>
        </w:tc>
        <w:tc>
          <w:tcPr>
            <w:tcW w:w="773" w:type="dxa"/>
            <w:tcBorders>
              <w:top w:val="nil"/>
              <w:left w:val="nil"/>
              <w:bottom w:val="single" w:sz="4" w:space="0" w:color="auto"/>
              <w:right w:val="single" w:sz="4" w:space="0" w:color="auto"/>
            </w:tcBorders>
            <w:shd w:val="clear" w:color="000000" w:fill="FFFFFF"/>
            <w:vAlign w:val="center"/>
            <w:hideMark/>
          </w:tcPr>
          <w:p w14:paraId="36304422" w14:textId="77777777" w:rsidR="003C7F99" w:rsidRPr="003C7F99" w:rsidRDefault="003C7F99" w:rsidP="00BC7BA0">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1 465</w:t>
            </w:r>
          </w:p>
        </w:tc>
        <w:tc>
          <w:tcPr>
            <w:tcW w:w="807" w:type="dxa"/>
            <w:tcBorders>
              <w:top w:val="nil"/>
              <w:left w:val="nil"/>
              <w:bottom w:val="single" w:sz="4" w:space="0" w:color="auto"/>
              <w:right w:val="single" w:sz="4" w:space="0" w:color="auto"/>
            </w:tcBorders>
            <w:shd w:val="clear" w:color="auto" w:fill="auto"/>
            <w:vAlign w:val="center"/>
            <w:hideMark/>
          </w:tcPr>
          <w:p w14:paraId="74B2A2E4" w14:textId="77777777" w:rsidR="003C7F99" w:rsidRPr="003C7F99" w:rsidRDefault="003C7F99" w:rsidP="00BC7BA0">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80 551</w:t>
            </w:r>
          </w:p>
        </w:tc>
        <w:tc>
          <w:tcPr>
            <w:tcW w:w="916" w:type="dxa"/>
            <w:tcBorders>
              <w:top w:val="nil"/>
              <w:left w:val="nil"/>
              <w:bottom w:val="single" w:sz="4" w:space="0" w:color="auto"/>
              <w:right w:val="single" w:sz="4" w:space="0" w:color="auto"/>
            </w:tcBorders>
            <w:shd w:val="clear" w:color="auto" w:fill="auto"/>
            <w:vAlign w:val="center"/>
            <w:hideMark/>
          </w:tcPr>
          <w:p w14:paraId="041FFD2B"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In (zvyšuje náklady)</w:t>
            </w:r>
          </w:p>
        </w:tc>
        <w:tc>
          <w:tcPr>
            <w:tcW w:w="865" w:type="dxa"/>
            <w:tcBorders>
              <w:top w:val="nil"/>
              <w:left w:val="nil"/>
              <w:bottom w:val="single" w:sz="4" w:space="0" w:color="auto"/>
              <w:right w:val="single" w:sz="4" w:space="0" w:color="auto"/>
            </w:tcBorders>
            <w:shd w:val="clear" w:color="auto" w:fill="auto"/>
            <w:vAlign w:val="center"/>
            <w:hideMark/>
          </w:tcPr>
          <w:p w14:paraId="5A40034E" w14:textId="77777777" w:rsidR="003C7F99" w:rsidRPr="003C7F99" w:rsidRDefault="003C7F99" w:rsidP="003C7F99">
            <w:pPr>
              <w:spacing w:after="0" w:line="240" w:lineRule="auto"/>
              <w:jc w:val="center"/>
              <w:rPr>
                <w:rFonts w:ascii="Times New Roman" w:eastAsia="Times New Roman" w:hAnsi="Times New Roman" w:cs="Times New Roman"/>
                <w:sz w:val="18"/>
                <w:szCs w:val="18"/>
                <w:lang w:eastAsia="sk-SK"/>
              </w:rPr>
            </w:pPr>
            <w:r w:rsidRPr="003C7F99">
              <w:rPr>
                <w:rFonts w:ascii="Times New Roman" w:eastAsia="Times New Roman" w:hAnsi="Times New Roman" w:cs="Times New Roman"/>
                <w:sz w:val="18"/>
                <w:szCs w:val="18"/>
                <w:lang w:eastAsia="sk-SK"/>
              </w:rPr>
              <w:t>80 551</w:t>
            </w:r>
          </w:p>
        </w:tc>
        <w:tc>
          <w:tcPr>
            <w:tcW w:w="1175" w:type="dxa"/>
            <w:tcBorders>
              <w:top w:val="nil"/>
              <w:left w:val="nil"/>
              <w:bottom w:val="single" w:sz="4" w:space="0" w:color="auto"/>
              <w:right w:val="single" w:sz="4" w:space="0" w:color="auto"/>
            </w:tcBorders>
            <w:shd w:val="clear" w:color="auto" w:fill="auto"/>
            <w:vAlign w:val="center"/>
            <w:hideMark/>
          </w:tcPr>
          <w:p w14:paraId="64CBB960"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0</w:t>
            </w:r>
          </w:p>
        </w:tc>
      </w:tr>
      <w:tr w:rsidR="003C7F99" w:rsidRPr="003C7F99" w14:paraId="0F4CE321" w14:textId="77777777" w:rsidTr="00BC7BA0">
        <w:trPr>
          <w:trHeight w:val="57"/>
        </w:trPr>
        <w:tc>
          <w:tcPr>
            <w:tcW w:w="482" w:type="dxa"/>
            <w:tcBorders>
              <w:top w:val="nil"/>
              <w:left w:val="single" w:sz="4" w:space="0" w:color="auto"/>
              <w:bottom w:val="single" w:sz="4" w:space="0" w:color="auto"/>
              <w:right w:val="single" w:sz="4" w:space="0" w:color="auto"/>
            </w:tcBorders>
            <w:shd w:val="clear" w:color="auto" w:fill="auto"/>
            <w:vAlign w:val="center"/>
            <w:hideMark/>
          </w:tcPr>
          <w:p w14:paraId="141EECE5"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2</w:t>
            </w:r>
          </w:p>
        </w:tc>
        <w:tc>
          <w:tcPr>
            <w:tcW w:w="1833" w:type="dxa"/>
            <w:tcBorders>
              <w:top w:val="nil"/>
              <w:left w:val="nil"/>
              <w:bottom w:val="single" w:sz="4" w:space="0" w:color="auto"/>
              <w:right w:val="single" w:sz="4" w:space="0" w:color="auto"/>
            </w:tcBorders>
            <w:shd w:val="clear" w:color="auto" w:fill="auto"/>
            <w:vAlign w:val="center"/>
            <w:hideMark/>
          </w:tcPr>
          <w:p w14:paraId="0172BAFA"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Zvýšenie vybraných jednotkových úhrad za poskytovanie STN a TNI v listinnej a elektronickej podobe formou individuálneho predaja o 20 %.</w:t>
            </w:r>
          </w:p>
        </w:tc>
        <w:tc>
          <w:tcPr>
            <w:tcW w:w="935" w:type="dxa"/>
            <w:tcBorders>
              <w:top w:val="nil"/>
              <w:left w:val="nil"/>
              <w:bottom w:val="single" w:sz="4" w:space="0" w:color="auto"/>
              <w:right w:val="single" w:sz="4" w:space="0" w:color="auto"/>
            </w:tcBorders>
            <w:shd w:val="clear" w:color="auto" w:fill="auto"/>
            <w:vAlign w:val="center"/>
            <w:hideMark/>
          </w:tcPr>
          <w:p w14:paraId="297BBBA0"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vyhláška č. 76/2019 Z. z.</w:t>
            </w:r>
          </w:p>
        </w:tc>
        <w:tc>
          <w:tcPr>
            <w:tcW w:w="1181" w:type="dxa"/>
            <w:tcBorders>
              <w:top w:val="nil"/>
              <w:left w:val="nil"/>
              <w:bottom w:val="single" w:sz="4" w:space="0" w:color="auto"/>
              <w:right w:val="single" w:sz="4" w:space="0" w:color="auto"/>
            </w:tcBorders>
            <w:shd w:val="clear" w:color="auto" w:fill="auto"/>
            <w:vAlign w:val="center"/>
            <w:hideMark/>
          </w:tcPr>
          <w:p w14:paraId="0AD9A273"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Čl. I návrhu (Príloha č. 1, časti I. A, B)</w:t>
            </w:r>
          </w:p>
        </w:tc>
        <w:tc>
          <w:tcPr>
            <w:tcW w:w="1425" w:type="dxa"/>
            <w:tcBorders>
              <w:top w:val="nil"/>
              <w:left w:val="nil"/>
              <w:bottom w:val="single" w:sz="4" w:space="0" w:color="auto"/>
              <w:right w:val="single" w:sz="4" w:space="0" w:color="auto"/>
            </w:tcBorders>
            <w:shd w:val="clear" w:color="auto" w:fill="auto"/>
            <w:vAlign w:val="center"/>
            <w:hideMark/>
          </w:tcPr>
          <w:p w14:paraId="5A39D308"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1.SK</w:t>
            </w:r>
          </w:p>
        </w:tc>
        <w:tc>
          <w:tcPr>
            <w:tcW w:w="934" w:type="dxa"/>
            <w:tcBorders>
              <w:top w:val="nil"/>
              <w:left w:val="nil"/>
              <w:bottom w:val="single" w:sz="4" w:space="0" w:color="auto"/>
              <w:right w:val="single" w:sz="4" w:space="0" w:color="auto"/>
            </w:tcBorders>
            <w:shd w:val="clear" w:color="auto" w:fill="auto"/>
            <w:vAlign w:val="center"/>
            <w:hideMark/>
          </w:tcPr>
          <w:p w14:paraId="7761B368"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01.01.27</w:t>
            </w:r>
          </w:p>
        </w:tc>
        <w:tc>
          <w:tcPr>
            <w:tcW w:w="1852" w:type="dxa"/>
            <w:tcBorders>
              <w:top w:val="nil"/>
              <w:left w:val="nil"/>
              <w:bottom w:val="single" w:sz="4" w:space="0" w:color="auto"/>
              <w:right w:val="single" w:sz="4" w:space="0" w:color="auto"/>
            </w:tcBorders>
            <w:shd w:val="clear" w:color="auto" w:fill="auto"/>
            <w:vAlign w:val="center"/>
            <w:hideMark/>
          </w:tcPr>
          <w:p w14:paraId="7A2C88AD"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Podnikatelia nakupujúci jednotlivé STN a TNI formou priameho nákupu. Celkový počet firiem je stanovený kvalifikovaným odborným odhadom na úrovni 85 % z celkového ročného počtu 2 000 odberateľov.</w:t>
            </w:r>
          </w:p>
        </w:tc>
        <w:tc>
          <w:tcPr>
            <w:tcW w:w="851" w:type="dxa"/>
            <w:tcBorders>
              <w:top w:val="nil"/>
              <w:left w:val="nil"/>
              <w:bottom w:val="single" w:sz="4" w:space="0" w:color="auto"/>
              <w:right w:val="single" w:sz="4" w:space="0" w:color="auto"/>
            </w:tcBorders>
            <w:shd w:val="clear" w:color="auto" w:fill="auto"/>
            <w:vAlign w:val="center"/>
            <w:hideMark/>
          </w:tcPr>
          <w:p w14:paraId="19844445" w14:textId="77777777" w:rsidR="003C7F99" w:rsidRPr="003C7F99" w:rsidRDefault="003C7F99" w:rsidP="00BC7BA0">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1 700</w:t>
            </w:r>
          </w:p>
        </w:tc>
        <w:tc>
          <w:tcPr>
            <w:tcW w:w="773" w:type="dxa"/>
            <w:tcBorders>
              <w:top w:val="nil"/>
              <w:left w:val="nil"/>
              <w:bottom w:val="single" w:sz="4" w:space="0" w:color="auto"/>
              <w:right w:val="single" w:sz="4" w:space="0" w:color="auto"/>
            </w:tcBorders>
            <w:shd w:val="clear" w:color="auto" w:fill="auto"/>
            <w:vAlign w:val="center"/>
            <w:hideMark/>
          </w:tcPr>
          <w:p w14:paraId="023BC271" w14:textId="77777777" w:rsidR="003C7F99" w:rsidRPr="003C7F99" w:rsidRDefault="003C7F99" w:rsidP="00BC7BA0">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30</w:t>
            </w:r>
          </w:p>
        </w:tc>
        <w:tc>
          <w:tcPr>
            <w:tcW w:w="807" w:type="dxa"/>
            <w:tcBorders>
              <w:top w:val="nil"/>
              <w:left w:val="nil"/>
              <w:bottom w:val="single" w:sz="4" w:space="0" w:color="auto"/>
              <w:right w:val="single" w:sz="4" w:space="0" w:color="auto"/>
            </w:tcBorders>
            <w:shd w:val="clear" w:color="auto" w:fill="auto"/>
            <w:vAlign w:val="center"/>
            <w:hideMark/>
          </w:tcPr>
          <w:p w14:paraId="499F2571" w14:textId="77777777" w:rsidR="003C7F99" w:rsidRPr="003C7F99" w:rsidRDefault="003C7F99" w:rsidP="00BC7BA0">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51 000</w:t>
            </w:r>
          </w:p>
        </w:tc>
        <w:tc>
          <w:tcPr>
            <w:tcW w:w="916" w:type="dxa"/>
            <w:tcBorders>
              <w:top w:val="nil"/>
              <w:left w:val="nil"/>
              <w:bottom w:val="single" w:sz="4" w:space="0" w:color="auto"/>
              <w:right w:val="single" w:sz="4" w:space="0" w:color="auto"/>
            </w:tcBorders>
            <w:shd w:val="clear" w:color="auto" w:fill="auto"/>
            <w:vAlign w:val="center"/>
            <w:hideMark/>
          </w:tcPr>
          <w:p w14:paraId="796C4953"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In (zvyšuje náklady)</w:t>
            </w:r>
          </w:p>
        </w:tc>
        <w:tc>
          <w:tcPr>
            <w:tcW w:w="865" w:type="dxa"/>
            <w:tcBorders>
              <w:top w:val="nil"/>
              <w:left w:val="nil"/>
              <w:bottom w:val="single" w:sz="4" w:space="0" w:color="auto"/>
              <w:right w:val="single" w:sz="4" w:space="0" w:color="auto"/>
            </w:tcBorders>
            <w:shd w:val="clear" w:color="auto" w:fill="auto"/>
            <w:vAlign w:val="center"/>
            <w:hideMark/>
          </w:tcPr>
          <w:p w14:paraId="4A45EDDD" w14:textId="77777777" w:rsidR="003C7F99" w:rsidRPr="003C7F99" w:rsidRDefault="003C7F99" w:rsidP="003C7F99">
            <w:pPr>
              <w:spacing w:after="0" w:line="240" w:lineRule="auto"/>
              <w:jc w:val="center"/>
              <w:rPr>
                <w:rFonts w:ascii="Times New Roman" w:eastAsia="Times New Roman" w:hAnsi="Times New Roman" w:cs="Times New Roman"/>
                <w:sz w:val="18"/>
                <w:szCs w:val="18"/>
                <w:lang w:eastAsia="sk-SK"/>
              </w:rPr>
            </w:pPr>
            <w:r w:rsidRPr="003C7F99">
              <w:rPr>
                <w:rFonts w:ascii="Times New Roman" w:eastAsia="Times New Roman" w:hAnsi="Times New Roman" w:cs="Times New Roman"/>
                <w:sz w:val="18"/>
                <w:szCs w:val="18"/>
                <w:lang w:eastAsia="sk-SK"/>
              </w:rPr>
              <w:t>51 000</w:t>
            </w:r>
          </w:p>
        </w:tc>
        <w:tc>
          <w:tcPr>
            <w:tcW w:w="1175" w:type="dxa"/>
            <w:tcBorders>
              <w:top w:val="nil"/>
              <w:left w:val="nil"/>
              <w:bottom w:val="single" w:sz="4" w:space="0" w:color="auto"/>
              <w:right w:val="single" w:sz="4" w:space="0" w:color="auto"/>
            </w:tcBorders>
            <w:shd w:val="clear" w:color="auto" w:fill="auto"/>
            <w:vAlign w:val="center"/>
            <w:hideMark/>
          </w:tcPr>
          <w:p w14:paraId="77C302BC" w14:textId="77777777" w:rsidR="003C7F99" w:rsidRPr="003C7F99" w:rsidRDefault="003C7F99" w:rsidP="003C7F99">
            <w:pPr>
              <w:spacing w:after="0" w:line="240" w:lineRule="auto"/>
              <w:jc w:val="center"/>
              <w:rPr>
                <w:rFonts w:ascii="Times New Roman" w:eastAsia="Times New Roman" w:hAnsi="Times New Roman" w:cs="Times New Roman"/>
                <w:color w:val="000000"/>
                <w:sz w:val="18"/>
                <w:szCs w:val="18"/>
                <w:lang w:eastAsia="sk-SK"/>
              </w:rPr>
            </w:pPr>
            <w:r w:rsidRPr="003C7F99">
              <w:rPr>
                <w:rFonts w:ascii="Times New Roman" w:eastAsia="Times New Roman" w:hAnsi="Times New Roman" w:cs="Times New Roman"/>
                <w:color w:val="000000"/>
                <w:sz w:val="18"/>
                <w:szCs w:val="18"/>
                <w:lang w:eastAsia="sk-SK"/>
              </w:rPr>
              <w:t>0</w:t>
            </w:r>
          </w:p>
        </w:tc>
      </w:tr>
    </w:tbl>
    <w:p w14:paraId="13B23425" w14:textId="77777777" w:rsidR="003C7F99" w:rsidRDefault="003C7F99" w:rsidP="00054C41">
      <w:pPr>
        <w:jc w:val="both"/>
        <w:rPr>
          <w:rFonts w:ascii="Times New Roman" w:eastAsia="Calibri" w:hAnsi="Times New Roman" w:cs="Times New Roman"/>
          <w:i/>
          <w:sz w:val="24"/>
          <w:szCs w:val="24"/>
        </w:rPr>
      </w:pPr>
    </w:p>
    <w:p w14:paraId="36872A09" w14:textId="77777777" w:rsidR="003C7F99" w:rsidRDefault="003C7F99" w:rsidP="00054C41">
      <w:pPr>
        <w:jc w:val="both"/>
        <w:rPr>
          <w:rFonts w:ascii="Times New Roman" w:eastAsia="Calibri" w:hAnsi="Times New Roman" w:cs="Times New Roman"/>
          <w:i/>
          <w:sz w:val="24"/>
          <w:szCs w:val="24"/>
        </w:rPr>
      </w:pPr>
    </w:p>
    <w:p w14:paraId="7A6476C1"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B2CC1FF"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7F1B4573" w14:textId="77777777" w:rsidR="00D051F6" w:rsidRPr="00D051F6" w:rsidRDefault="00D051F6" w:rsidP="00690175">
      <w:pPr>
        <w:spacing w:after="0"/>
        <w:jc w:val="both"/>
        <w:rPr>
          <w:rFonts w:ascii="Times New Roman" w:eastAsia="Calibri" w:hAnsi="Times New Roman" w:cs="Times New Roman"/>
          <w:bCs/>
          <w:color w:val="000000"/>
        </w:rPr>
      </w:pPr>
      <w:r w:rsidRPr="00D051F6">
        <w:rPr>
          <w:rFonts w:ascii="Times New Roman" w:eastAsia="Calibri" w:hAnsi="Times New Roman" w:cs="Times New Roman"/>
          <w:b/>
          <w:bCs/>
          <w:color w:val="000000"/>
          <w:sz w:val="24"/>
          <w:szCs w:val="24"/>
        </w:rPr>
        <w:t>VÝPO</w:t>
      </w:r>
      <w:r w:rsidRPr="00D051F6">
        <w:rPr>
          <w:rFonts w:ascii="Times New Roman" w:eastAsia="Calibri" w:hAnsi="Times New Roman" w:cs="Times New Roman"/>
          <w:b/>
          <w:bCs/>
          <w:color w:val="000000"/>
        </w:rPr>
        <w:t>ČET PRE BOD 1: Služba STN-online</w:t>
      </w:r>
    </w:p>
    <w:p w14:paraId="544449AF" w14:textId="77777777" w:rsidR="00690175" w:rsidRDefault="00690175" w:rsidP="00690175">
      <w:pPr>
        <w:spacing w:after="0"/>
        <w:jc w:val="both"/>
        <w:rPr>
          <w:rFonts w:ascii="Times New Roman" w:eastAsia="Calibri" w:hAnsi="Times New Roman" w:cs="Times New Roman"/>
          <w:b/>
          <w:bCs/>
          <w:color w:val="000000"/>
        </w:rPr>
      </w:pPr>
    </w:p>
    <w:p w14:paraId="5ACB909F" w14:textId="77777777" w:rsidR="00D051F6" w:rsidRPr="00D051F6" w:rsidRDefault="00D051F6" w:rsidP="00690175">
      <w:pPr>
        <w:spacing w:after="0"/>
        <w:jc w:val="both"/>
        <w:rPr>
          <w:rFonts w:ascii="Times New Roman" w:eastAsia="Calibri" w:hAnsi="Times New Roman" w:cs="Times New Roman"/>
          <w:bCs/>
          <w:color w:val="000000"/>
        </w:rPr>
      </w:pPr>
      <w:r w:rsidRPr="00D051F6">
        <w:rPr>
          <w:rFonts w:ascii="Times New Roman" w:eastAsia="Calibri" w:hAnsi="Times New Roman" w:cs="Times New Roman"/>
          <w:b/>
          <w:bCs/>
          <w:color w:val="000000"/>
        </w:rPr>
        <w:t>Vstupná početnosť:</w:t>
      </w:r>
      <w:r w:rsidRPr="00D051F6">
        <w:rPr>
          <w:rFonts w:ascii="Times New Roman" w:eastAsia="Calibri" w:hAnsi="Times New Roman" w:cs="Times New Roman"/>
          <w:bCs/>
          <w:color w:val="000000"/>
        </w:rPr>
        <w:t xml:space="preserve"> Celkový zmluvný fond pre službu STN-online predstavoval 74</w:t>
      </w:r>
      <w:r w:rsidR="00CF0FA3">
        <w:rPr>
          <w:rFonts w:ascii="Times New Roman" w:eastAsia="Calibri" w:hAnsi="Times New Roman" w:cs="Times New Roman"/>
          <w:bCs/>
          <w:color w:val="000000"/>
        </w:rPr>
        <w:t> </w:t>
      </w:r>
      <w:r w:rsidRPr="00D051F6">
        <w:rPr>
          <w:rFonts w:ascii="Times New Roman" w:eastAsia="Calibri" w:hAnsi="Times New Roman" w:cs="Times New Roman"/>
          <w:bCs/>
          <w:color w:val="000000"/>
        </w:rPr>
        <w:t>odberateľov. Na účely očistenia dopadov výhradne na podnikateľské prostredie bolo zo vzorky odpočítaných 20</w:t>
      </w:r>
      <w:r w:rsidR="00CC0A63">
        <w:rPr>
          <w:rFonts w:ascii="Times New Roman" w:eastAsia="Calibri" w:hAnsi="Times New Roman" w:cs="Times New Roman"/>
          <w:bCs/>
          <w:color w:val="000000"/>
        </w:rPr>
        <w:t> </w:t>
      </w:r>
      <w:r w:rsidRPr="00D051F6">
        <w:rPr>
          <w:rFonts w:ascii="Times New Roman" w:eastAsia="Calibri" w:hAnsi="Times New Roman" w:cs="Times New Roman"/>
          <w:bCs/>
          <w:color w:val="000000"/>
        </w:rPr>
        <w:t xml:space="preserve">subjektov patriacich do sektora verejnej správy a akademickej obce. Výsledná početnosť pre podnikateľské prostredie je </w:t>
      </w:r>
      <w:r w:rsidRPr="00D051F6">
        <w:rPr>
          <w:rFonts w:ascii="Times New Roman" w:eastAsia="Calibri" w:hAnsi="Times New Roman" w:cs="Times New Roman"/>
          <w:b/>
          <w:bCs/>
          <w:color w:val="000000"/>
        </w:rPr>
        <w:t>5</w:t>
      </w:r>
      <w:r w:rsidR="00667FA6" w:rsidRPr="00CF0FA3">
        <w:rPr>
          <w:rFonts w:ascii="Times New Roman" w:eastAsia="Calibri" w:hAnsi="Times New Roman" w:cs="Times New Roman"/>
          <w:b/>
          <w:bCs/>
          <w:color w:val="000000"/>
        </w:rPr>
        <w:t>5</w:t>
      </w:r>
      <w:r w:rsidRPr="00D051F6">
        <w:rPr>
          <w:rFonts w:ascii="Times New Roman" w:eastAsia="Calibri" w:hAnsi="Times New Roman" w:cs="Times New Roman"/>
          <w:b/>
          <w:bCs/>
          <w:color w:val="000000"/>
        </w:rPr>
        <w:t xml:space="preserve"> čistých podnikateľských subjektov</w:t>
      </w:r>
      <w:r w:rsidRPr="00D051F6">
        <w:rPr>
          <w:rFonts w:ascii="Times New Roman" w:eastAsia="Calibri" w:hAnsi="Times New Roman" w:cs="Times New Roman"/>
          <w:bCs/>
          <w:color w:val="000000"/>
        </w:rPr>
        <w:t>.</w:t>
      </w:r>
    </w:p>
    <w:p w14:paraId="4E77F9A1" w14:textId="77777777" w:rsidR="00690175" w:rsidRDefault="00690175" w:rsidP="00690175">
      <w:pPr>
        <w:spacing w:after="0"/>
        <w:jc w:val="both"/>
        <w:rPr>
          <w:rFonts w:ascii="Times New Roman" w:eastAsia="Calibri" w:hAnsi="Times New Roman" w:cs="Times New Roman"/>
          <w:b/>
          <w:bCs/>
          <w:color w:val="000000"/>
        </w:rPr>
      </w:pPr>
    </w:p>
    <w:p w14:paraId="6BB07578" w14:textId="77777777" w:rsidR="00D051F6" w:rsidRPr="00D051F6" w:rsidRDefault="00D051F6" w:rsidP="00690175">
      <w:pPr>
        <w:spacing w:after="0"/>
        <w:jc w:val="both"/>
        <w:rPr>
          <w:rFonts w:ascii="Times New Roman" w:eastAsia="Calibri" w:hAnsi="Times New Roman" w:cs="Times New Roman"/>
          <w:bCs/>
          <w:color w:val="000000"/>
        </w:rPr>
      </w:pPr>
      <w:r w:rsidRPr="00D051F6">
        <w:rPr>
          <w:rFonts w:ascii="Times New Roman" w:eastAsia="Calibri" w:hAnsi="Times New Roman" w:cs="Times New Roman"/>
          <w:b/>
          <w:bCs/>
          <w:color w:val="000000"/>
        </w:rPr>
        <w:t>Vstupný finančný objem:</w:t>
      </w:r>
      <w:r w:rsidRPr="00D051F6">
        <w:rPr>
          <w:rFonts w:ascii="Times New Roman" w:eastAsia="Calibri" w:hAnsi="Times New Roman" w:cs="Times New Roman"/>
          <w:bCs/>
          <w:color w:val="000000"/>
        </w:rPr>
        <w:t xml:space="preserve"> Reálny finančný objem úhrad, ktorý týchto 54 očistených </w:t>
      </w:r>
      <w:r w:rsidR="00BC7BA0" w:rsidRPr="00D051F6">
        <w:rPr>
          <w:rFonts w:ascii="Times New Roman" w:eastAsia="Calibri" w:hAnsi="Times New Roman" w:cs="Times New Roman"/>
          <w:b/>
          <w:bCs/>
          <w:color w:val="000000"/>
        </w:rPr>
        <w:t>podnikateľských subjektov</w:t>
      </w:r>
      <w:r w:rsidR="00BC7BA0" w:rsidRPr="00CF0FA3">
        <w:rPr>
          <w:rFonts w:ascii="Times New Roman" w:eastAsia="Calibri" w:hAnsi="Times New Roman" w:cs="Times New Roman"/>
          <w:bCs/>
          <w:color w:val="000000"/>
        </w:rPr>
        <w:t xml:space="preserve"> </w:t>
      </w:r>
      <w:r w:rsidRPr="00D051F6">
        <w:rPr>
          <w:rFonts w:ascii="Times New Roman" w:eastAsia="Calibri" w:hAnsi="Times New Roman" w:cs="Times New Roman"/>
          <w:bCs/>
          <w:color w:val="000000"/>
        </w:rPr>
        <w:t xml:space="preserve">zaplatilo za rok 2025, predstavuje sumu </w:t>
      </w:r>
      <w:r w:rsidRPr="00D051F6">
        <w:rPr>
          <w:rFonts w:ascii="Times New Roman" w:eastAsia="Calibri" w:hAnsi="Times New Roman" w:cs="Times New Roman"/>
          <w:b/>
          <w:bCs/>
          <w:color w:val="000000"/>
        </w:rPr>
        <w:t>402 758 eur</w:t>
      </w:r>
      <w:r w:rsidRPr="00D051F6">
        <w:rPr>
          <w:rFonts w:ascii="Times New Roman" w:eastAsia="Calibri" w:hAnsi="Times New Roman" w:cs="Times New Roman"/>
          <w:bCs/>
          <w:color w:val="000000"/>
        </w:rPr>
        <w:t>.</w:t>
      </w:r>
    </w:p>
    <w:p w14:paraId="6B977095" w14:textId="77777777" w:rsidR="00690175" w:rsidRDefault="00690175" w:rsidP="00690175">
      <w:pPr>
        <w:spacing w:after="0"/>
        <w:jc w:val="both"/>
        <w:rPr>
          <w:rFonts w:ascii="Times New Roman" w:eastAsia="Calibri" w:hAnsi="Times New Roman" w:cs="Times New Roman"/>
          <w:b/>
          <w:bCs/>
          <w:color w:val="000000"/>
        </w:rPr>
      </w:pPr>
    </w:p>
    <w:p w14:paraId="2BC6E4DD" w14:textId="77777777" w:rsidR="00CF0FA3" w:rsidRDefault="00D051F6" w:rsidP="00690175">
      <w:pPr>
        <w:spacing w:after="0"/>
        <w:jc w:val="both"/>
        <w:rPr>
          <w:rFonts w:ascii="Times New Roman" w:eastAsia="Calibri" w:hAnsi="Times New Roman" w:cs="Times New Roman"/>
          <w:bCs/>
          <w:color w:val="000000"/>
        </w:rPr>
      </w:pPr>
      <w:r w:rsidRPr="00D051F6">
        <w:rPr>
          <w:rFonts w:ascii="Times New Roman" w:eastAsia="Calibri" w:hAnsi="Times New Roman" w:cs="Times New Roman"/>
          <w:b/>
          <w:bCs/>
          <w:color w:val="000000"/>
        </w:rPr>
        <w:t>Matematický výpočet ročného vplyvu (IN):</w:t>
      </w:r>
      <w:r w:rsidRPr="00D051F6">
        <w:rPr>
          <w:rFonts w:ascii="Times New Roman" w:eastAsia="Calibri" w:hAnsi="Times New Roman" w:cs="Times New Roman"/>
          <w:bCs/>
          <w:color w:val="000000"/>
        </w:rPr>
        <w:t xml:space="preserve"> Finančný dopad plošného 20 % zvýšenia jednotkových cien sa vypočítal ako:</w:t>
      </w:r>
    </w:p>
    <w:p w14:paraId="0846B8F2" w14:textId="77777777" w:rsidR="00D051F6" w:rsidRPr="00D051F6" w:rsidRDefault="00D051F6" w:rsidP="00690175">
      <w:pPr>
        <w:spacing w:after="0"/>
        <w:rPr>
          <w:rFonts w:ascii="Times New Roman" w:eastAsia="Calibri" w:hAnsi="Times New Roman" w:cs="Times New Roman"/>
          <w:bCs/>
          <w:color w:val="000000"/>
        </w:rPr>
      </w:pPr>
      <w:r w:rsidRPr="00D051F6">
        <w:rPr>
          <w:rFonts w:ascii="Times New Roman" w:eastAsia="Calibri" w:hAnsi="Times New Roman" w:cs="Times New Roman"/>
          <w:bCs/>
          <w:color w:val="000000"/>
        </w:rPr>
        <w:t>402</w:t>
      </w:r>
      <w:r w:rsidR="00667FA6" w:rsidRPr="00CF0FA3">
        <w:rPr>
          <w:rFonts w:ascii="Times New Roman" w:eastAsia="Calibri" w:hAnsi="Times New Roman" w:cs="Times New Roman"/>
          <w:bCs/>
          <w:color w:val="000000"/>
        </w:rPr>
        <w:t> </w:t>
      </w:r>
      <w:r w:rsidRPr="00D051F6">
        <w:rPr>
          <w:rFonts w:ascii="Times New Roman" w:eastAsia="Calibri" w:hAnsi="Times New Roman" w:cs="Times New Roman"/>
          <w:bCs/>
          <w:color w:val="000000"/>
        </w:rPr>
        <w:t>758</w:t>
      </w:r>
      <w:r w:rsidR="00667FA6" w:rsidRPr="00CF0FA3">
        <w:rPr>
          <w:rFonts w:ascii="Times New Roman" w:eastAsia="Calibri" w:hAnsi="Times New Roman" w:cs="Times New Roman"/>
          <w:bCs/>
          <w:color w:val="000000"/>
        </w:rPr>
        <w:t xml:space="preserve"> </w:t>
      </w:r>
      <w:r w:rsidR="00667FA6" w:rsidRPr="00CF0FA3">
        <w:rPr>
          <w:rFonts w:ascii="Times New Roman" w:eastAsia="Calibri" w:hAnsi="Times New Roman" w:cs="Times New Roman"/>
          <w:bCs/>
          <w:color w:val="000000"/>
        </w:rPr>
        <w:sym w:font="Symbol" w:char="F0B4"/>
      </w:r>
      <w:r w:rsidR="00667FA6" w:rsidRPr="00CF0FA3">
        <w:rPr>
          <w:rFonts w:ascii="Times New Roman" w:eastAsia="Calibri" w:hAnsi="Times New Roman" w:cs="Times New Roman"/>
          <w:bCs/>
          <w:color w:val="000000"/>
        </w:rPr>
        <w:t xml:space="preserve"> </w:t>
      </w:r>
      <w:r w:rsidRPr="00D051F6">
        <w:rPr>
          <w:rFonts w:ascii="Times New Roman" w:eastAsia="Calibri" w:hAnsi="Times New Roman" w:cs="Times New Roman"/>
          <w:bCs/>
          <w:color w:val="000000"/>
        </w:rPr>
        <w:t xml:space="preserve"> 0,20</w:t>
      </w:r>
      <w:r w:rsidR="00667FA6" w:rsidRPr="00CF0FA3">
        <w:rPr>
          <w:rFonts w:ascii="Times New Roman" w:eastAsia="Calibri" w:hAnsi="Times New Roman" w:cs="Times New Roman"/>
          <w:bCs/>
          <w:color w:val="000000"/>
        </w:rPr>
        <w:t xml:space="preserve"> </w:t>
      </w:r>
      <w:r w:rsidRPr="00D051F6">
        <w:rPr>
          <w:rFonts w:ascii="Times New Roman" w:eastAsia="Calibri" w:hAnsi="Times New Roman" w:cs="Times New Roman"/>
          <w:bCs/>
          <w:color w:val="000000"/>
        </w:rPr>
        <w:t>=</w:t>
      </w:r>
      <w:r w:rsidR="00CC0A63">
        <w:rPr>
          <w:rFonts w:ascii="Times New Roman" w:eastAsia="Calibri" w:hAnsi="Times New Roman" w:cs="Times New Roman"/>
          <w:bCs/>
          <w:color w:val="000000"/>
        </w:rPr>
        <w:t xml:space="preserve"> </w:t>
      </w:r>
      <w:r w:rsidRPr="00D051F6">
        <w:rPr>
          <w:rFonts w:ascii="Times New Roman" w:eastAsia="Calibri" w:hAnsi="Times New Roman" w:cs="Times New Roman"/>
          <w:bCs/>
          <w:color w:val="000000"/>
        </w:rPr>
        <w:t>80 551,60</w:t>
      </w:r>
      <w:r w:rsidR="00667FA6" w:rsidRPr="00CF0FA3">
        <w:rPr>
          <w:rFonts w:ascii="Times New Roman" w:eastAsia="Calibri" w:hAnsi="Times New Roman" w:cs="Times New Roman"/>
          <w:bCs/>
          <w:color w:val="000000"/>
        </w:rPr>
        <w:t xml:space="preserve"> </w:t>
      </w:r>
      <w:r w:rsidRPr="00D051F6">
        <w:rPr>
          <w:rFonts w:ascii="Times New Roman" w:eastAsia="Calibri" w:hAnsi="Times New Roman" w:cs="Times New Roman"/>
          <w:bCs/>
          <w:color w:val="000000"/>
        </w:rPr>
        <w:t>eur</w:t>
      </w:r>
      <w:r w:rsidR="00CC0A63">
        <w:rPr>
          <w:rFonts w:ascii="Times New Roman" w:eastAsia="Calibri" w:hAnsi="Times New Roman" w:cs="Times New Roman"/>
          <w:bCs/>
          <w:color w:val="000000"/>
        </w:rPr>
        <w:t>.</w:t>
      </w:r>
    </w:p>
    <w:p w14:paraId="1C31DA68" w14:textId="77777777" w:rsidR="00690175" w:rsidRDefault="00690175" w:rsidP="00690175">
      <w:pPr>
        <w:spacing w:after="0"/>
        <w:jc w:val="both"/>
        <w:rPr>
          <w:rFonts w:ascii="Times New Roman" w:eastAsia="Calibri" w:hAnsi="Times New Roman" w:cs="Times New Roman"/>
          <w:b/>
          <w:bCs/>
          <w:color w:val="000000"/>
        </w:rPr>
      </w:pPr>
    </w:p>
    <w:p w14:paraId="3F948DFD" w14:textId="77777777" w:rsidR="00CC0A63" w:rsidRDefault="00D051F6" w:rsidP="00690175">
      <w:pPr>
        <w:spacing w:after="0"/>
        <w:jc w:val="both"/>
        <w:rPr>
          <w:rFonts w:ascii="Times New Roman" w:eastAsia="Calibri" w:hAnsi="Times New Roman" w:cs="Times New Roman"/>
          <w:bCs/>
          <w:color w:val="000000"/>
        </w:rPr>
      </w:pPr>
      <w:r w:rsidRPr="00D051F6">
        <w:rPr>
          <w:rFonts w:ascii="Times New Roman" w:eastAsia="Calibri" w:hAnsi="Times New Roman" w:cs="Times New Roman"/>
          <w:b/>
          <w:bCs/>
          <w:color w:val="000000"/>
        </w:rPr>
        <w:t>Jednotková cena regulácie do kalkulačky (Príloha č. 3b):</w:t>
      </w:r>
      <w:r w:rsidRPr="00D051F6">
        <w:rPr>
          <w:rFonts w:ascii="Times New Roman" w:eastAsia="Calibri" w:hAnsi="Times New Roman" w:cs="Times New Roman"/>
          <w:bCs/>
          <w:color w:val="000000"/>
        </w:rPr>
        <w:t xml:space="preserve"> Celkový ročný nárast rozpočítaný na počet dotknutých firiem pri ročnej frekvencii (1-krát ročne):</w:t>
      </w:r>
    </w:p>
    <w:p w14:paraId="41180451" w14:textId="77777777" w:rsidR="00D051F6" w:rsidRPr="00D051F6" w:rsidRDefault="00D051F6" w:rsidP="00690175">
      <w:pPr>
        <w:spacing w:after="0"/>
        <w:jc w:val="both"/>
        <w:rPr>
          <w:rFonts w:ascii="Times New Roman" w:eastAsia="Calibri" w:hAnsi="Times New Roman" w:cs="Times New Roman"/>
          <w:bCs/>
          <w:color w:val="000000"/>
        </w:rPr>
      </w:pPr>
      <w:r w:rsidRPr="00D051F6">
        <w:rPr>
          <w:rFonts w:ascii="Times New Roman" w:eastAsia="Calibri" w:hAnsi="Times New Roman" w:cs="Times New Roman"/>
          <w:bCs/>
          <w:color w:val="000000"/>
        </w:rPr>
        <w:t>80</w:t>
      </w:r>
      <w:r w:rsidR="00667FA6" w:rsidRPr="00CF0FA3">
        <w:rPr>
          <w:rFonts w:ascii="Times New Roman" w:eastAsia="Calibri" w:hAnsi="Times New Roman" w:cs="Times New Roman"/>
          <w:bCs/>
          <w:color w:val="000000"/>
        </w:rPr>
        <w:t xml:space="preserve"> </w:t>
      </w:r>
      <w:r w:rsidRPr="00D051F6">
        <w:rPr>
          <w:rFonts w:ascii="Times New Roman" w:eastAsia="Calibri" w:hAnsi="Times New Roman" w:cs="Times New Roman"/>
          <w:bCs/>
          <w:color w:val="000000"/>
        </w:rPr>
        <w:t>551</w:t>
      </w:r>
      <w:r w:rsidR="00667FA6" w:rsidRPr="00CF0FA3">
        <w:rPr>
          <w:rFonts w:ascii="Times New Roman" w:eastAsia="Calibri" w:hAnsi="Times New Roman" w:cs="Times New Roman"/>
          <w:bCs/>
          <w:color w:val="000000"/>
        </w:rPr>
        <w:t xml:space="preserve"> /</w:t>
      </w:r>
      <w:r w:rsidRPr="00D051F6">
        <w:rPr>
          <w:rFonts w:ascii="Times New Roman" w:eastAsia="Calibri" w:hAnsi="Times New Roman" w:cs="Times New Roman"/>
          <w:bCs/>
          <w:color w:val="000000"/>
        </w:rPr>
        <w:t xml:space="preserve"> 5</w:t>
      </w:r>
      <w:r w:rsidR="00667FA6" w:rsidRPr="00CF0FA3">
        <w:rPr>
          <w:rFonts w:ascii="Times New Roman" w:eastAsia="Calibri" w:hAnsi="Times New Roman" w:cs="Times New Roman"/>
          <w:bCs/>
          <w:color w:val="000000"/>
        </w:rPr>
        <w:t xml:space="preserve">5 </w:t>
      </w:r>
      <w:r w:rsidRPr="00D051F6">
        <w:rPr>
          <w:rFonts w:ascii="Times New Roman" w:eastAsia="Calibri" w:hAnsi="Times New Roman" w:cs="Times New Roman"/>
          <w:bCs/>
          <w:color w:val="000000"/>
        </w:rPr>
        <w:t xml:space="preserve">= </w:t>
      </w:r>
      <w:r w:rsidR="00667FA6" w:rsidRPr="00CF0FA3">
        <w:rPr>
          <w:rFonts w:ascii="Times New Roman" w:eastAsia="Calibri" w:hAnsi="Times New Roman" w:cs="Times New Roman"/>
          <w:bCs/>
          <w:color w:val="000000"/>
        </w:rPr>
        <w:t xml:space="preserve">1 464,56 </w:t>
      </w:r>
      <w:r w:rsidRPr="00D051F6">
        <w:rPr>
          <w:rFonts w:ascii="Times New Roman" w:eastAsia="Calibri" w:hAnsi="Times New Roman" w:cs="Times New Roman"/>
          <w:bCs/>
          <w:color w:val="000000"/>
        </w:rPr>
        <w:t>eur/subjekt</w:t>
      </w:r>
      <w:r w:rsidR="00667FA6" w:rsidRPr="00CF0FA3">
        <w:rPr>
          <w:rFonts w:ascii="Times New Roman" w:eastAsia="Calibri" w:hAnsi="Times New Roman" w:cs="Times New Roman"/>
          <w:bCs/>
          <w:color w:val="000000"/>
        </w:rPr>
        <w:t>/</w:t>
      </w:r>
      <w:r w:rsidRPr="00D051F6">
        <w:rPr>
          <w:rFonts w:ascii="Times New Roman" w:eastAsia="Calibri" w:hAnsi="Times New Roman" w:cs="Times New Roman"/>
          <w:bCs/>
          <w:color w:val="000000"/>
        </w:rPr>
        <w:t>ročn</w:t>
      </w:r>
      <w:r w:rsidR="00667FA6" w:rsidRPr="00CF0FA3">
        <w:rPr>
          <w:rFonts w:ascii="Times New Roman" w:eastAsia="Calibri" w:hAnsi="Times New Roman" w:cs="Times New Roman"/>
          <w:bCs/>
          <w:color w:val="000000"/>
        </w:rPr>
        <w:t>e</w:t>
      </w:r>
      <w:r w:rsidR="00CC0A63">
        <w:rPr>
          <w:rFonts w:ascii="Times New Roman" w:eastAsia="Calibri" w:hAnsi="Times New Roman" w:cs="Times New Roman"/>
          <w:bCs/>
          <w:color w:val="000000"/>
        </w:rPr>
        <w:t>.</w:t>
      </w:r>
    </w:p>
    <w:p w14:paraId="516A765C" w14:textId="77777777" w:rsidR="00690175" w:rsidRDefault="00690175" w:rsidP="00690175">
      <w:pPr>
        <w:spacing w:after="0"/>
        <w:jc w:val="both"/>
        <w:rPr>
          <w:rFonts w:ascii="Times New Roman" w:eastAsia="Calibri" w:hAnsi="Times New Roman" w:cs="Times New Roman"/>
          <w:b/>
          <w:bCs/>
          <w:color w:val="000000"/>
        </w:rPr>
      </w:pPr>
    </w:p>
    <w:p w14:paraId="7C4B8694" w14:textId="77777777" w:rsidR="00D051F6" w:rsidRPr="00D051F6" w:rsidRDefault="00D051F6" w:rsidP="00690175">
      <w:pPr>
        <w:spacing w:after="0"/>
        <w:jc w:val="both"/>
        <w:rPr>
          <w:rFonts w:ascii="Times New Roman" w:eastAsia="Calibri" w:hAnsi="Times New Roman" w:cs="Times New Roman"/>
          <w:bCs/>
          <w:color w:val="000000"/>
        </w:rPr>
      </w:pPr>
      <w:r w:rsidRPr="00D051F6">
        <w:rPr>
          <w:rFonts w:ascii="Times New Roman" w:eastAsia="Calibri" w:hAnsi="Times New Roman" w:cs="Times New Roman"/>
          <w:b/>
          <w:bCs/>
          <w:color w:val="000000"/>
        </w:rPr>
        <w:t>VÝPOČET PRE BOD 2: Individuálny predaj noriem</w:t>
      </w:r>
    </w:p>
    <w:p w14:paraId="7876CFD4" w14:textId="77777777" w:rsidR="00690175" w:rsidRDefault="00690175" w:rsidP="00690175">
      <w:pPr>
        <w:spacing w:after="0"/>
        <w:jc w:val="both"/>
        <w:rPr>
          <w:rFonts w:ascii="Times New Roman" w:eastAsia="Calibri" w:hAnsi="Times New Roman" w:cs="Times New Roman"/>
          <w:b/>
          <w:bCs/>
          <w:color w:val="000000"/>
        </w:rPr>
      </w:pPr>
    </w:p>
    <w:p w14:paraId="010FDFCC" w14:textId="77777777" w:rsidR="00D051F6" w:rsidRPr="00D051F6" w:rsidRDefault="00D051F6" w:rsidP="00690175">
      <w:pPr>
        <w:spacing w:after="0"/>
        <w:jc w:val="both"/>
        <w:rPr>
          <w:rFonts w:ascii="Times New Roman" w:eastAsia="Calibri" w:hAnsi="Times New Roman" w:cs="Times New Roman"/>
          <w:bCs/>
          <w:color w:val="000000"/>
        </w:rPr>
      </w:pPr>
      <w:r w:rsidRPr="00D051F6">
        <w:rPr>
          <w:rFonts w:ascii="Times New Roman" w:eastAsia="Calibri" w:hAnsi="Times New Roman" w:cs="Times New Roman"/>
          <w:b/>
          <w:bCs/>
          <w:color w:val="000000"/>
        </w:rPr>
        <w:t>Vstupná početnosť:</w:t>
      </w:r>
      <w:r w:rsidRPr="00D051F6">
        <w:rPr>
          <w:rFonts w:ascii="Times New Roman" w:eastAsia="Calibri" w:hAnsi="Times New Roman" w:cs="Times New Roman"/>
          <w:bCs/>
          <w:color w:val="000000"/>
        </w:rPr>
        <w:t xml:space="preserve"> Distribučný kanál individuálneho (kusového) predaja technických noriem využíva v priemere </w:t>
      </w:r>
      <w:r w:rsidRPr="00D051F6">
        <w:rPr>
          <w:rFonts w:ascii="Times New Roman" w:eastAsia="Calibri" w:hAnsi="Times New Roman" w:cs="Times New Roman"/>
          <w:b/>
          <w:bCs/>
          <w:color w:val="000000"/>
        </w:rPr>
        <w:t>2 000 odberateľov ročne</w:t>
      </w:r>
      <w:r w:rsidRPr="00D051F6">
        <w:rPr>
          <w:rFonts w:ascii="Times New Roman" w:eastAsia="Calibri" w:hAnsi="Times New Roman" w:cs="Times New Roman"/>
          <w:bCs/>
          <w:color w:val="000000"/>
        </w:rPr>
        <w:t xml:space="preserve">. Vzhľadom na anonymnú povahu priameho nákupu bol uplatnený kvalifikovaný odborný odhad, ktorý stanovil podiel firiem a živnostníkov na </w:t>
      </w:r>
      <w:r w:rsidRPr="00D051F6">
        <w:rPr>
          <w:rFonts w:ascii="Times New Roman" w:eastAsia="Calibri" w:hAnsi="Times New Roman" w:cs="Times New Roman"/>
          <w:b/>
          <w:bCs/>
          <w:color w:val="000000"/>
        </w:rPr>
        <w:t>85 %</w:t>
      </w:r>
      <w:r w:rsidRPr="00D051F6">
        <w:rPr>
          <w:rFonts w:ascii="Times New Roman" w:eastAsia="Calibri" w:hAnsi="Times New Roman" w:cs="Times New Roman"/>
          <w:bCs/>
          <w:color w:val="000000"/>
        </w:rPr>
        <w:t xml:space="preserve">. Výsledná početnosť pre podnikateľské prostredie je </w:t>
      </w:r>
      <w:r w:rsidRPr="00D051F6">
        <w:rPr>
          <w:rFonts w:ascii="Times New Roman" w:eastAsia="Calibri" w:hAnsi="Times New Roman" w:cs="Times New Roman"/>
          <w:b/>
          <w:bCs/>
          <w:color w:val="000000"/>
        </w:rPr>
        <w:t>1 700 subjektov</w:t>
      </w:r>
      <w:r w:rsidRPr="00D051F6">
        <w:rPr>
          <w:rFonts w:ascii="Times New Roman" w:eastAsia="Calibri" w:hAnsi="Times New Roman" w:cs="Times New Roman"/>
          <w:bCs/>
          <w:color w:val="000000"/>
        </w:rPr>
        <w:t>.</w:t>
      </w:r>
    </w:p>
    <w:p w14:paraId="59093840" w14:textId="77777777" w:rsidR="00690175" w:rsidRDefault="00690175" w:rsidP="00690175">
      <w:pPr>
        <w:spacing w:after="0"/>
        <w:jc w:val="both"/>
        <w:rPr>
          <w:rFonts w:ascii="Times New Roman" w:eastAsia="Calibri" w:hAnsi="Times New Roman" w:cs="Times New Roman"/>
          <w:b/>
          <w:bCs/>
          <w:color w:val="000000"/>
        </w:rPr>
      </w:pPr>
    </w:p>
    <w:p w14:paraId="51BFD05C" w14:textId="77777777" w:rsidR="00D051F6" w:rsidRPr="00D051F6" w:rsidRDefault="00D051F6" w:rsidP="00690175">
      <w:pPr>
        <w:spacing w:after="0"/>
        <w:jc w:val="both"/>
        <w:rPr>
          <w:rFonts w:ascii="Times New Roman" w:eastAsia="Calibri" w:hAnsi="Times New Roman" w:cs="Times New Roman"/>
          <w:bCs/>
          <w:color w:val="000000"/>
        </w:rPr>
      </w:pPr>
      <w:r w:rsidRPr="00D051F6">
        <w:rPr>
          <w:rFonts w:ascii="Times New Roman" w:eastAsia="Calibri" w:hAnsi="Times New Roman" w:cs="Times New Roman"/>
          <w:b/>
          <w:bCs/>
          <w:color w:val="000000"/>
        </w:rPr>
        <w:t>Vstupný finančný objem:</w:t>
      </w:r>
      <w:r w:rsidRPr="00D051F6">
        <w:rPr>
          <w:rFonts w:ascii="Times New Roman" w:eastAsia="Calibri" w:hAnsi="Times New Roman" w:cs="Times New Roman"/>
          <w:bCs/>
          <w:color w:val="000000"/>
        </w:rPr>
        <w:t xml:space="preserve"> Celkový priemerný ročný príjem z individuálneho predaja predstavuje približne 300 000 eur. Po očistení o 15 % nepodnikateľov tvorí relevantný príjem výhradne od firiem sumu </w:t>
      </w:r>
      <w:r w:rsidRPr="00D051F6">
        <w:rPr>
          <w:rFonts w:ascii="Times New Roman" w:eastAsia="Calibri" w:hAnsi="Times New Roman" w:cs="Times New Roman"/>
          <w:b/>
          <w:bCs/>
          <w:color w:val="000000"/>
        </w:rPr>
        <w:t>255 000 eur</w:t>
      </w:r>
      <w:r w:rsidRPr="00D051F6">
        <w:rPr>
          <w:rFonts w:ascii="Times New Roman" w:eastAsia="Calibri" w:hAnsi="Times New Roman" w:cs="Times New Roman"/>
          <w:bCs/>
          <w:color w:val="000000"/>
        </w:rPr>
        <w:t xml:space="preserve"> ročne (300</w:t>
      </w:r>
      <w:r w:rsidR="00BC7BA0" w:rsidRPr="00CF0FA3">
        <w:rPr>
          <w:rFonts w:ascii="Times New Roman" w:eastAsia="Calibri" w:hAnsi="Times New Roman" w:cs="Times New Roman"/>
          <w:bCs/>
          <w:color w:val="000000"/>
        </w:rPr>
        <w:t> </w:t>
      </w:r>
      <w:r w:rsidRPr="00D051F6">
        <w:rPr>
          <w:rFonts w:ascii="Times New Roman" w:eastAsia="Calibri" w:hAnsi="Times New Roman" w:cs="Times New Roman"/>
          <w:bCs/>
          <w:color w:val="000000"/>
        </w:rPr>
        <w:t>000</w:t>
      </w:r>
      <w:r w:rsidR="00BC7BA0" w:rsidRPr="00CF0FA3">
        <w:rPr>
          <w:rFonts w:ascii="Times New Roman" w:eastAsia="Calibri" w:hAnsi="Times New Roman" w:cs="Times New Roman"/>
          <w:bCs/>
          <w:color w:val="000000"/>
        </w:rPr>
        <w:t xml:space="preserve"> </w:t>
      </w:r>
      <w:r w:rsidR="00BC7BA0" w:rsidRPr="00CF0FA3">
        <w:rPr>
          <w:rFonts w:ascii="Times New Roman" w:eastAsia="Calibri" w:hAnsi="Times New Roman" w:cs="Times New Roman"/>
          <w:bCs/>
          <w:color w:val="000000"/>
        </w:rPr>
        <w:sym w:font="Symbol" w:char="F0B4"/>
      </w:r>
      <w:r w:rsidRPr="00D051F6">
        <w:rPr>
          <w:rFonts w:ascii="Times New Roman" w:eastAsia="Calibri" w:hAnsi="Times New Roman" w:cs="Times New Roman"/>
          <w:bCs/>
          <w:color w:val="000000"/>
        </w:rPr>
        <w:t xml:space="preserve"> </w:t>
      </w:r>
      <w:r w:rsidR="00BC7BA0" w:rsidRPr="00CF0FA3">
        <w:rPr>
          <w:rFonts w:ascii="Times New Roman" w:eastAsia="Calibri" w:hAnsi="Times New Roman" w:cs="Times New Roman"/>
          <w:bCs/>
          <w:color w:val="000000"/>
        </w:rPr>
        <w:t>0,</w:t>
      </w:r>
      <w:r w:rsidRPr="00D051F6">
        <w:rPr>
          <w:rFonts w:ascii="Times New Roman" w:eastAsia="Calibri" w:hAnsi="Times New Roman" w:cs="Times New Roman"/>
          <w:bCs/>
          <w:color w:val="000000"/>
        </w:rPr>
        <w:t>85).</w:t>
      </w:r>
    </w:p>
    <w:p w14:paraId="46A927F2" w14:textId="77777777" w:rsidR="00690175" w:rsidRDefault="00690175" w:rsidP="00690175">
      <w:pPr>
        <w:spacing w:after="0"/>
        <w:rPr>
          <w:rFonts w:ascii="Times New Roman" w:eastAsia="Calibri" w:hAnsi="Times New Roman" w:cs="Times New Roman"/>
          <w:b/>
          <w:bCs/>
          <w:color w:val="000000"/>
        </w:rPr>
      </w:pPr>
    </w:p>
    <w:p w14:paraId="626E568A" w14:textId="77777777" w:rsidR="00CC0A63" w:rsidRDefault="00D051F6" w:rsidP="00CC0A63">
      <w:pPr>
        <w:spacing w:after="0"/>
        <w:jc w:val="both"/>
        <w:rPr>
          <w:rFonts w:ascii="Times New Roman" w:eastAsia="Calibri" w:hAnsi="Times New Roman" w:cs="Times New Roman"/>
          <w:bCs/>
          <w:color w:val="000000"/>
        </w:rPr>
      </w:pPr>
      <w:r w:rsidRPr="00D051F6">
        <w:rPr>
          <w:rFonts w:ascii="Times New Roman" w:eastAsia="Calibri" w:hAnsi="Times New Roman" w:cs="Times New Roman"/>
          <w:b/>
          <w:bCs/>
          <w:color w:val="000000"/>
        </w:rPr>
        <w:t>Matematický výpočet ročného vplyvu (IN):</w:t>
      </w:r>
      <w:r w:rsidRPr="00D051F6">
        <w:rPr>
          <w:rFonts w:ascii="Times New Roman" w:eastAsia="Calibri" w:hAnsi="Times New Roman" w:cs="Times New Roman"/>
          <w:bCs/>
          <w:color w:val="000000"/>
        </w:rPr>
        <w:t xml:space="preserve"> Finančný dopad plošného 20 % zvýšenia sadzieb sa vypočítal ako:</w:t>
      </w:r>
    </w:p>
    <w:p w14:paraId="3DFACDFD" w14:textId="77777777" w:rsidR="00D051F6" w:rsidRPr="00D051F6" w:rsidRDefault="00D051F6" w:rsidP="00CC0A63">
      <w:pPr>
        <w:spacing w:after="0"/>
        <w:jc w:val="both"/>
        <w:rPr>
          <w:rFonts w:ascii="Times New Roman" w:eastAsia="Calibri" w:hAnsi="Times New Roman" w:cs="Times New Roman"/>
          <w:bCs/>
          <w:color w:val="000000"/>
        </w:rPr>
      </w:pPr>
      <w:r w:rsidRPr="00D051F6">
        <w:rPr>
          <w:rFonts w:ascii="Times New Roman" w:eastAsia="Calibri" w:hAnsi="Times New Roman" w:cs="Times New Roman"/>
          <w:bCs/>
          <w:color w:val="000000"/>
        </w:rPr>
        <w:t>255</w:t>
      </w:r>
      <w:r w:rsidR="00BC7BA0" w:rsidRPr="00CF0FA3">
        <w:rPr>
          <w:rFonts w:ascii="Times New Roman" w:eastAsia="Calibri" w:hAnsi="Times New Roman" w:cs="Times New Roman"/>
          <w:bCs/>
          <w:color w:val="000000"/>
        </w:rPr>
        <w:t> </w:t>
      </w:r>
      <w:r w:rsidRPr="00D051F6">
        <w:rPr>
          <w:rFonts w:ascii="Times New Roman" w:eastAsia="Calibri" w:hAnsi="Times New Roman" w:cs="Times New Roman"/>
          <w:bCs/>
          <w:color w:val="000000"/>
        </w:rPr>
        <w:t>000</w:t>
      </w:r>
      <w:r w:rsidR="00BC7BA0" w:rsidRPr="00CF0FA3">
        <w:rPr>
          <w:rFonts w:ascii="Times New Roman" w:eastAsia="Calibri" w:hAnsi="Times New Roman" w:cs="Times New Roman"/>
          <w:bCs/>
          <w:color w:val="000000"/>
        </w:rPr>
        <w:t xml:space="preserve"> </w:t>
      </w:r>
      <w:r w:rsidR="00BC7BA0" w:rsidRPr="00CF0FA3">
        <w:rPr>
          <w:rFonts w:ascii="Times New Roman" w:eastAsia="Calibri" w:hAnsi="Times New Roman" w:cs="Times New Roman"/>
          <w:bCs/>
          <w:color w:val="000000"/>
        </w:rPr>
        <w:sym w:font="Symbol" w:char="F0B4"/>
      </w:r>
      <w:r w:rsidR="00BC7BA0" w:rsidRPr="00CF0FA3">
        <w:rPr>
          <w:rFonts w:ascii="Times New Roman" w:eastAsia="Calibri" w:hAnsi="Times New Roman" w:cs="Times New Roman"/>
          <w:bCs/>
          <w:color w:val="000000"/>
        </w:rPr>
        <w:t xml:space="preserve"> </w:t>
      </w:r>
      <w:r w:rsidRPr="00D051F6">
        <w:rPr>
          <w:rFonts w:ascii="Times New Roman" w:eastAsia="Calibri" w:hAnsi="Times New Roman" w:cs="Times New Roman"/>
          <w:bCs/>
          <w:color w:val="000000"/>
        </w:rPr>
        <w:t>0,20</w:t>
      </w:r>
      <w:r w:rsidR="00BC7BA0" w:rsidRPr="00CF0FA3">
        <w:rPr>
          <w:rFonts w:ascii="Times New Roman" w:eastAsia="Calibri" w:hAnsi="Times New Roman" w:cs="Times New Roman"/>
          <w:bCs/>
          <w:color w:val="000000"/>
        </w:rPr>
        <w:t xml:space="preserve"> </w:t>
      </w:r>
      <w:r w:rsidRPr="00D051F6">
        <w:rPr>
          <w:rFonts w:ascii="Times New Roman" w:eastAsia="Calibri" w:hAnsi="Times New Roman" w:cs="Times New Roman"/>
          <w:bCs/>
          <w:color w:val="000000"/>
        </w:rPr>
        <w:t>=</w:t>
      </w:r>
      <w:r w:rsidR="00BC7BA0" w:rsidRPr="00CF0FA3">
        <w:rPr>
          <w:rFonts w:ascii="Times New Roman" w:eastAsia="Calibri" w:hAnsi="Times New Roman" w:cs="Times New Roman"/>
          <w:bCs/>
          <w:color w:val="000000"/>
        </w:rPr>
        <w:t xml:space="preserve"> </w:t>
      </w:r>
      <w:r w:rsidRPr="00D051F6">
        <w:rPr>
          <w:rFonts w:ascii="Times New Roman" w:eastAsia="Calibri" w:hAnsi="Times New Roman" w:cs="Times New Roman"/>
          <w:bCs/>
          <w:color w:val="000000"/>
        </w:rPr>
        <w:t>51 000,00</w:t>
      </w:r>
      <w:r w:rsidR="00BC7BA0" w:rsidRPr="00CF0FA3">
        <w:rPr>
          <w:rFonts w:ascii="Times New Roman" w:eastAsia="Calibri" w:hAnsi="Times New Roman" w:cs="Times New Roman"/>
          <w:bCs/>
          <w:color w:val="000000"/>
        </w:rPr>
        <w:t xml:space="preserve"> </w:t>
      </w:r>
      <w:r w:rsidRPr="00D051F6">
        <w:rPr>
          <w:rFonts w:ascii="Times New Roman" w:eastAsia="Calibri" w:hAnsi="Times New Roman" w:cs="Times New Roman"/>
          <w:bCs/>
          <w:color w:val="000000"/>
        </w:rPr>
        <w:t>eu</w:t>
      </w:r>
      <w:r w:rsidR="00667FA6" w:rsidRPr="00CF0FA3">
        <w:rPr>
          <w:rFonts w:ascii="Times New Roman" w:eastAsia="Calibri" w:hAnsi="Times New Roman" w:cs="Times New Roman"/>
          <w:bCs/>
          <w:color w:val="000000"/>
        </w:rPr>
        <w:t>r</w:t>
      </w:r>
    </w:p>
    <w:p w14:paraId="59BD454A" w14:textId="77777777" w:rsidR="00690175" w:rsidRDefault="00690175" w:rsidP="00690175">
      <w:pPr>
        <w:spacing w:after="0"/>
        <w:jc w:val="both"/>
        <w:rPr>
          <w:rFonts w:ascii="Times New Roman" w:eastAsia="Calibri" w:hAnsi="Times New Roman" w:cs="Times New Roman"/>
          <w:b/>
          <w:bCs/>
          <w:color w:val="000000"/>
        </w:rPr>
      </w:pPr>
    </w:p>
    <w:p w14:paraId="4D1814AE" w14:textId="77777777" w:rsidR="00690175" w:rsidRDefault="00D051F6" w:rsidP="00690175">
      <w:pPr>
        <w:spacing w:after="0"/>
        <w:jc w:val="both"/>
        <w:rPr>
          <w:rFonts w:ascii="Times New Roman" w:eastAsia="Calibri" w:hAnsi="Times New Roman" w:cs="Times New Roman"/>
          <w:bCs/>
          <w:color w:val="000000"/>
        </w:rPr>
      </w:pPr>
      <w:r w:rsidRPr="00D051F6">
        <w:rPr>
          <w:rFonts w:ascii="Times New Roman" w:eastAsia="Calibri" w:hAnsi="Times New Roman" w:cs="Times New Roman"/>
          <w:b/>
          <w:bCs/>
          <w:color w:val="000000"/>
        </w:rPr>
        <w:t>Jednotková cena regulácie do kalkulačky (Príloha č. 3b):</w:t>
      </w:r>
      <w:r w:rsidRPr="00D051F6">
        <w:rPr>
          <w:rFonts w:ascii="Times New Roman" w:eastAsia="Calibri" w:hAnsi="Times New Roman" w:cs="Times New Roman"/>
          <w:bCs/>
          <w:color w:val="000000"/>
        </w:rPr>
        <w:t xml:space="preserve"> Celkový ročný nárast rozpočítaný na počet dotknutých odhadovaných firiem pri ročnej frekvencii (1-krát ročne):</w:t>
      </w:r>
    </w:p>
    <w:p w14:paraId="2FDE2729" w14:textId="77777777" w:rsidR="00D051F6" w:rsidRPr="00D051F6" w:rsidRDefault="00D051F6" w:rsidP="00690175">
      <w:pPr>
        <w:spacing w:after="0"/>
        <w:jc w:val="both"/>
        <w:rPr>
          <w:rFonts w:ascii="Times New Roman" w:eastAsia="Calibri" w:hAnsi="Times New Roman" w:cs="Times New Roman"/>
          <w:bCs/>
          <w:color w:val="000000"/>
        </w:rPr>
      </w:pPr>
      <w:r w:rsidRPr="00D051F6">
        <w:rPr>
          <w:rFonts w:ascii="Times New Roman" w:eastAsia="Calibri" w:hAnsi="Times New Roman" w:cs="Times New Roman"/>
          <w:bCs/>
          <w:color w:val="000000"/>
        </w:rPr>
        <w:t>51</w:t>
      </w:r>
      <w:r w:rsidR="00BC7BA0" w:rsidRPr="00CF0FA3">
        <w:rPr>
          <w:rFonts w:ascii="Times New Roman" w:eastAsia="Calibri" w:hAnsi="Times New Roman" w:cs="Times New Roman"/>
          <w:bCs/>
          <w:color w:val="000000"/>
        </w:rPr>
        <w:t> </w:t>
      </w:r>
      <w:r w:rsidRPr="00D051F6">
        <w:rPr>
          <w:rFonts w:ascii="Times New Roman" w:eastAsia="Calibri" w:hAnsi="Times New Roman" w:cs="Times New Roman"/>
          <w:bCs/>
          <w:color w:val="000000"/>
        </w:rPr>
        <w:t>000</w:t>
      </w:r>
      <w:r w:rsidR="00BC7BA0" w:rsidRPr="00CF0FA3">
        <w:rPr>
          <w:rFonts w:ascii="Times New Roman" w:eastAsia="Calibri" w:hAnsi="Times New Roman" w:cs="Times New Roman"/>
          <w:bCs/>
          <w:color w:val="000000"/>
        </w:rPr>
        <w:t xml:space="preserve"> /</w:t>
      </w:r>
      <w:r w:rsidRPr="00D051F6">
        <w:rPr>
          <w:rFonts w:ascii="Times New Roman" w:eastAsia="Calibri" w:hAnsi="Times New Roman" w:cs="Times New Roman"/>
          <w:bCs/>
          <w:color w:val="000000"/>
        </w:rPr>
        <w:t xml:space="preserve"> 1 700 = 30</w:t>
      </w:r>
      <w:r w:rsidR="00BC7BA0" w:rsidRPr="00CF0FA3">
        <w:rPr>
          <w:rFonts w:ascii="Times New Roman" w:eastAsia="Calibri" w:hAnsi="Times New Roman" w:cs="Times New Roman"/>
          <w:bCs/>
          <w:color w:val="000000"/>
        </w:rPr>
        <w:t xml:space="preserve"> eur</w:t>
      </w:r>
      <w:r w:rsidR="00667FA6" w:rsidRPr="00D051F6">
        <w:rPr>
          <w:rFonts w:ascii="Times New Roman" w:eastAsia="Calibri" w:hAnsi="Times New Roman" w:cs="Times New Roman"/>
          <w:bCs/>
          <w:color w:val="000000"/>
        </w:rPr>
        <w:t>/subjekt</w:t>
      </w:r>
      <w:r w:rsidR="00667FA6" w:rsidRPr="00CF0FA3">
        <w:rPr>
          <w:rFonts w:ascii="Times New Roman" w:eastAsia="Calibri" w:hAnsi="Times New Roman" w:cs="Times New Roman"/>
          <w:bCs/>
          <w:color w:val="000000"/>
        </w:rPr>
        <w:t>/</w:t>
      </w:r>
      <w:r w:rsidR="00667FA6" w:rsidRPr="00D051F6">
        <w:rPr>
          <w:rFonts w:ascii="Times New Roman" w:eastAsia="Calibri" w:hAnsi="Times New Roman" w:cs="Times New Roman"/>
          <w:bCs/>
          <w:color w:val="000000"/>
        </w:rPr>
        <w:t>ročn</w:t>
      </w:r>
      <w:r w:rsidR="00667FA6" w:rsidRPr="00CF0FA3">
        <w:rPr>
          <w:rFonts w:ascii="Times New Roman" w:eastAsia="Calibri" w:hAnsi="Times New Roman" w:cs="Times New Roman"/>
          <w:bCs/>
          <w:color w:val="000000"/>
        </w:rPr>
        <w:t>e</w:t>
      </w:r>
    </w:p>
    <w:p w14:paraId="78912276" w14:textId="77777777" w:rsidR="00690175" w:rsidRDefault="00690175" w:rsidP="00690175">
      <w:pPr>
        <w:spacing w:after="0"/>
        <w:jc w:val="both"/>
        <w:rPr>
          <w:rFonts w:ascii="Times New Roman" w:eastAsia="Calibri" w:hAnsi="Times New Roman" w:cs="Times New Roman"/>
          <w:b/>
          <w:bCs/>
          <w:color w:val="000000"/>
        </w:rPr>
      </w:pPr>
    </w:p>
    <w:p w14:paraId="72E40F83" w14:textId="77777777" w:rsidR="00D051F6" w:rsidRPr="00D051F6" w:rsidRDefault="00D051F6" w:rsidP="00690175">
      <w:pPr>
        <w:spacing w:after="0"/>
        <w:jc w:val="both"/>
        <w:rPr>
          <w:rFonts w:ascii="Times New Roman" w:eastAsia="Calibri" w:hAnsi="Times New Roman" w:cs="Times New Roman"/>
          <w:bCs/>
          <w:color w:val="000000"/>
        </w:rPr>
      </w:pPr>
      <w:r w:rsidRPr="00D051F6">
        <w:rPr>
          <w:rFonts w:ascii="Times New Roman" w:eastAsia="Calibri" w:hAnsi="Times New Roman" w:cs="Times New Roman"/>
          <w:b/>
          <w:bCs/>
          <w:color w:val="000000"/>
        </w:rPr>
        <w:t>C</w:t>
      </w:r>
      <w:r w:rsidR="00690175">
        <w:rPr>
          <w:rFonts w:ascii="Times New Roman" w:eastAsia="Calibri" w:hAnsi="Times New Roman" w:cs="Times New Roman"/>
          <w:b/>
          <w:bCs/>
          <w:color w:val="000000"/>
        </w:rPr>
        <w:t>elkový vplyv na PP:</w:t>
      </w:r>
    </w:p>
    <w:p w14:paraId="3233FE2A" w14:textId="77777777" w:rsidR="00690175" w:rsidRDefault="00690175" w:rsidP="00690175">
      <w:pPr>
        <w:spacing w:after="0"/>
        <w:jc w:val="both"/>
        <w:rPr>
          <w:rFonts w:ascii="Times New Roman" w:eastAsia="Calibri" w:hAnsi="Times New Roman" w:cs="Times New Roman"/>
          <w:b/>
          <w:bCs/>
          <w:color w:val="000000"/>
        </w:rPr>
      </w:pPr>
    </w:p>
    <w:p w14:paraId="0FAA688D" w14:textId="77777777" w:rsidR="00D051F6" w:rsidRPr="00D051F6" w:rsidRDefault="00D051F6" w:rsidP="00690175">
      <w:pPr>
        <w:spacing w:after="0"/>
        <w:jc w:val="both"/>
        <w:rPr>
          <w:rFonts w:ascii="Times New Roman" w:eastAsia="Calibri" w:hAnsi="Times New Roman" w:cs="Times New Roman"/>
          <w:bCs/>
          <w:color w:val="000000"/>
        </w:rPr>
      </w:pPr>
      <w:r w:rsidRPr="00D051F6">
        <w:rPr>
          <w:rFonts w:ascii="Times New Roman" w:eastAsia="Calibri" w:hAnsi="Times New Roman" w:cs="Times New Roman"/>
          <w:b/>
          <w:bCs/>
          <w:color w:val="000000"/>
        </w:rPr>
        <w:t>Celková početnosť dotknutých podnikov:</w:t>
      </w:r>
      <w:r w:rsidRPr="00D051F6">
        <w:rPr>
          <w:rFonts w:ascii="Times New Roman" w:eastAsia="Calibri" w:hAnsi="Times New Roman" w:cs="Times New Roman"/>
          <w:bCs/>
          <w:color w:val="000000"/>
        </w:rPr>
        <w:t xml:space="preserve"> 5</w:t>
      </w:r>
      <w:r w:rsidR="00667FA6" w:rsidRPr="00CF0FA3">
        <w:rPr>
          <w:rFonts w:ascii="Times New Roman" w:eastAsia="Calibri" w:hAnsi="Times New Roman" w:cs="Times New Roman"/>
          <w:bCs/>
          <w:color w:val="000000"/>
        </w:rPr>
        <w:t>5</w:t>
      </w:r>
      <w:r w:rsidRPr="00D051F6">
        <w:rPr>
          <w:rFonts w:ascii="Times New Roman" w:eastAsia="Calibri" w:hAnsi="Times New Roman" w:cs="Times New Roman"/>
          <w:bCs/>
          <w:color w:val="000000"/>
        </w:rPr>
        <w:t xml:space="preserve"> firiem (STN-online) + 1 700 firiem (Individuálny predaj) = </w:t>
      </w:r>
      <w:r w:rsidRPr="00D051F6">
        <w:rPr>
          <w:rFonts w:ascii="Times New Roman" w:eastAsia="Calibri" w:hAnsi="Times New Roman" w:cs="Times New Roman"/>
          <w:b/>
          <w:bCs/>
          <w:color w:val="000000"/>
        </w:rPr>
        <w:t>1 75</w:t>
      </w:r>
      <w:r w:rsidR="00667FA6" w:rsidRPr="00CF0FA3">
        <w:rPr>
          <w:rFonts w:ascii="Times New Roman" w:eastAsia="Calibri" w:hAnsi="Times New Roman" w:cs="Times New Roman"/>
          <w:b/>
          <w:bCs/>
          <w:color w:val="000000"/>
        </w:rPr>
        <w:t>5</w:t>
      </w:r>
      <w:r w:rsidRPr="00D051F6">
        <w:rPr>
          <w:rFonts w:ascii="Times New Roman" w:eastAsia="Calibri" w:hAnsi="Times New Roman" w:cs="Times New Roman"/>
          <w:b/>
          <w:bCs/>
          <w:color w:val="000000"/>
        </w:rPr>
        <w:t xml:space="preserve"> podnikateľských subjektov</w:t>
      </w:r>
      <w:r w:rsidRPr="00D051F6">
        <w:rPr>
          <w:rFonts w:ascii="Times New Roman" w:eastAsia="Calibri" w:hAnsi="Times New Roman" w:cs="Times New Roman"/>
          <w:bCs/>
          <w:color w:val="000000"/>
        </w:rPr>
        <w:t>.</w:t>
      </w:r>
    </w:p>
    <w:p w14:paraId="1779B427" w14:textId="77777777" w:rsidR="00690175" w:rsidRDefault="00690175" w:rsidP="00690175">
      <w:pPr>
        <w:spacing w:after="0"/>
        <w:jc w:val="both"/>
        <w:rPr>
          <w:rFonts w:ascii="Times New Roman" w:eastAsia="Calibri" w:hAnsi="Times New Roman" w:cs="Times New Roman"/>
          <w:b/>
          <w:bCs/>
          <w:color w:val="000000"/>
        </w:rPr>
      </w:pPr>
    </w:p>
    <w:p w14:paraId="33010839" w14:textId="77777777" w:rsidR="00D051F6" w:rsidRPr="00D051F6" w:rsidRDefault="00D051F6" w:rsidP="00690175">
      <w:pPr>
        <w:spacing w:after="0"/>
        <w:jc w:val="both"/>
        <w:rPr>
          <w:rFonts w:ascii="Times New Roman" w:eastAsia="Calibri" w:hAnsi="Times New Roman" w:cs="Times New Roman"/>
          <w:bCs/>
          <w:color w:val="000000"/>
        </w:rPr>
      </w:pPr>
      <w:r w:rsidRPr="00D051F6">
        <w:rPr>
          <w:rFonts w:ascii="Times New Roman" w:eastAsia="Calibri" w:hAnsi="Times New Roman" w:cs="Times New Roman"/>
          <w:b/>
          <w:bCs/>
          <w:color w:val="000000"/>
        </w:rPr>
        <w:t>Celkový ročný finančný dopad regulácie (IN):</w:t>
      </w:r>
      <w:r w:rsidRPr="00D051F6">
        <w:rPr>
          <w:rFonts w:ascii="Times New Roman" w:eastAsia="Calibri" w:hAnsi="Times New Roman" w:cs="Times New Roman"/>
          <w:bCs/>
          <w:color w:val="000000"/>
        </w:rPr>
        <w:t xml:space="preserve"> 80 551 eur + 51 000,00 eur = </w:t>
      </w:r>
      <w:r w:rsidRPr="00D051F6">
        <w:rPr>
          <w:rFonts w:ascii="Times New Roman" w:eastAsia="Calibri" w:hAnsi="Times New Roman" w:cs="Times New Roman"/>
          <w:b/>
          <w:bCs/>
          <w:color w:val="000000"/>
        </w:rPr>
        <w:t>131 551 eur</w:t>
      </w:r>
      <w:r w:rsidR="00690175">
        <w:rPr>
          <w:rFonts w:ascii="Times New Roman" w:eastAsia="Calibri" w:hAnsi="Times New Roman" w:cs="Times New Roman"/>
          <w:bCs/>
          <w:color w:val="000000"/>
        </w:rPr>
        <w:t>.</w:t>
      </w:r>
    </w:p>
    <w:p w14:paraId="49A53432" w14:textId="77777777" w:rsidR="00690175" w:rsidRDefault="00690175" w:rsidP="00690175">
      <w:pPr>
        <w:spacing w:after="0"/>
        <w:jc w:val="both"/>
        <w:rPr>
          <w:rFonts w:ascii="Times New Roman" w:eastAsia="Calibri" w:hAnsi="Times New Roman" w:cs="Times New Roman"/>
          <w:b/>
          <w:bCs/>
          <w:color w:val="000000"/>
        </w:rPr>
      </w:pPr>
    </w:p>
    <w:p w14:paraId="61D0328F" w14:textId="77777777" w:rsidR="00D051F6" w:rsidRDefault="00D051F6" w:rsidP="00690175">
      <w:pPr>
        <w:spacing w:after="0"/>
        <w:jc w:val="both"/>
        <w:rPr>
          <w:rFonts w:ascii="Times New Roman" w:eastAsia="Calibri" w:hAnsi="Times New Roman" w:cs="Times New Roman"/>
          <w:bCs/>
          <w:color w:val="000000"/>
        </w:rPr>
      </w:pPr>
      <w:r w:rsidRPr="00D051F6">
        <w:rPr>
          <w:rFonts w:ascii="Times New Roman" w:eastAsia="Calibri" w:hAnsi="Times New Roman" w:cs="Times New Roman"/>
          <w:b/>
          <w:bCs/>
          <w:color w:val="000000"/>
        </w:rPr>
        <w:t>Vyhodnotenie iných typov nákladov:</w:t>
      </w:r>
      <w:r w:rsidRPr="00D051F6">
        <w:rPr>
          <w:rFonts w:ascii="Times New Roman" w:eastAsia="Calibri" w:hAnsi="Times New Roman" w:cs="Times New Roman"/>
          <w:bCs/>
          <w:color w:val="000000"/>
        </w:rPr>
        <w:t xml:space="preserve"> Ostatné typy nákladov (A. Dane a odvody, C. Sankcie, D. Nepriame finančné náklady, E. Administratívne náklady) sú v oboch prípadoch </w:t>
      </w:r>
      <w:r w:rsidRPr="00D051F6">
        <w:rPr>
          <w:rFonts w:ascii="Times New Roman" w:eastAsia="Calibri" w:hAnsi="Times New Roman" w:cs="Times New Roman"/>
          <w:b/>
          <w:bCs/>
          <w:color w:val="000000"/>
        </w:rPr>
        <w:t>nulové (0</w:t>
      </w:r>
      <w:r w:rsidR="00CF0FA3">
        <w:rPr>
          <w:rFonts w:ascii="Times New Roman" w:eastAsia="Calibri" w:hAnsi="Times New Roman" w:cs="Times New Roman"/>
          <w:b/>
          <w:bCs/>
          <w:color w:val="000000"/>
        </w:rPr>
        <w:t> </w:t>
      </w:r>
      <w:r w:rsidRPr="00D051F6">
        <w:rPr>
          <w:rFonts w:ascii="Times New Roman" w:eastAsia="Calibri" w:hAnsi="Times New Roman" w:cs="Times New Roman"/>
          <w:b/>
          <w:bCs/>
          <w:color w:val="000000"/>
        </w:rPr>
        <w:t>eur)</w:t>
      </w:r>
      <w:r w:rsidRPr="00D051F6">
        <w:rPr>
          <w:rFonts w:ascii="Times New Roman" w:eastAsia="Calibri" w:hAnsi="Times New Roman" w:cs="Times New Roman"/>
          <w:bCs/>
          <w:color w:val="000000"/>
        </w:rPr>
        <w:t>, nakoľko vyhláška upravuje výlučne predajný cenník a nezavádza žiadne byrokratické povinnosti</w:t>
      </w:r>
      <w:r w:rsidR="0059239E">
        <w:rPr>
          <w:rFonts w:ascii="Times New Roman" w:eastAsia="Calibri" w:hAnsi="Times New Roman" w:cs="Times New Roman"/>
          <w:bCs/>
          <w:color w:val="000000"/>
        </w:rPr>
        <w:t>.</w:t>
      </w:r>
    </w:p>
    <w:p w14:paraId="0B309455" w14:textId="77777777" w:rsidR="00FF0F6A" w:rsidRDefault="00FF0F6A" w:rsidP="00FF0F6A">
      <w:pPr>
        <w:spacing w:after="0"/>
        <w:jc w:val="both"/>
        <w:rPr>
          <w:rFonts w:ascii="Times New Roman" w:eastAsia="Calibri" w:hAnsi="Times New Roman" w:cs="Times New Roman"/>
          <w:bCs/>
          <w:color w:val="000000"/>
        </w:rPr>
      </w:pPr>
      <w:r w:rsidRPr="00FF0F6A">
        <w:rPr>
          <w:rFonts w:ascii="Times New Roman" w:eastAsia="Calibri" w:hAnsi="Times New Roman" w:cs="Times New Roman"/>
          <w:bCs/>
          <w:color w:val="000000"/>
        </w:rPr>
        <w:lastRenderedPageBreak/>
        <w:t>Celkový vplyv vstupujúci do mechanizmu 1in2out predstavuje IN vo výške 131 551,</w:t>
      </w:r>
      <w:r>
        <w:rPr>
          <w:rFonts w:ascii="Times New Roman" w:eastAsia="Calibri" w:hAnsi="Times New Roman" w:cs="Times New Roman"/>
          <w:bCs/>
          <w:color w:val="000000"/>
        </w:rPr>
        <w:t>0</w:t>
      </w:r>
      <w:r w:rsidRPr="00FF0F6A">
        <w:rPr>
          <w:rFonts w:ascii="Times New Roman" w:eastAsia="Calibri" w:hAnsi="Times New Roman" w:cs="Times New Roman"/>
          <w:bCs/>
          <w:color w:val="000000"/>
        </w:rPr>
        <w:t>0 eur ročne. OUT opatrenie v rámci predkladaného návrhu vyhlášky nebolo identifikované.</w:t>
      </w:r>
    </w:p>
    <w:p w14:paraId="61B7486F" w14:textId="77777777" w:rsidR="00FF0F6A" w:rsidRPr="00FF0F6A" w:rsidRDefault="00FF0F6A" w:rsidP="00FF0F6A">
      <w:pPr>
        <w:spacing w:after="0"/>
        <w:jc w:val="both"/>
        <w:rPr>
          <w:rFonts w:ascii="Times New Roman" w:eastAsia="Calibri" w:hAnsi="Times New Roman" w:cs="Times New Roman"/>
          <w:bCs/>
          <w:color w:val="000000"/>
        </w:rPr>
      </w:pPr>
    </w:p>
    <w:p w14:paraId="4F62B612" w14:textId="77777777" w:rsidR="00FF0F6A" w:rsidRDefault="00FF0F6A" w:rsidP="00FF0F6A">
      <w:pPr>
        <w:spacing w:after="0"/>
        <w:jc w:val="both"/>
        <w:rPr>
          <w:rFonts w:ascii="Times New Roman" w:eastAsia="Calibri" w:hAnsi="Times New Roman" w:cs="Times New Roman"/>
          <w:bCs/>
          <w:color w:val="000000"/>
        </w:rPr>
      </w:pPr>
      <w:r w:rsidRPr="00FF0F6A">
        <w:rPr>
          <w:rFonts w:ascii="Times New Roman" w:eastAsia="Calibri" w:hAnsi="Times New Roman" w:cs="Times New Roman"/>
          <w:bCs/>
          <w:color w:val="000000"/>
        </w:rPr>
        <w:t>Predkladateľ uvádza, že Úrad pre normalizáciu, metrológiu a skúšobníctvo Slovenskej republiky ku dňu predloženia materiálu neidentifikoval ani iný pripravovaný právny predpis vo svojej vecnej pôsobnosti, ktorým by bolo možné kompenzovať zvýšenie nákladov podnikateľského prostredia v požadovanom rozsahu podľa mechanizmu znižovania byrokracie a nákladov.</w:t>
      </w:r>
    </w:p>
    <w:p w14:paraId="18EFB206" w14:textId="77777777" w:rsidR="00FF0F6A" w:rsidRPr="00FF0F6A" w:rsidRDefault="00FF0F6A" w:rsidP="00FF0F6A">
      <w:pPr>
        <w:spacing w:after="0"/>
        <w:jc w:val="both"/>
        <w:rPr>
          <w:rFonts w:ascii="Times New Roman" w:eastAsia="Calibri" w:hAnsi="Times New Roman" w:cs="Times New Roman"/>
          <w:bCs/>
          <w:color w:val="000000"/>
        </w:rPr>
      </w:pPr>
    </w:p>
    <w:p w14:paraId="3E8D4FB8" w14:textId="77777777" w:rsidR="00FF0F6A" w:rsidRPr="00FF0F6A" w:rsidRDefault="00FF0F6A" w:rsidP="00FF0F6A">
      <w:pPr>
        <w:spacing w:after="0"/>
        <w:jc w:val="both"/>
        <w:rPr>
          <w:rFonts w:ascii="Times New Roman" w:eastAsia="Calibri" w:hAnsi="Times New Roman" w:cs="Times New Roman"/>
          <w:bCs/>
          <w:color w:val="000000"/>
        </w:rPr>
      </w:pPr>
      <w:r w:rsidRPr="00FF0F6A">
        <w:rPr>
          <w:rFonts w:ascii="Times New Roman" w:eastAsia="Calibri" w:hAnsi="Times New Roman" w:cs="Times New Roman"/>
          <w:bCs/>
          <w:color w:val="000000"/>
        </w:rPr>
        <w:t>Napriek uvedenému je návrh vyhlášky predkladaný z dôvodu potreby aktualizácie výšky úhrad za poskytovanie STN a TNI, keďže výšky úhrad neboli upravované 11 rokov a v uvedenom období došlo k nárastu nákladov súvisiacich s poskytovaním technických noriem a služby STN-online vrátane nákladov súvisiacich s licenčnými a ďalšími platbami voči medzinárodným a európskym normalizačným organizáciám, najmä ISO a IEC.</w:t>
      </w:r>
    </w:p>
    <w:p w14:paraId="4E3820E2" w14:textId="77777777" w:rsidR="0059239E" w:rsidRDefault="0059239E" w:rsidP="00690175">
      <w:pPr>
        <w:spacing w:after="0"/>
        <w:jc w:val="both"/>
        <w:rPr>
          <w:rFonts w:ascii="Times New Roman" w:eastAsia="Calibri" w:hAnsi="Times New Roman" w:cs="Times New Roman"/>
          <w:bCs/>
          <w:color w:val="000000"/>
        </w:rPr>
      </w:pPr>
    </w:p>
    <w:p w14:paraId="5A524C2D"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22413E87" w14:textId="77777777" w:rsidR="00690175" w:rsidRPr="00690175" w:rsidRDefault="00690175" w:rsidP="00690175">
      <w:pPr>
        <w:spacing w:after="0"/>
        <w:jc w:val="both"/>
        <w:rPr>
          <w:rFonts w:ascii="Times New Roman" w:eastAsia="Calibri" w:hAnsi="Times New Roman" w:cs="Times New Roman"/>
          <w:iCs/>
        </w:rPr>
      </w:pPr>
      <w:proofErr w:type="spellStart"/>
      <w:r w:rsidRPr="00690175">
        <w:rPr>
          <w:rFonts w:ascii="Times New Roman" w:eastAsia="Calibri" w:hAnsi="Times New Roman" w:cs="Times New Roman"/>
          <w:iCs/>
        </w:rPr>
        <w:t>Goldplating</w:t>
      </w:r>
      <w:proofErr w:type="spellEnd"/>
      <w:r w:rsidRPr="00690175">
        <w:rPr>
          <w:rFonts w:ascii="Times New Roman" w:eastAsia="Calibri" w:hAnsi="Times New Roman" w:cs="Times New Roman"/>
          <w:iCs/>
        </w:rPr>
        <w:t xml:space="preserve"> nebol identifikovaný. Návrh vyhlášky nie je transpozičným ani implementačným opatrením práva Európskej únie a navrhovaná úprava má pôvod vo vnútroštátnej právnej úprave.</w:t>
      </w:r>
    </w:p>
    <w:p w14:paraId="3C089543" w14:textId="77777777" w:rsidR="00272F6F" w:rsidRPr="000419C8" w:rsidRDefault="00272F6F" w:rsidP="00272F6F">
      <w:pPr>
        <w:jc w:val="both"/>
        <w:rPr>
          <w:rFonts w:ascii="Times New Roman" w:eastAsia="Calibri" w:hAnsi="Times New Roman" w:cs="Times New Roman"/>
          <w:bCs/>
          <w:color w:val="000000"/>
        </w:rPr>
      </w:pPr>
    </w:p>
    <w:p w14:paraId="30530B79" w14:textId="77777777" w:rsidR="00054C41" w:rsidRPr="001F1B43" w:rsidRDefault="00054C41" w:rsidP="00CC0A63">
      <w:pPr>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w:t>
      </w:r>
      <w:r w:rsidR="00CC0A63">
        <w:rPr>
          <w:rFonts w:ascii="Times New Roman" w:eastAsia="Calibri" w:hAnsi="Times New Roman" w:cs="Times New Roman"/>
          <w:b/>
          <w:sz w:val="24"/>
          <w:szCs w:val="24"/>
        </w:rPr>
        <w:t xml:space="preserve"> </w:t>
      </w:r>
      <w:r w:rsidRPr="001F1B43">
        <w:rPr>
          <w:rFonts w:ascii="Times New Roman" w:eastAsia="Calibri" w:hAnsi="Times New Roman" w:cs="Times New Roman"/>
          <w:b/>
          <w:sz w:val="24"/>
          <w:szCs w:val="24"/>
        </w:rPr>
        <w:t>podnikateľskými subjektmi pred predbežným pripomienkovým konaním</w:t>
      </w:r>
    </w:p>
    <w:p w14:paraId="7CEBFC84" w14:textId="77777777" w:rsidR="007D199F" w:rsidRDefault="007D199F" w:rsidP="001F1CCB">
      <w:pPr>
        <w:spacing w:after="0"/>
        <w:jc w:val="both"/>
        <w:rPr>
          <w:rFonts w:ascii="Times New Roman" w:eastAsia="Calibri" w:hAnsi="Times New Roman" w:cs="Times New Roman"/>
          <w:iCs/>
        </w:rPr>
      </w:pPr>
      <w:r w:rsidRPr="007D199F">
        <w:rPr>
          <w:rFonts w:ascii="Times New Roman" w:eastAsia="Calibri" w:hAnsi="Times New Roman" w:cs="Times New Roman"/>
          <w:iCs/>
        </w:rPr>
        <w:t>Oznámenie o začatí konzultácií s podnikateľskými subjektmi bolo predkladateľom zaslané Ministerstvu hospodárstva Slovenskej republiky na zverejnenie. Oznámenie bolo zároveň zverejnené aj na webovom sídle Úradu pre normalizáciu, metrológiu a skúšobníctvo Slovenskej republiky. Konzultácie prebiehali v období od 1. 6. 2026 do 29. 6. 2026. Počas konzultácií nebol predkladateľ kontaktovaný žiadnym podnikateľským subjektom a neboli predložené alternatívne návrhy ani návrhy opatrení na zníženie nákladov regulácie na podnikateľské prostredie.</w:t>
      </w:r>
    </w:p>
    <w:p w14:paraId="044352D0" w14:textId="77777777" w:rsidR="007D199F" w:rsidRDefault="007D199F" w:rsidP="001F1CCB">
      <w:pPr>
        <w:spacing w:after="0"/>
        <w:jc w:val="both"/>
        <w:rPr>
          <w:rFonts w:ascii="Times New Roman" w:eastAsia="Calibri" w:hAnsi="Times New Roman" w:cs="Times New Roman"/>
          <w:iCs/>
        </w:rPr>
      </w:pPr>
    </w:p>
    <w:p w14:paraId="25CC969C" w14:textId="77777777" w:rsidR="007D199F" w:rsidRDefault="007D199F" w:rsidP="001F1CCB">
      <w:pPr>
        <w:spacing w:after="0"/>
        <w:jc w:val="both"/>
        <w:rPr>
          <w:rFonts w:ascii="Times New Roman" w:eastAsia="Calibri" w:hAnsi="Times New Roman" w:cs="Times New Roman"/>
          <w:iCs/>
        </w:rPr>
      </w:pPr>
      <w:r>
        <w:rPr>
          <w:rFonts w:ascii="Times New Roman" w:eastAsia="Calibri" w:hAnsi="Times New Roman" w:cs="Times New Roman"/>
          <w:iCs/>
        </w:rPr>
        <w:t>Linky:</w:t>
      </w:r>
    </w:p>
    <w:p w14:paraId="34BA961F" w14:textId="77777777" w:rsidR="007D199F" w:rsidRDefault="007D199F" w:rsidP="001F1CCB">
      <w:pPr>
        <w:spacing w:after="0"/>
        <w:jc w:val="both"/>
        <w:rPr>
          <w:rFonts w:ascii="Times New Roman" w:eastAsia="Calibri" w:hAnsi="Times New Roman" w:cs="Times New Roman"/>
          <w:iCs/>
        </w:rPr>
      </w:pPr>
      <w:hyperlink r:id="rId12" w:history="1">
        <w:r w:rsidRPr="0033612D">
          <w:rPr>
            <w:rStyle w:val="Hypertextovprepojenie"/>
            <w:rFonts w:ascii="Times New Roman" w:eastAsia="Calibri" w:hAnsi="Times New Roman" w:cs="Times New Roman"/>
            <w:iCs/>
          </w:rPr>
          <w:t>https://www.economy.gov.sk/podnikatelske-prostredie/jednotna-metodika/posudzovanie-vplyvov-pre-predkladatelov/konzultacie-1?csrt=7036868647093458762</w:t>
        </w:r>
      </w:hyperlink>
    </w:p>
    <w:p w14:paraId="751DE69F" w14:textId="77777777" w:rsidR="007D199F" w:rsidRDefault="007D199F" w:rsidP="001F1CCB">
      <w:pPr>
        <w:spacing w:after="0"/>
        <w:jc w:val="both"/>
        <w:rPr>
          <w:rFonts w:ascii="Times New Roman" w:eastAsia="Calibri" w:hAnsi="Times New Roman" w:cs="Times New Roman"/>
          <w:iCs/>
        </w:rPr>
      </w:pPr>
      <w:hyperlink r:id="rId13" w:history="1">
        <w:r w:rsidRPr="0033612D">
          <w:rPr>
            <w:rStyle w:val="Hypertextovprepojenie"/>
            <w:rFonts w:ascii="Times New Roman" w:eastAsia="Calibri" w:hAnsi="Times New Roman" w:cs="Times New Roman"/>
            <w:iCs/>
          </w:rPr>
          <w:t>https://www.normoff.gov.sk/aktuality/1463/unms-sr-pristupuje-k-navrhu-zmeny-vyhlasky-c-76-2019-z-z/</w:t>
        </w:r>
      </w:hyperlink>
    </w:p>
    <w:p w14:paraId="172546EB" w14:textId="77777777" w:rsidR="00054C41" w:rsidRPr="00D8247C" w:rsidRDefault="00054C41" w:rsidP="00054C41">
      <w:pPr>
        <w:spacing w:after="0"/>
        <w:jc w:val="both"/>
        <w:rPr>
          <w:rFonts w:ascii="Times New Roman" w:eastAsia="Calibri" w:hAnsi="Times New Roman" w:cs="Times New Roman"/>
          <w:i/>
          <w:sz w:val="24"/>
          <w:szCs w:val="24"/>
        </w:rPr>
      </w:pPr>
    </w:p>
    <w:p w14:paraId="0C1E613E" w14:textId="77777777" w:rsidR="00054C41" w:rsidRPr="001F1B43" w:rsidRDefault="00054C41" w:rsidP="00054C41">
      <w:pPr>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p>
    <w:bookmarkEnd w:id="0"/>
    <w:p w14:paraId="04854006" w14:textId="49E32004" w:rsidR="003B70E4" w:rsidRPr="003B70E4" w:rsidRDefault="003B70E4" w:rsidP="003B70E4">
      <w:pPr>
        <w:spacing w:after="0"/>
        <w:jc w:val="both"/>
        <w:rPr>
          <w:rFonts w:ascii="Times New Roman" w:eastAsia="Calibri" w:hAnsi="Times New Roman" w:cs="Times New Roman"/>
          <w:bCs/>
          <w:iCs/>
        </w:rPr>
      </w:pPr>
      <w:r w:rsidRPr="003B70E4">
        <w:rPr>
          <w:rFonts w:ascii="Times New Roman" w:eastAsia="Calibri" w:hAnsi="Times New Roman" w:cs="Times New Roman"/>
          <w:bCs/>
          <w:iCs/>
          <w:sz w:val="24"/>
          <w:szCs w:val="24"/>
        </w:rPr>
        <w:t>Návrh nepredstavuje reguláciu vstupu na trh, nezavádza licenčné alebo registračné p</w:t>
      </w:r>
      <w:r w:rsidRPr="003B70E4">
        <w:rPr>
          <w:rFonts w:ascii="Times New Roman" w:eastAsia="Calibri" w:hAnsi="Times New Roman" w:cs="Times New Roman"/>
          <w:bCs/>
          <w:iCs/>
        </w:rPr>
        <w:t>odmienky a nemení podmienky výkonu podnikania vo vecnom rozsahu podnikateľskej činnosti. Vplyv na podnikateľské prostredie má najmä finančný charakter prostredníctvom úhrad za technické normy a</w:t>
      </w:r>
      <w:r w:rsidR="00AF2A58">
        <w:rPr>
          <w:rFonts w:ascii="Times New Roman" w:eastAsia="Calibri" w:hAnsi="Times New Roman" w:cs="Times New Roman"/>
          <w:bCs/>
          <w:iCs/>
        </w:rPr>
        <w:t> </w:t>
      </w:r>
      <w:r w:rsidRPr="003B70E4">
        <w:rPr>
          <w:rFonts w:ascii="Times New Roman" w:eastAsia="Calibri" w:hAnsi="Times New Roman" w:cs="Times New Roman"/>
          <w:bCs/>
          <w:iCs/>
        </w:rPr>
        <w:t>súvisiace služby. Zvýšenie jednotkových cien môže zvýšiť náklady subjektov, ktoré technické normy kupujú individuálne alebo využívajú STN-online. Súčasne zavedenie zvýhodneného prístupu ku všetkým STN a TNI prostredníctvom služby STN-online môže znížiť náklady subjektom, ktoré potrebujú širší rozsah technických noriem.</w:t>
      </w:r>
    </w:p>
    <w:p w14:paraId="06F5D803" w14:textId="01FADF29" w:rsidR="003B70E4" w:rsidRPr="003B70E4" w:rsidRDefault="003B70E4" w:rsidP="003B70E4">
      <w:pPr>
        <w:spacing w:after="0"/>
        <w:jc w:val="both"/>
        <w:rPr>
          <w:rFonts w:ascii="Times New Roman" w:eastAsia="Calibri" w:hAnsi="Times New Roman" w:cs="Times New Roman"/>
          <w:bCs/>
          <w:iCs/>
        </w:rPr>
      </w:pPr>
      <w:r w:rsidRPr="003B70E4">
        <w:rPr>
          <w:rFonts w:ascii="Times New Roman" w:eastAsia="Calibri" w:hAnsi="Times New Roman" w:cs="Times New Roman"/>
          <w:bCs/>
          <w:iCs/>
        </w:rPr>
        <w:lastRenderedPageBreak/>
        <w:t>S niektorými skupinami subjektov sa zaobchádza rozdielne, najmä v prípade študentov, pedagogických zamestnancov, malých a stredných podnikov, komôr a združení. Rozdielne zaobchádzanie vyplýva z</w:t>
      </w:r>
      <w:r w:rsidR="00AF2A58">
        <w:rPr>
          <w:rFonts w:ascii="Times New Roman" w:eastAsia="Calibri" w:hAnsi="Times New Roman" w:cs="Times New Roman"/>
          <w:bCs/>
          <w:iCs/>
        </w:rPr>
        <w:t> </w:t>
      </w:r>
      <w:r w:rsidRPr="003B70E4">
        <w:rPr>
          <w:rFonts w:ascii="Times New Roman" w:eastAsia="Calibri" w:hAnsi="Times New Roman" w:cs="Times New Roman"/>
          <w:bCs/>
          <w:iCs/>
        </w:rPr>
        <w:t>cieľa zabezpečiť primeranú dostupnosť technických noriem a zachovať zvýhodnené režimy pre osobitné skupiny používateľov.</w:t>
      </w:r>
    </w:p>
    <w:p w14:paraId="206C968D" w14:textId="77777777" w:rsidR="003B70E4" w:rsidRDefault="003B70E4" w:rsidP="003B70E4">
      <w:pPr>
        <w:spacing w:after="0"/>
        <w:jc w:val="both"/>
        <w:rPr>
          <w:rFonts w:ascii="Times New Roman" w:eastAsia="Calibri" w:hAnsi="Times New Roman" w:cs="Times New Roman"/>
          <w:bCs/>
          <w:iCs/>
        </w:rPr>
      </w:pPr>
    </w:p>
    <w:p w14:paraId="00D86031" w14:textId="77777777" w:rsidR="003B70E4" w:rsidRPr="003B70E4" w:rsidRDefault="003B70E4" w:rsidP="003B70E4">
      <w:pPr>
        <w:spacing w:after="0"/>
        <w:jc w:val="both"/>
        <w:rPr>
          <w:rFonts w:ascii="Times New Roman" w:eastAsia="Calibri" w:hAnsi="Times New Roman" w:cs="Times New Roman"/>
          <w:bCs/>
          <w:iCs/>
        </w:rPr>
      </w:pPr>
      <w:r w:rsidRPr="003B70E4">
        <w:rPr>
          <w:rFonts w:ascii="Times New Roman" w:eastAsia="Calibri" w:hAnsi="Times New Roman" w:cs="Times New Roman"/>
          <w:bCs/>
          <w:iCs/>
        </w:rPr>
        <w:t>Návrh neovplyvňuje cezhraničné investície, dostupnosť základných zdrojov, pracovnej sily, surovín, energií ani mechanizmov. Vplyv na inovácie, vedu a výskum sa môže prejaviť nepriamo pozitívne prostredníctvom dostupnejšieho prístupu k technickým normám pre akademickú obec a používateľov služby STN-online, tento vplyv sa však samostatne nekvantifikuje.</w:t>
      </w:r>
    </w:p>
    <w:p w14:paraId="07EED76D" w14:textId="77777777" w:rsidR="003B70E4" w:rsidRDefault="003B70E4" w:rsidP="003B70E4">
      <w:pPr>
        <w:spacing w:after="0"/>
        <w:jc w:val="both"/>
        <w:rPr>
          <w:rFonts w:ascii="Times New Roman" w:eastAsia="Calibri" w:hAnsi="Times New Roman" w:cs="Times New Roman"/>
          <w:bCs/>
          <w:iCs/>
        </w:rPr>
      </w:pPr>
    </w:p>
    <w:p w14:paraId="70CB16BC" w14:textId="77777777" w:rsidR="003B70E4" w:rsidRDefault="003B70E4" w:rsidP="003B70E4">
      <w:pPr>
        <w:spacing w:after="0"/>
        <w:jc w:val="both"/>
        <w:rPr>
          <w:rFonts w:ascii="Times New Roman" w:eastAsia="Calibri" w:hAnsi="Times New Roman" w:cs="Times New Roman"/>
          <w:bCs/>
          <w:iCs/>
        </w:rPr>
      </w:pPr>
      <w:r w:rsidRPr="003B70E4">
        <w:rPr>
          <w:rFonts w:ascii="Times New Roman" w:eastAsia="Calibri" w:hAnsi="Times New Roman" w:cs="Times New Roman"/>
          <w:b/>
          <w:iCs/>
        </w:rPr>
        <w:t>Konkurencieschopnosť</w:t>
      </w:r>
      <w:r w:rsidRPr="003B70E4">
        <w:rPr>
          <w:rFonts w:ascii="Times New Roman" w:eastAsia="Calibri" w:hAnsi="Times New Roman" w:cs="Times New Roman"/>
          <w:bCs/>
          <w:iCs/>
        </w:rPr>
        <w:t>: materiál ju ako celok zásadne nemení; pri vybraných odberateľoch môže mať mierne negatívny nákladový vplyv, ktorý je vyvažovaný zvýhodnenými režimami prístupu.</w:t>
      </w:r>
    </w:p>
    <w:p w14:paraId="3A342119" w14:textId="77777777" w:rsidR="003B70E4" w:rsidRPr="00734AFA" w:rsidRDefault="00AF2A58" w:rsidP="003B70E4">
      <w:pPr>
        <w:spacing w:after="0"/>
        <w:jc w:val="both"/>
        <w:rPr>
          <w:rFonts w:ascii="Times New Roman" w:eastAsia="Calibri" w:hAnsi="Times New Roman" w:cs="Times New Roman"/>
          <w:iCs/>
          <w:sz w:val="24"/>
          <w:szCs w:val="24"/>
        </w:rPr>
      </w:pPr>
      <w:sdt>
        <w:sdtPr>
          <w:rPr>
            <w:rFonts w:ascii="Times New Roman" w:eastAsia="Calibri" w:hAnsi="Times New Roman" w:cs="Times New Roman"/>
            <w:iCs/>
            <w:sz w:val="24"/>
            <w:szCs w:val="24"/>
          </w:rPr>
          <w:id w:val="-392344166"/>
        </w:sdtPr>
        <w:sdtEndPr/>
        <w:sdtContent>
          <w:sdt>
            <w:sdtPr>
              <w:rPr>
                <w:rFonts w:ascii="Times New Roman" w:eastAsia="Calibri" w:hAnsi="Times New Roman" w:cs="Times New Roman"/>
                <w:iCs/>
                <w:sz w:val="24"/>
                <w:szCs w:val="24"/>
              </w:rPr>
              <w:id w:val="1800800908"/>
            </w:sdtPr>
            <w:sdtEndPr/>
            <w:sdtContent>
              <w:r w:rsidR="003B70E4" w:rsidRPr="00734AFA">
                <w:rPr>
                  <w:rFonts w:ascii="Segoe UI Symbol" w:eastAsia="Calibri" w:hAnsi="Segoe UI Symbol" w:cs="Segoe UI Symbol"/>
                  <w:iCs/>
                  <w:sz w:val="24"/>
                  <w:szCs w:val="24"/>
                </w:rPr>
                <w:t>☐</w:t>
              </w:r>
            </w:sdtContent>
          </w:sdt>
        </w:sdtContent>
      </w:sdt>
      <w:r w:rsidR="003B70E4" w:rsidRPr="00734AFA">
        <w:rPr>
          <w:rFonts w:ascii="Times New Roman" w:eastAsia="Calibri" w:hAnsi="Times New Roman" w:cs="Times New Roman"/>
          <w:iCs/>
          <w:sz w:val="24"/>
          <w:szCs w:val="24"/>
        </w:rPr>
        <w:t xml:space="preserve"> zvyšuje       </w:t>
      </w:r>
      <w:sdt>
        <w:sdtPr>
          <w:rPr>
            <w:rFonts w:ascii="Times New Roman" w:eastAsia="Calibri" w:hAnsi="Times New Roman" w:cs="Times New Roman"/>
            <w:iCs/>
            <w:sz w:val="24"/>
            <w:szCs w:val="24"/>
          </w:rPr>
          <w:id w:val="-439677949"/>
        </w:sdtPr>
        <w:sdtEndPr/>
        <w:sdtContent>
          <w:sdt>
            <w:sdtPr>
              <w:rPr>
                <w:rFonts w:ascii="Times New Roman" w:eastAsia="Calibri" w:hAnsi="Times New Roman" w:cs="Times New Roman"/>
                <w:iCs/>
                <w:sz w:val="24"/>
                <w:szCs w:val="24"/>
              </w:rPr>
              <w:id w:val="171076298"/>
              <w:showingPlcHdr/>
            </w:sdtPr>
            <w:sdtEndPr/>
            <w:sdtContent>
              <w:r w:rsidR="003B70E4" w:rsidRPr="00734AFA">
                <w:rPr>
                  <w:rFonts w:ascii="Times New Roman" w:eastAsia="Calibri" w:hAnsi="Times New Roman" w:cs="Times New Roman"/>
                  <w:iCs/>
                  <w:sz w:val="24"/>
                  <w:szCs w:val="24"/>
                </w:rPr>
                <w:t xml:space="preserve">     </w:t>
              </w:r>
            </w:sdtContent>
          </w:sdt>
        </w:sdtContent>
      </w:sdt>
      <w:r w:rsidR="003B70E4" w:rsidRPr="00734AFA">
        <w:rPr>
          <w:rFonts w:ascii="Times New Roman" w:eastAsia="Calibri" w:hAnsi="Times New Roman" w:cs="Times New Roman"/>
          <w:iCs/>
          <w:sz w:val="24"/>
          <w:szCs w:val="24"/>
        </w:rPr>
        <w:t xml:space="preserve"> </w:t>
      </w:r>
      <w:sdt>
        <w:sdtPr>
          <w:rPr>
            <w:rFonts w:ascii="Times New Roman" w:eastAsia="Times New Roman" w:hAnsi="Times New Roman" w:cs="Times New Roman"/>
            <w:b/>
            <w:iCs/>
            <w:sz w:val="20"/>
            <w:szCs w:val="20"/>
            <w:lang w:eastAsia="sk-SK"/>
          </w:rPr>
          <w:id w:val="795882074"/>
          <w14:checkbox>
            <w14:checked w14:val="1"/>
            <w14:checkedState w14:val="2612" w14:font="MS Gothic"/>
            <w14:uncheckedState w14:val="2610" w14:font="MS Gothic"/>
          </w14:checkbox>
        </w:sdtPr>
        <w:sdtEndPr/>
        <w:sdtContent>
          <w:r w:rsidR="003B70E4">
            <w:rPr>
              <w:rFonts w:ascii="MS Gothic" w:eastAsia="MS Gothic" w:hAnsi="MS Gothic" w:cs="Times New Roman" w:hint="eastAsia"/>
              <w:b/>
              <w:iCs/>
              <w:sz w:val="20"/>
              <w:szCs w:val="20"/>
              <w:lang w:eastAsia="sk-SK"/>
            </w:rPr>
            <w:t>☒</w:t>
          </w:r>
        </w:sdtContent>
      </w:sdt>
      <w:r w:rsidR="003B70E4" w:rsidRPr="00734AFA">
        <w:rPr>
          <w:rFonts w:ascii="Times New Roman" w:eastAsia="Times New Roman" w:hAnsi="Times New Roman" w:cs="Times New Roman"/>
          <w:b/>
          <w:iCs/>
          <w:sz w:val="20"/>
          <w:szCs w:val="20"/>
          <w:lang w:eastAsia="sk-SK"/>
        </w:rPr>
        <w:t xml:space="preserve">  </w:t>
      </w:r>
      <w:r w:rsidR="003B70E4" w:rsidRPr="00734AFA">
        <w:rPr>
          <w:rFonts w:ascii="Times New Roman" w:eastAsia="Calibri" w:hAnsi="Times New Roman" w:cs="Times New Roman"/>
          <w:iCs/>
          <w:sz w:val="24"/>
          <w:szCs w:val="24"/>
        </w:rPr>
        <w:t>nemení</w:t>
      </w:r>
      <w:r w:rsidR="003B70E4" w:rsidRPr="00734AFA">
        <w:rPr>
          <w:rFonts w:ascii="Times New Roman" w:eastAsia="Calibri" w:hAnsi="Times New Roman" w:cs="Times New Roman"/>
          <w:iCs/>
          <w:sz w:val="24"/>
          <w:szCs w:val="24"/>
        </w:rPr>
        <w:tab/>
        <w:t xml:space="preserve">            </w:t>
      </w:r>
      <w:sdt>
        <w:sdtPr>
          <w:rPr>
            <w:rFonts w:ascii="Times New Roman" w:eastAsia="Calibri" w:hAnsi="Times New Roman" w:cs="Times New Roman"/>
            <w:iCs/>
            <w:sz w:val="24"/>
            <w:szCs w:val="24"/>
          </w:rPr>
          <w:id w:val="-440986643"/>
        </w:sdtPr>
        <w:sdtEndPr/>
        <w:sdtContent>
          <w:sdt>
            <w:sdtPr>
              <w:rPr>
                <w:rFonts w:ascii="Times New Roman" w:eastAsia="Calibri" w:hAnsi="Times New Roman" w:cs="Times New Roman"/>
                <w:iCs/>
                <w:sz w:val="24"/>
                <w:szCs w:val="24"/>
              </w:rPr>
              <w:id w:val="-1021932247"/>
            </w:sdtPr>
            <w:sdtEndPr/>
            <w:sdtContent>
              <w:r w:rsidR="003B70E4" w:rsidRPr="00734AFA">
                <w:rPr>
                  <w:rFonts w:ascii="Times New Roman" w:eastAsia="Calibri" w:hAnsi="Times New Roman" w:cs="Times New Roman"/>
                  <w:iCs/>
                  <w:sz w:val="24"/>
                  <w:szCs w:val="24"/>
                </w:rPr>
                <w:t xml:space="preserve"> </w:t>
              </w:r>
              <w:sdt>
                <w:sdtPr>
                  <w:rPr>
                    <w:rFonts w:ascii="Times New Roman" w:eastAsia="Calibri" w:hAnsi="Times New Roman" w:cs="Times New Roman"/>
                    <w:iCs/>
                    <w:sz w:val="24"/>
                    <w:szCs w:val="24"/>
                  </w:rPr>
                  <w:id w:val="-1249655346"/>
                  <w:showingPlcHdr/>
                </w:sdtPr>
                <w:sdtEndPr/>
                <w:sdtContent>
                  <w:r w:rsidR="003B70E4" w:rsidRPr="00734AFA">
                    <w:rPr>
                      <w:rFonts w:ascii="Times New Roman" w:eastAsia="Calibri" w:hAnsi="Times New Roman" w:cs="Times New Roman"/>
                      <w:iCs/>
                      <w:sz w:val="24"/>
                      <w:szCs w:val="24"/>
                    </w:rPr>
                    <w:t xml:space="preserve">     </w:t>
                  </w:r>
                </w:sdtContent>
              </w:sdt>
              <w:r w:rsidR="003B70E4" w:rsidRPr="00734AFA">
                <w:rPr>
                  <w:rFonts w:ascii="Times New Roman" w:eastAsia="Calibri" w:hAnsi="Times New Roman" w:cs="Times New Roman"/>
                  <w:iCs/>
                  <w:sz w:val="24"/>
                  <w:szCs w:val="24"/>
                </w:rPr>
                <w:t xml:space="preserve"> </w:t>
              </w:r>
              <w:sdt>
                <w:sdtPr>
                  <w:rPr>
                    <w:rFonts w:ascii="Times New Roman" w:eastAsia="Times New Roman" w:hAnsi="Times New Roman" w:cs="Times New Roman"/>
                    <w:b/>
                    <w:iCs/>
                    <w:sz w:val="20"/>
                    <w:szCs w:val="20"/>
                    <w:lang w:eastAsia="sk-SK"/>
                  </w:rPr>
                  <w:id w:val="-445230270"/>
                  <w14:checkbox>
                    <w14:checked w14:val="0"/>
                    <w14:checkedState w14:val="2612" w14:font="MS Gothic"/>
                    <w14:uncheckedState w14:val="2610" w14:font="MS Gothic"/>
                  </w14:checkbox>
                </w:sdtPr>
                <w:sdtEndPr/>
                <w:sdtContent>
                  <w:r w:rsidR="003B70E4">
                    <w:rPr>
                      <w:rFonts w:ascii="MS Gothic" w:eastAsia="MS Gothic" w:hAnsi="MS Gothic" w:cs="Times New Roman" w:hint="eastAsia"/>
                      <w:b/>
                      <w:iCs/>
                      <w:sz w:val="20"/>
                      <w:szCs w:val="20"/>
                      <w:lang w:eastAsia="sk-SK"/>
                    </w:rPr>
                    <w:t>☐</w:t>
                  </w:r>
                </w:sdtContent>
              </w:sdt>
            </w:sdtContent>
          </w:sdt>
        </w:sdtContent>
      </w:sdt>
      <w:r w:rsidR="003B70E4" w:rsidRPr="00734AFA">
        <w:rPr>
          <w:rFonts w:ascii="Times New Roman" w:eastAsia="Calibri" w:hAnsi="Times New Roman" w:cs="Times New Roman"/>
          <w:iCs/>
          <w:sz w:val="24"/>
          <w:szCs w:val="24"/>
        </w:rPr>
        <w:t xml:space="preserve"> znižuje</w:t>
      </w:r>
    </w:p>
    <w:p w14:paraId="7CE68270" w14:textId="77777777" w:rsidR="003B70E4" w:rsidRDefault="003B70E4" w:rsidP="003B70E4">
      <w:pPr>
        <w:spacing w:after="0"/>
        <w:jc w:val="both"/>
        <w:rPr>
          <w:rFonts w:ascii="Times New Roman" w:eastAsia="Calibri" w:hAnsi="Times New Roman" w:cs="Times New Roman"/>
          <w:bCs/>
          <w:iCs/>
        </w:rPr>
      </w:pPr>
    </w:p>
    <w:p w14:paraId="3226F208" w14:textId="77777777" w:rsidR="003B70E4" w:rsidRPr="003B70E4" w:rsidRDefault="003B70E4" w:rsidP="003B70E4">
      <w:pPr>
        <w:spacing w:after="0"/>
        <w:jc w:val="both"/>
        <w:rPr>
          <w:rFonts w:ascii="Times New Roman" w:eastAsia="Calibri" w:hAnsi="Times New Roman" w:cs="Times New Roman"/>
          <w:bCs/>
          <w:iCs/>
        </w:rPr>
      </w:pPr>
      <w:r w:rsidRPr="003B70E4">
        <w:rPr>
          <w:rFonts w:ascii="Times New Roman" w:eastAsia="Calibri" w:hAnsi="Times New Roman" w:cs="Times New Roman"/>
          <w:b/>
          <w:iCs/>
        </w:rPr>
        <w:t>Produktivita</w:t>
      </w:r>
      <w:r w:rsidRPr="003B70E4">
        <w:rPr>
          <w:rFonts w:ascii="Times New Roman" w:eastAsia="Calibri" w:hAnsi="Times New Roman" w:cs="Times New Roman"/>
          <w:bCs/>
          <w:iCs/>
        </w:rPr>
        <w:t>: materiál ju ako celok zásadne nemení; dostupnejší prístup k širšiemu súboru STN a TNI môže mať nepriamy pozitívny vplyv na efektívnosť práce subjektov využívajúcich technické normy.</w:t>
      </w:r>
    </w:p>
    <w:p w14:paraId="1B1FF3C0" w14:textId="77777777" w:rsidR="00054C41" w:rsidRPr="00734AFA" w:rsidRDefault="00AF2A58" w:rsidP="003B70E4">
      <w:pPr>
        <w:spacing w:after="0"/>
        <w:jc w:val="both"/>
        <w:rPr>
          <w:rFonts w:ascii="Times New Roman" w:eastAsia="Calibri" w:hAnsi="Times New Roman" w:cs="Times New Roman"/>
          <w:iCs/>
          <w:sz w:val="24"/>
          <w:szCs w:val="24"/>
        </w:rPr>
      </w:pPr>
      <w:sdt>
        <w:sdtPr>
          <w:rPr>
            <w:rFonts w:ascii="Times New Roman" w:eastAsia="Calibri" w:hAnsi="Times New Roman" w:cs="Times New Roman"/>
            <w:iCs/>
            <w:sz w:val="24"/>
            <w:szCs w:val="24"/>
          </w:rPr>
          <w:id w:val="798576880"/>
        </w:sdtPr>
        <w:sdtEndPr/>
        <w:sdtContent>
          <w:sdt>
            <w:sdtPr>
              <w:rPr>
                <w:rFonts w:ascii="Times New Roman" w:eastAsia="Calibri" w:hAnsi="Times New Roman" w:cs="Times New Roman"/>
                <w:iCs/>
                <w:sz w:val="24"/>
                <w:szCs w:val="24"/>
              </w:rPr>
              <w:id w:val="1729873660"/>
            </w:sdtPr>
            <w:sdtEndPr/>
            <w:sdtContent>
              <w:r w:rsidR="00054C41" w:rsidRPr="00734AFA">
                <w:rPr>
                  <w:rFonts w:ascii="Segoe UI Symbol" w:eastAsia="Calibri" w:hAnsi="Segoe UI Symbol" w:cs="Segoe UI Symbol"/>
                  <w:iCs/>
                  <w:sz w:val="24"/>
                  <w:szCs w:val="24"/>
                </w:rPr>
                <w:t>☐</w:t>
              </w:r>
            </w:sdtContent>
          </w:sdt>
        </w:sdtContent>
      </w:sdt>
      <w:r w:rsidR="00054C41" w:rsidRPr="00734AFA">
        <w:rPr>
          <w:rFonts w:ascii="Times New Roman" w:eastAsia="Calibri" w:hAnsi="Times New Roman" w:cs="Times New Roman"/>
          <w:iCs/>
          <w:sz w:val="24"/>
          <w:szCs w:val="24"/>
        </w:rPr>
        <w:t xml:space="preserve"> zvyšuje </w:t>
      </w:r>
      <w:r w:rsidR="00E75E43" w:rsidRPr="00734AFA">
        <w:rPr>
          <w:rFonts w:ascii="Times New Roman" w:eastAsia="Calibri" w:hAnsi="Times New Roman" w:cs="Times New Roman"/>
          <w:iCs/>
          <w:sz w:val="24"/>
          <w:szCs w:val="24"/>
        </w:rPr>
        <w:t xml:space="preserve">     </w:t>
      </w:r>
      <w:r w:rsidR="00054C41" w:rsidRPr="00734AFA">
        <w:rPr>
          <w:rFonts w:ascii="Times New Roman" w:eastAsia="Calibri" w:hAnsi="Times New Roman" w:cs="Times New Roman"/>
          <w:iCs/>
          <w:sz w:val="24"/>
          <w:szCs w:val="24"/>
        </w:rPr>
        <w:t xml:space="preserve"> </w:t>
      </w:r>
      <w:sdt>
        <w:sdtPr>
          <w:rPr>
            <w:rFonts w:ascii="Times New Roman" w:eastAsia="Calibri" w:hAnsi="Times New Roman" w:cs="Times New Roman"/>
            <w:iCs/>
            <w:sz w:val="24"/>
            <w:szCs w:val="24"/>
          </w:rPr>
          <w:id w:val="410579887"/>
        </w:sdtPr>
        <w:sdtEndPr/>
        <w:sdtContent>
          <w:sdt>
            <w:sdtPr>
              <w:rPr>
                <w:rFonts w:ascii="Times New Roman" w:eastAsia="Calibri" w:hAnsi="Times New Roman" w:cs="Times New Roman"/>
                <w:iCs/>
                <w:sz w:val="24"/>
                <w:szCs w:val="24"/>
              </w:rPr>
              <w:id w:val="-80300261"/>
              <w:showingPlcHdr/>
            </w:sdtPr>
            <w:sdtEndPr/>
            <w:sdtContent>
              <w:r w:rsidR="00E75E43" w:rsidRPr="00734AFA">
                <w:rPr>
                  <w:rFonts w:ascii="Times New Roman" w:eastAsia="Calibri" w:hAnsi="Times New Roman" w:cs="Times New Roman"/>
                  <w:iCs/>
                  <w:sz w:val="24"/>
                  <w:szCs w:val="24"/>
                </w:rPr>
                <w:t xml:space="preserve">     </w:t>
              </w:r>
            </w:sdtContent>
          </w:sdt>
        </w:sdtContent>
      </w:sdt>
      <w:r w:rsidR="00054C41" w:rsidRPr="00734AFA">
        <w:rPr>
          <w:rFonts w:ascii="Times New Roman" w:eastAsia="Calibri" w:hAnsi="Times New Roman" w:cs="Times New Roman"/>
          <w:iCs/>
          <w:sz w:val="24"/>
          <w:szCs w:val="24"/>
        </w:rPr>
        <w:t xml:space="preserve"> </w:t>
      </w:r>
      <w:sdt>
        <w:sdtPr>
          <w:rPr>
            <w:rFonts w:ascii="Times New Roman" w:eastAsia="Times New Roman" w:hAnsi="Times New Roman" w:cs="Times New Roman"/>
            <w:b/>
            <w:iCs/>
            <w:sz w:val="20"/>
            <w:szCs w:val="20"/>
            <w:lang w:eastAsia="sk-SK"/>
          </w:rPr>
          <w:id w:val="1697888127"/>
          <w14:checkbox>
            <w14:checked w14:val="1"/>
            <w14:checkedState w14:val="2612" w14:font="MS Gothic"/>
            <w14:uncheckedState w14:val="2610" w14:font="MS Gothic"/>
          </w14:checkbox>
        </w:sdtPr>
        <w:sdtEndPr/>
        <w:sdtContent>
          <w:r w:rsidR="003B70E4">
            <w:rPr>
              <w:rFonts w:ascii="MS Gothic" w:eastAsia="MS Gothic" w:hAnsi="MS Gothic" w:cs="Times New Roman" w:hint="eastAsia"/>
              <w:b/>
              <w:iCs/>
              <w:sz w:val="20"/>
              <w:szCs w:val="20"/>
              <w:lang w:eastAsia="sk-SK"/>
            </w:rPr>
            <w:t>☒</w:t>
          </w:r>
        </w:sdtContent>
      </w:sdt>
      <w:r w:rsidR="00E75E43" w:rsidRPr="00734AFA">
        <w:rPr>
          <w:rFonts w:ascii="Times New Roman" w:eastAsia="Times New Roman" w:hAnsi="Times New Roman" w:cs="Times New Roman"/>
          <w:b/>
          <w:iCs/>
          <w:sz w:val="20"/>
          <w:szCs w:val="20"/>
          <w:lang w:eastAsia="sk-SK"/>
        </w:rPr>
        <w:t xml:space="preserve">  </w:t>
      </w:r>
      <w:r w:rsidR="00054C41" w:rsidRPr="00734AFA">
        <w:rPr>
          <w:rFonts w:ascii="Times New Roman" w:eastAsia="Calibri" w:hAnsi="Times New Roman" w:cs="Times New Roman"/>
          <w:iCs/>
          <w:sz w:val="24"/>
          <w:szCs w:val="24"/>
        </w:rPr>
        <w:t>nemení</w:t>
      </w:r>
      <w:r w:rsidR="00054C41" w:rsidRPr="00734AFA">
        <w:rPr>
          <w:rFonts w:ascii="Times New Roman" w:eastAsia="Calibri" w:hAnsi="Times New Roman" w:cs="Times New Roman"/>
          <w:iCs/>
          <w:sz w:val="24"/>
          <w:szCs w:val="24"/>
        </w:rPr>
        <w:tab/>
      </w:r>
      <w:r w:rsidR="00E75E43" w:rsidRPr="00734AFA">
        <w:rPr>
          <w:rFonts w:ascii="Times New Roman" w:eastAsia="Calibri" w:hAnsi="Times New Roman" w:cs="Times New Roman"/>
          <w:iCs/>
          <w:sz w:val="24"/>
          <w:szCs w:val="24"/>
        </w:rPr>
        <w:t xml:space="preserve">            </w:t>
      </w:r>
      <w:sdt>
        <w:sdtPr>
          <w:rPr>
            <w:rFonts w:ascii="Times New Roman" w:eastAsia="Calibri" w:hAnsi="Times New Roman" w:cs="Times New Roman"/>
            <w:iCs/>
            <w:sz w:val="24"/>
            <w:szCs w:val="24"/>
          </w:rPr>
          <w:id w:val="-474604883"/>
        </w:sdtPr>
        <w:sdtEndPr/>
        <w:sdtContent>
          <w:sdt>
            <w:sdtPr>
              <w:rPr>
                <w:rFonts w:ascii="Times New Roman" w:eastAsia="Calibri" w:hAnsi="Times New Roman" w:cs="Times New Roman"/>
                <w:iCs/>
                <w:sz w:val="24"/>
                <w:szCs w:val="24"/>
              </w:rPr>
              <w:id w:val="-1706551548"/>
            </w:sdtPr>
            <w:sdtEndPr/>
            <w:sdtContent>
              <w:r w:rsidR="00734AFA" w:rsidRPr="00734AFA">
                <w:rPr>
                  <w:rFonts w:ascii="Times New Roman" w:eastAsia="Calibri" w:hAnsi="Times New Roman" w:cs="Times New Roman"/>
                  <w:iCs/>
                  <w:sz w:val="24"/>
                  <w:szCs w:val="24"/>
                </w:rPr>
                <w:t xml:space="preserve"> </w:t>
              </w:r>
              <w:sdt>
                <w:sdtPr>
                  <w:rPr>
                    <w:rFonts w:ascii="Times New Roman" w:eastAsia="Calibri" w:hAnsi="Times New Roman" w:cs="Times New Roman"/>
                    <w:iCs/>
                    <w:sz w:val="24"/>
                    <w:szCs w:val="24"/>
                  </w:rPr>
                  <w:id w:val="-548768103"/>
                  <w:showingPlcHdr/>
                </w:sdtPr>
                <w:sdtEndPr/>
                <w:sdtContent>
                  <w:r w:rsidR="00734AFA" w:rsidRPr="00734AFA">
                    <w:rPr>
                      <w:rFonts w:ascii="Times New Roman" w:eastAsia="Calibri" w:hAnsi="Times New Roman" w:cs="Times New Roman"/>
                      <w:iCs/>
                      <w:sz w:val="24"/>
                      <w:szCs w:val="24"/>
                    </w:rPr>
                    <w:t xml:space="preserve">     </w:t>
                  </w:r>
                </w:sdtContent>
              </w:sdt>
              <w:r w:rsidR="00734AFA" w:rsidRPr="00734AFA">
                <w:rPr>
                  <w:rFonts w:ascii="Times New Roman" w:eastAsia="Calibri" w:hAnsi="Times New Roman" w:cs="Times New Roman"/>
                  <w:iCs/>
                  <w:sz w:val="24"/>
                  <w:szCs w:val="24"/>
                </w:rPr>
                <w:t xml:space="preserve"> </w:t>
              </w:r>
              <w:sdt>
                <w:sdtPr>
                  <w:rPr>
                    <w:rFonts w:ascii="Times New Roman" w:eastAsia="Times New Roman" w:hAnsi="Times New Roman" w:cs="Times New Roman"/>
                    <w:b/>
                    <w:iCs/>
                    <w:sz w:val="20"/>
                    <w:szCs w:val="20"/>
                    <w:lang w:eastAsia="sk-SK"/>
                  </w:rPr>
                  <w:id w:val="561143532"/>
                  <w14:checkbox>
                    <w14:checked w14:val="0"/>
                    <w14:checkedState w14:val="2612" w14:font="MS Gothic"/>
                    <w14:uncheckedState w14:val="2610" w14:font="MS Gothic"/>
                  </w14:checkbox>
                </w:sdtPr>
                <w:sdtEndPr/>
                <w:sdtContent>
                  <w:r w:rsidR="003B70E4">
                    <w:rPr>
                      <w:rFonts w:ascii="MS Gothic" w:eastAsia="MS Gothic" w:hAnsi="MS Gothic" w:cs="Times New Roman" w:hint="eastAsia"/>
                      <w:b/>
                      <w:iCs/>
                      <w:sz w:val="20"/>
                      <w:szCs w:val="20"/>
                      <w:lang w:eastAsia="sk-SK"/>
                    </w:rPr>
                    <w:t>☐</w:t>
                  </w:r>
                </w:sdtContent>
              </w:sdt>
            </w:sdtContent>
          </w:sdt>
        </w:sdtContent>
      </w:sdt>
      <w:r w:rsidR="00054C41" w:rsidRPr="00734AFA">
        <w:rPr>
          <w:rFonts w:ascii="Times New Roman" w:eastAsia="Calibri" w:hAnsi="Times New Roman" w:cs="Times New Roman"/>
          <w:iCs/>
          <w:sz w:val="24"/>
          <w:szCs w:val="24"/>
        </w:rPr>
        <w:t xml:space="preserve"> znižuje</w:t>
      </w:r>
    </w:p>
    <w:p w14:paraId="33D6D43C" w14:textId="77777777" w:rsidR="00054C41" w:rsidRPr="00D8247C" w:rsidRDefault="00054C41" w:rsidP="00054C41">
      <w:pPr>
        <w:spacing w:after="0"/>
        <w:jc w:val="both"/>
        <w:rPr>
          <w:rFonts w:ascii="Times New Roman" w:eastAsia="Calibri" w:hAnsi="Times New Roman" w:cs="Times New Roman"/>
          <w:i/>
          <w:sz w:val="24"/>
          <w:szCs w:val="24"/>
        </w:rPr>
      </w:pPr>
    </w:p>
    <w:p w14:paraId="5398C036" w14:textId="77777777" w:rsidR="00E30D85" w:rsidRPr="00D8247C" w:rsidRDefault="00E30D85" w:rsidP="00054C41">
      <w:pPr>
        <w:spacing w:after="0"/>
        <w:jc w:val="both"/>
        <w:rPr>
          <w:rFonts w:ascii="Times New Roman" w:eastAsia="Calibri" w:hAnsi="Times New Roman" w:cs="Times New Roman"/>
          <w:i/>
          <w:sz w:val="24"/>
          <w:szCs w:val="24"/>
        </w:rPr>
      </w:pPr>
    </w:p>
    <w:p w14:paraId="2612BD39" w14:textId="77777777" w:rsidR="00054C41" w:rsidRPr="001F1B43" w:rsidRDefault="00054C41" w:rsidP="00054C41">
      <w:pPr>
        <w:rPr>
          <w:rFonts w:ascii="Times New Roman" w:eastAsia="Calibri" w:hAnsi="Times New Roman" w:cs="Times New Roman"/>
          <w:b/>
          <w:sz w:val="24"/>
          <w:szCs w:val="24"/>
        </w:rPr>
      </w:pPr>
      <w:r w:rsidRPr="001F1B43">
        <w:rPr>
          <w:rFonts w:ascii="Times New Roman" w:eastAsia="Calibri" w:hAnsi="Times New Roman" w:cs="Times New Roman"/>
          <w:b/>
          <w:szCs w:val="24"/>
        </w:rPr>
        <w:t xml:space="preserve">3.4  Iné vplyvy na podnikateľské prostredie </w:t>
      </w:r>
    </w:p>
    <w:p w14:paraId="37F1F2DF" w14:textId="77777777" w:rsidR="00AE754A" w:rsidRDefault="00F83E36" w:rsidP="00AF2A58">
      <w:pPr>
        <w:spacing w:after="120" w:line="240" w:lineRule="auto"/>
        <w:jc w:val="both"/>
      </w:pPr>
      <w:r>
        <w:rPr>
          <w:rFonts w:ascii="Times New Roman" w:hAnsi="Times New Roman"/>
        </w:rPr>
        <w:t>Okrem kvantifikovaných vplyvov uvedených v časti 3.1 tejto analýzy boli identifikované aj ďalšie potenciálne vplyvy na podnikateľské prostredie, ktoré súvisia s valorizačným mechanizmom a s novou možnosťou použitia pôvodnej slovenskej technickej normy alebo technickej normalizačnej informácie v softvérových riešeniach. Tieto vplyvy sú vzhľadom na ich povahu vyhodnotené kvalitatívne.</w:t>
      </w:r>
    </w:p>
    <w:p w14:paraId="57FF3392" w14:textId="77777777" w:rsidR="00AE754A" w:rsidRDefault="00F83E36" w:rsidP="00AF2A58">
      <w:pPr>
        <w:spacing w:before="120" w:after="60"/>
        <w:jc w:val="both"/>
      </w:pPr>
      <w:r>
        <w:rPr>
          <w:rFonts w:ascii="Times New Roman" w:hAnsi="Times New Roman"/>
          <w:b/>
        </w:rPr>
        <w:t>Valorizačný mechanizmus podľa § 1 ods. 8 návrhu vyhlášky</w:t>
      </w:r>
    </w:p>
    <w:p w14:paraId="746A4AB7" w14:textId="77777777" w:rsidR="00AE754A" w:rsidRDefault="00F83E36" w:rsidP="00AF2A58">
      <w:pPr>
        <w:spacing w:after="120" w:line="240" w:lineRule="auto"/>
        <w:jc w:val="both"/>
      </w:pPr>
      <w:r>
        <w:rPr>
          <w:rFonts w:ascii="Times New Roman" w:hAnsi="Times New Roman"/>
        </w:rPr>
        <w:t>Návrh vyhlášky obsahuje valorizačný mechanizmus naviazaný na vývoj indexu spotrebiteľských cien. Uvedené opatrenie predstavuje potenciálny negatívny finančný vplyv na podnikateľské subjekty, ktoré využívajú slovenské technické normy, technické normalizačné informácie alebo súvisiace služby, keďže pri splnení podmienok môže viesť k ďalšej úprave úhrad v budúcich obdobiach.</w:t>
      </w:r>
    </w:p>
    <w:p w14:paraId="2CC15727" w14:textId="77777777" w:rsidR="00AE754A" w:rsidRDefault="00F83E36" w:rsidP="00AF2A58">
      <w:pPr>
        <w:spacing w:after="120" w:line="240" w:lineRule="auto"/>
        <w:jc w:val="both"/>
      </w:pPr>
      <w:r>
        <w:rPr>
          <w:rFonts w:ascii="Times New Roman" w:hAnsi="Times New Roman"/>
        </w:rPr>
        <w:t>Konkrétny budúci vplyv valorizačného mechanizmu nie je možné v čase predloženia návrhu kvantifikovať. Nie je známa budúca hodnota indexu spotrebiteľských cien, okamih a rozsah prípadného uplatnenia valorizačného mechanizmu, ani budúca štruktúra objednávok, počet odberateľov, počet prístupov k službe STN-online a rozsah uplatňovaných zliav. Vplyv sa prejaví iba v prípade, ak budú splnené podmienky na uplatnenie mechanizmu a v rozsahu zodpovedajúcom budúcemu cenovému vývoju.</w:t>
      </w:r>
    </w:p>
    <w:p w14:paraId="103932A3" w14:textId="6ABA883F" w:rsidR="00AE754A" w:rsidRDefault="00F83E36" w:rsidP="00AF2A58">
      <w:pPr>
        <w:spacing w:after="120" w:line="240" w:lineRule="auto"/>
        <w:jc w:val="both"/>
      </w:pPr>
      <w:r>
        <w:rPr>
          <w:rFonts w:ascii="Times New Roman" w:hAnsi="Times New Roman"/>
        </w:rPr>
        <w:t>Účelom valorizačného mechanizmu je vytvoriť predvídateľný spôsob aktualizácie úhrad, ktorý umožní reagovať na vývoj cien v Slovenskej republike bez potreby častej novelizácie vyhlášky výlučne z</w:t>
      </w:r>
      <w:r w:rsidR="00AF2A58">
        <w:rPr>
          <w:rFonts w:ascii="Times New Roman" w:hAnsi="Times New Roman"/>
        </w:rPr>
        <w:t> </w:t>
      </w:r>
      <w:r>
        <w:rPr>
          <w:rFonts w:ascii="Times New Roman" w:hAnsi="Times New Roman"/>
        </w:rPr>
        <w:t>dôvodu inflačnej aktualizácie úhrad. Opatrenie má administratívne stabilizovať právnu úpravu a</w:t>
      </w:r>
      <w:r w:rsidR="00AF2A58">
        <w:rPr>
          <w:rFonts w:ascii="Times New Roman" w:hAnsi="Times New Roman"/>
        </w:rPr>
        <w:t> </w:t>
      </w:r>
      <w:r>
        <w:rPr>
          <w:rFonts w:ascii="Times New Roman" w:hAnsi="Times New Roman"/>
        </w:rPr>
        <w:t>zabezpečiť priebežné zohľadnenie objektívneho cenového vývoja. Vzhľadom na neurčitosť budúceho cenového vývoja sa tento vplyv v tejto fáze nevyčísľuje a uvádza sa ako potenciálny negatívny vplyv na podnikateľské prostredie.</w:t>
      </w:r>
    </w:p>
    <w:p w14:paraId="7D5844EB" w14:textId="77777777" w:rsidR="00AE754A" w:rsidRDefault="00F83E36" w:rsidP="00AF2A58">
      <w:pPr>
        <w:spacing w:before="120" w:after="60"/>
        <w:jc w:val="both"/>
      </w:pPr>
      <w:r>
        <w:rPr>
          <w:rFonts w:ascii="Times New Roman" w:hAnsi="Times New Roman"/>
          <w:b/>
        </w:rPr>
        <w:t>Použitie pôvodnej STN alebo TNI v softvérových riešeniach podľa § 3 ods. 5 návrhu vyhlášky</w:t>
      </w:r>
    </w:p>
    <w:p w14:paraId="3E58E3EE" w14:textId="77777777" w:rsidR="00AE754A" w:rsidRDefault="00F83E36" w:rsidP="00AF2A58">
      <w:pPr>
        <w:spacing w:after="120" w:line="240" w:lineRule="auto"/>
        <w:jc w:val="both"/>
      </w:pPr>
      <w:r>
        <w:rPr>
          <w:rFonts w:ascii="Times New Roman" w:hAnsi="Times New Roman"/>
        </w:rPr>
        <w:t xml:space="preserve">Návrh vyhlášky zavádza nový spôsob určenia úhrady za použitie pôvodnej slovenskej technickej normy alebo technickej normalizačnej informácie v softvérových riešeniach, a to vo výške 25 % z konečnej ceny produktu určeného koncovému používateľovi. Ide o novú možnosť vychádzajúcu z požiadaviek trhu a z vývoja digitalizácie, automatizovaného spracúvania údajov a používania nástrojov založených na umelej inteligencii. Predkladateľ predpokladá, že o takýto spôsob použitia technických noriem môže v budúcnosti vzniknúť záujem najmä zo strany subjektov vyvíjajúcich alebo poskytujúcich softvérové </w:t>
      </w:r>
      <w:r>
        <w:rPr>
          <w:rFonts w:ascii="Times New Roman" w:hAnsi="Times New Roman"/>
        </w:rPr>
        <w:lastRenderedPageBreak/>
        <w:t>riešenia, digitálne databázy, analytické nástroje, cloudové služby alebo iné elektronické produkty využívajúce obsah pôvodných STN alebo TNI.</w:t>
      </w:r>
    </w:p>
    <w:p w14:paraId="732D0556" w14:textId="77777777" w:rsidR="00AE754A" w:rsidRDefault="00F83E36" w:rsidP="00AF2A58">
      <w:pPr>
        <w:spacing w:after="120" w:line="240" w:lineRule="auto"/>
        <w:jc w:val="both"/>
      </w:pPr>
      <w:r>
        <w:rPr>
          <w:rFonts w:ascii="Times New Roman" w:hAnsi="Times New Roman"/>
        </w:rPr>
        <w:t>Opatrenie má dvojaký vplyv na podnikateľské prostredie. Na jednej strane vytvára novú podnikateľskú príležitosť, keďže umožňuje podnikateľským subjektom po splnení podmienok používať pôvodné STN alebo TNI pri tvorbe komerčných softvérových riešení a digitálnych produktov. Na druhej strane zavádza nový finančný náklad pre tie subjekty, ktoré sa rozhodnú túto možnosť využiť a budú pôvodnú STN alebo TNI používať v produkte určenom pre koncového používateľa.</w:t>
      </w:r>
    </w:p>
    <w:p w14:paraId="2132B951" w14:textId="40E8A3E4" w:rsidR="00AE754A" w:rsidRDefault="00F83E36" w:rsidP="00AF2A58">
      <w:pPr>
        <w:spacing w:after="120" w:line="240" w:lineRule="auto"/>
        <w:jc w:val="both"/>
      </w:pPr>
      <w:r>
        <w:rPr>
          <w:rFonts w:ascii="Times New Roman" w:hAnsi="Times New Roman"/>
        </w:rPr>
        <w:t>Vplyv nie je možné v čase predloženia návrhu kvantifikovať. Ide o novú službu použitia pôvodných STN alebo TNI v softvérových riešeniach, pri ktorom predkladateľ nedisponuje historickými údajmi o</w:t>
      </w:r>
      <w:r w:rsidR="00AF2A58">
        <w:rPr>
          <w:rFonts w:ascii="Times New Roman" w:hAnsi="Times New Roman"/>
        </w:rPr>
        <w:t> </w:t>
      </w:r>
      <w:r>
        <w:rPr>
          <w:rFonts w:ascii="Times New Roman" w:hAnsi="Times New Roman"/>
        </w:rPr>
        <w:t>počte potenciálnych žiadateľov, počte produktov, výške konečných cien produktov ani o obchodných modeloch, ktoré budú podnikatelia používať. Z uvedeného dôvodu nie je možné spoľahlivo odhadnúť počet dotknutých podnikateľských subjektov ani celkový finančný vplyv na podnikateľské prostredie.</w:t>
      </w:r>
    </w:p>
    <w:p w14:paraId="31FC22AE" w14:textId="77777777" w:rsidR="00AE754A" w:rsidRDefault="00F83E36" w:rsidP="00AF2A58">
      <w:pPr>
        <w:spacing w:after="120" w:line="240" w:lineRule="auto"/>
        <w:jc w:val="both"/>
      </w:pPr>
      <w:r>
        <w:rPr>
          <w:rFonts w:ascii="Times New Roman" w:hAnsi="Times New Roman"/>
        </w:rPr>
        <w:t>Pri jednorazovom predaji softvérového produktu alebo licencie sa úhrada bude posudzovať vo vzťahu ku konečnej cene produktu alebo licencie určenej koncovému používateľovi. Pri pravidelnom predplatnom alebo cloudových službách sa úhrada bude posudzovať vo vzťahu ku konečnej cene predplatného alebo služby účtovanej koncovému používateľovi za príslušné obdobie. Pri obchodných modeloch, ktoré kombinujú softvérový produkt s implementačnými, servisnými, konzultačnými alebo podpornými službami, bude potrebné odlíšiť cenu samotného produktu alebo tej časti plnenia, v ktorej je použitá pôvodná STN alebo TNI, od samostatne poskytovaných služieb, ak sú tieto služby v cene oddelené a preukázateľne identifikovateľné.</w:t>
      </w:r>
    </w:p>
    <w:p w14:paraId="30CB4747" w14:textId="77777777" w:rsidR="00AE754A" w:rsidRDefault="00F83E36" w:rsidP="00AF2A58">
      <w:pPr>
        <w:spacing w:after="120" w:line="240" w:lineRule="auto"/>
        <w:jc w:val="both"/>
      </w:pPr>
      <w:r>
        <w:rPr>
          <w:rFonts w:ascii="Times New Roman" w:hAnsi="Times New Roman"/>
        </w:rPr>
        <w:t>Ak nebude možné cenu produktu obsahujúceho použitie pôvodnej STN alebo TNI oddeliť od ostatných zložiek plnenia, základom pre určenie úhrady bude cena produktu alebo balíka určená koncovému používateľovi v rozsahu podľa podmienok udeleného súhlasu. Konkrétny spôsob aplikácie úhrady bude závisieť od povahy produktu, zmluvného modelu, spôsobu poskytovania služby a od rozsahu použitia pôvodnej STN alebo TNI.</w:t>
      </w:r>
    </w:p>
    <w:p w14:paraId="017A2F03" w14:textId="77777777" w:rsidR="00AE754A" w:rsidRDefault="00F83E36" w:rsidP="00AF2A58">
      <w:pPr>
        <w:spacing w:after="120" w:line="240" w:lineRule="auto"/>
        <w:jc w:val="both"/>
      </w:pPr>
      <w:r>
        <w:rPr>
          <w:rFonts w:ascii="Times New Roman" w:hAnsi="Times New Roman"/>
        </w:rPr>
        <w:t>Predkladateľ bude po nadobudnutí účinnosti právnej úpravy priebežne sledovať dopyt po tejto službe, počet žiadostí, používané obchodné modely a výšku úhrad. Získané údaje bude možné využiť pri následnom hodnotení aplikačnej praxe a pri prípadnej ďalšej úprave mechanizmu určenia úhrady.</w:t>
      </w:r>
    </w:p>
    <w:sectPr w:rsidR="00AE754A"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ABA02" w14:textId="77777777" w:rsidR="00C22584" w:rsidRDefault="00C22584" w:rsidP="00054C41">
      <w:pPr>
        <w:spacing w:after="0" w:line="240" w:lineRule="auto"/>
      </w:pPr>
      <w:r>
        <w:separator/>
      </w:r>
    </w:p>
  </w:endnote>
  <w:endnote w:type="continuationSeparator" w:id="0">
    <w:p w14:paraId="2728C08B" w14:textId="77777777" w:rsidR="00C22584" w:rsidRDefault="00C22584"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035099"/>
      <w:docPartObj>
        <w:docPartGallery w:val="Page Numbers (Bottom of Page)"/>
        <w:docPartUnique/>
      </w:docPartObj>
    </w:sdtPr>
    <w:sdtEndPr>
      <w:rPr>
        <w:rFonts w:ascii="Times New Roman" w:hAnsi="Times New Roman" w:cs="Times New Roman"/>
        <w:sz w:val="24"/>
        <w:szCs w:val="24"/>
      </w:rPr>
    </w:sdtEndPr>
    <w:sdtContent>
      <w:p w14:paraId="28723CBC" w14:textId="77777777"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8237B">
          <w:rPr>
            <w:rFonts w:ascii="Times New Roman" w:hAnsi="Times New Roman" w:cs="Times New Roman"/>
            <w:noProof/>
            <w:sz w:val="24"/>
            <w:szCs w:val="24"/>
          </w:rPr>
          <w:t>17</w:t>
        </w:r>
        <w:r w:rsidRPr="006045CB">
          <w:rPr>
            <w:rFonts w:ascii="Times New Roman" w:hAnsi="Times New Roman" w:cs="Times New Roman"/>
            <w:sz w:val="24"/>
            <w:szCs w:val="24"/>
          </w:rPr>
          <w:fldChar w:fldCharType="end"/>
        </w:r>
      </w:p>
    </w:sdtContent>
  </w:sdt>
  <w:p w14:paraId="4190CF10" w14:textId="77777777" w:rsidR="00F244DC" w:rsidRPr="00FF7125" w:rsidRDefault="00F244DC" w:rsidP="00054C41">
    <w:pPr>
      <w:pStyle w:val="Pta"/>
      <w:rPr>
        <w:sz w:val="24"/>
        <w:szCs w:val="24"/>
      </w:rPr>
    </w:pPr>
  </w:p>
  <w:p w14:paraId="6B647FB0"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3B777" w14:textId="77777777" w:rsidR="00C22584" w:rsidRDefault="00C22584" w:rsidP="00054C41">
      <w:pPr>
        <w:spacing w:after="0" w:line="240" w:lineRule="auto"/>
      </w:pPr>
      <w:r>
        <w:separator/>
      </w:r>
    </w:p>
  </w:footnote>
  <w:footnote w:type="continuationSeparator" w:id="0">
    <w:p w14:paraId="447ADCF9" w14:textId="77777777" w:rsidR="00C22584" w:rsidRDefault="00C22584" w:rsidP="00054C41">
      <w:pPr>
        <w:spacing w:after="0" w:line="240" w:lineRule="auto"/>
      </w:pPr>
      <w:r>
        <w:continuationSeparator/>
      </w:r>
    </w:p>
  </w:footnote>
  <w:footnote w:id="1">
    <w:p w14:paraId="7A397424" w14:textId="77777777"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09297C3F" w14:textId="77777777" w:rsidR="00F244DC" w:rsidRPr="00B167B6" w:rsidRDefault="00F244DC" w:rsidP="00B167B6">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ED23C"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2753EDA3"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75DE2"/>
    <w:multiLevelType w:val="multilevel"/>
    <w:tmpl w:val="F2D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2B842F3"/>
    <w:multiLevelType w:val="multilevel"/>
    <w:tmpl w:val="3DE84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1E3E7135"/>
    <w:multiLevelType w:val="multilevel"/>
    <w:tmpl w:val="BCEAC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3"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411388452">
    <w:abstractNumId w:val="3"/>
  </w:num>
  <w:num w:numId="2" w16cid:durableId="528565277">
    <w:abstractNumId w:val="12"/>
  </w:num>
  <w:num w:numId="3" w16cid:durableId="1527676872">
    <w:abstractNumId w:val="13"/>
  </w:num>
  <w:num w:numId="4" w16cid:durableId="1642418670">
    <w:abstractNumId w:val="11"/>
  </w:num>
  <w:num w:numId="5" w16cid:durableId="445196730">
    <w:abstractNumId w:val="9"/>
  </w:num>
  <w:num w:numId="6" w16cid:durableId="5898520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3828183">
    <w:abstractNumId w:val="13"/>
  </w:num>
  <w:num w:numId="8" w16cid:durableId="14342796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3885742">
    <w:abstractNumId w:val="10"/>
  </w:num>
  <w:num w:numId="10" w16cid:durableId="240332648">
    <w:abstractNumId w:val="6"/>
  </w:num>
  <w:num w:numId="11" w16cid:durableId="949970336">
    <w:abstractNumId w:val="7"/>
  </w:num>
  <w:num w:numId="12" w16cid:durableId="1711758035">
    <w:abstractNumId w:val="1"/>
  </w:num>
  <w:num w:numId="13" w16cid:durableId="685866402">
    <w:abstractNumId w:val="14"/>
  </w:num>
  <w:num w:numId="14" w16cid:durableId="33233524">
    <w:abstractNumId w:val="8"/>
  </w:num>
  <w:num w:numId="15" w16cid:durableId="1501241220">
    <w:abstractNumId w:val="5"/>
  </w:num>
  <w:num w:numId="16" w16cid:durableId="1619337537">
    <w:abstractNumId w:val="0"/>
  </w:num>
  <w:num w:numId="17" w16cid:durableId="2940258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425A"/>
    <w:rsid w:val="00024EE4"/>
    <w:rsid w:val="000419C8"/>
    <w:rsid w:val="00047C70"/>
    <w:rsid w:val="00050AAB"/>
    <w:rsid w:val="00054A53"/>
    <w:rsid w:val="00054C41"/>
    <w:rsid w:val="00060DA1"/>
    <w:rsid w:val="00061E85"/>
    <w:rsid w:val="000820E0"/>
    <w:rsid w:val="00091A43"/>
    <w:rsid w:val="0009490E"/>
    <w:rsid w:val="000A6B7F"/>
    <w:rsid w:val="000C5419"/>
    <w:rsid w:val="000C5E9A"/>
    <w:rsid w:val="000D15F0"/>
    <w:rsid w:val="000F6834"/>
    <w:rsid w:val="0011003B"/>
    <w:rsid w:val="001133DA"/>
    <w:rsid w:val="00126A2B"/>
    <w:rsid w:val="00142154"/>
    <w:rsid w:val="001476A4"/>
    <w:rsid w:val="00162C6C"/>
    <w:rsid w:val="0016512E"/>
    <w:rsid w:val="0018715C"/>
    <w:rsid w:val="00196CBE"/>
    <w:rsid w:val="001A1561"/>
    <w:rsid w:val="001B4C03"/>
    <w:rsid w:val="001C7B91"/>
    <w:rsid w:val="001D1083"/>
    <w:rsid w:val="001D3FA0"/>
    <w:rsid w:val="001E24E8"/>
    <w:rsid w:val="001E53CB"/>
    <w:rsid w:val="001F1CCB"/>
    <w:rsid w:val="00207F43"/>
    <w:rsid w:val="00221ACA"/>
    <w:rsid w:val="002232D3"/>
    <w:rsid w:val="00225A83"/>
    <w:rsid w:val="00231B8F"/>
    <w:rsid w:val="0026787B"/>
    <w:rsid w:val="00270EA5"/>
    <w:rsid w:val="002712B9"/>
    <w:rsid w:val="00272F6F"/>
    <w:rsid w:val="00284B8C"/>
    <w:rsid w:val="00290BF9"/>
    <w:rsid w:val="0029483F"/>
    <w:rsid w:val="002A71C9"/>
    <w:rsid w:val="002C2FC0"/>
    <w:rsid w:val="00302A17"/>
    <w:rsid w:val="00314D25"/>
    <w:rsid w:val="00315BE2"/>
    <w:rsid w:val="003322EE"/>
    <w:rsid w:val="00337630"/>
    <w:rsid w:val="0034020F"/>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B70E4"/>
    <w:rsid w:val="003C7F99"/>
    <w:rsid w:val="003E58B8"/>
    <w:rsid w:val="003F06D7"/>
    <w:rsid w:val="00400224"/>
    <w:rsid w:val="00400BA5"/>
    <w:rsid w:val="00410E62"/>
    <w:rsid w:val="00414FA7"/>
    <w:rsid w:val="00420090"/>
    <w:rsid w:val="004239D1"/>
    <w:rsid w:val="00445638"/>
    <w:rsid w:val="00446432"/>
    <w:rsid w:val="00446512"/>
    <w:rsid w:val="00466D7A"/>
    <w:rsid w:val="0048237B"/>
    <w:rsid w:val="00484D16"/>
    <w:rsid w:val="00491853"/>
    <w:rsid w:val="004A14CD"/>
    <w:rsid w:val="004A2C6B"/>
    <w:rsid w:val="004B7BF0"/>
    <w:rsid w:val="004D20CB"/>
    <w:rsid w:val="004D65B2"/>
    <w:rsid w:val="004D681D"/>
    <w:rsid w:val="004E2324"/>
    <w:rsid w:val="004F63E6"/>
    <w:rsid w:val="005103DA"/>
    <w:rsid w:val="00511F8F"/>
    <w:rsid w:val="00512BA7"/>
    <w:rsid w:val="00515726"/>
    <w:rsid w:val="00562527"/>
    <w:rsid w:val="00562A1E"/>
    <w:rsid w:val="00563427"/>
    <w:rsid w:val="00581EB9"/>
    <w:rsid w:val="0059239E"/>
    <w:rsid w:val="005B4E6E"/>
    <w:rsid w:val="005B56E4"/>
    <w:rsid w:val="005C795C"/>
    <w:rsid w:val="005D0E50"/>
    <w:rsid w:val="005D39D8"/>
    <w:rsid w:val="0061097B"/>
    <w:rsid w:val="0061612F"/>
    <w:rsid w:val="006177C8"/>
    <w:rsid w:val="0062600A"/>
    <w:rsid w:val="0063777D"/>
    <w:rsid w:val="00643358"/>
    <w:rsid w:val="00646084"/>
    <w:rsid w:val="006564C3"/>
    <w:rsid w:val="006578CB"/>
    <w:rsid w:val="00667FA6"/>
    <w:rsid w:val="00690175"/>
    <w:rsid w:val="006A4E85"/>
    <w:rsid w:val="006A60C0"/>
    <w:rsid w:val="006A712F"/>
    <w:rsid w:val="006B5D74"/>
    <w:rsid w:val="006C25BE"/>
    <w:rsid w:val="006D7AD8"/>
    <w:rsid w:val="006F1D57"/>
    <w:rsid w:val="0070364C"/>
    <w:rsid w:val="00710EDF"/>
    <w:rsid w:val="0072221D"/>
    <w:rsid w:val="0072357C"/>
    <w:rsid w:val="007259CB"/>
    <w:rsid w:val="00726031"/>
    <w:rsid w:val="00727349"/>
    <w:rsid w:val="00734AFA"/>
    <w:rsid w:val="00751DA9"/>
    <w:rsid w:val="00755E69"/>
    <w:rsid w:val="007648EE"/>
    <w:rsid w:val="0077106D"/>
    <w:rsid w:val="00780ACC"/>
    <w:rsid w:val="00787A11"/>
    <w:rsid w:val="00797B40"/>
    <w:rsid w:val="007A0C9D"/>
    <w:rsid w:val="007B0E45"/>
    <w:rsid w:val="007B40FB"/>
    <w:rsid w:val="007B62AF"/>
    <w:rsid w:val="007D199F"/>
    <w:rsid w:val="007E24B2"/>
    <w:rsid w:val="007E2DA4"/>
    <w:rsid w:val="007E6815"/>
    <w:rsid w:val="007E7632"/>
    <w:rsid w:val="007F0D1F"/>
    <w:rsid w:val="007F1C84"/>
    <w:rsid w:val="007F4579"/>
    <w:rsid w:val="00801596"/>
    <w:rsid w:val="00804BC8"/>
    <w:rsid w:val="00806E23"/>
    <w:rsid w:val="00807981"/>
    <w:rsid w:val="00823F5A"/>
    <w:rsid w:val="00845D3B"/>
    <w:rsid w:val="008634E9"/>
    <w:rsid w:val="008801B5"/>
    <w:rsid w:val="00880578"/>
    <w:rsid w:val="0088061E"/>
    <w:rsid w:val="00882407"/>
    <w:rsid w:val="008920C3"/>
    <w:rsid w:val="00894052"/>
    <w:rsid w:val="008A7B87"/>
    <w:rsid w:val="008B4AA1"/>
    <w:rsid w:val="008C1C71"/>
    <w:rsid w:val="008E1AD0"/>
    <w:rsid w:val="008E315F"/>
    <w:rsid w:val="008E6B82"/>
    <w:rsid w:val="008F6ADE"/>
    <w:rsid w:val="0091269B"/>
    <w:rsid w:val="00923C0C"/>
    <w:rsid w:val="0095170D"/>
    <w:rsid w:val="00952CF6"/>
    <w:rsid w:val="00960413"/>
    <w:rsid w:val="00981995"/>
    <w:rsid w:val="00981C7F"/>
    <w:rsid w:val="00985515"/>
    <w:rsid w:val="00990153"/>
    <w:rsid w:val="00990813"/>
    <w:rsid w:val="0099544D"/>
    <w:rsid w:val="00997513"/>
    <w:rsid w:val="009A0E2C"/>
    <w:rsid w:val="009A4D56"/>
    <w:rsid w:val="009B1F04"/>
    <w:rsid w:val="009E09F7"/>
    <w:rsid w:val="009E0C0C"/>
    <w:rsid w:val="009E2D5C"/>
    <w:rsid w:val="009E3E44"/>
    <w:rsid w:val="009F4175"/>
    <w:rsid w:val="009F66A4"/>
    <w:rsid w:val="009F6C80"/>
    <w:rsid w:val="00A000DA"/>
    <w:rsid w:val="00A1736E"/>
    <w:rsid w:val="00A216DF"/>
    <w:rsid w:val="00A33F2C"/>
    <w:rsid w:val="00A50EE3"/>
    <w:rsid w:val="00A83E11"/>
    <w:rsid w:val="00A94A0F"/>
    <w:rsid w:val="00AA3C6D"/>
    <w:rsid w:val="00AB57C4"/>
    <w:rsid w:val="00AE754A"/>
    <w:rsid w:val="00AF2A58"/>
    <w:rsid w:val="00B11CF5"/>
    <w:rsid w:val="00B167B6"/>
    <w:rsid w:val="00B209FA"/>
    <w:rsid w:val="00B21D1F"/>
    <w:rsid w:val="00B410BA"/>
    <w:rsid w:val="00B43D68"/>
    <w:rsid w:val="00B44A3A"/>
    <w:rsid w:val="00B5600C"/>
    <w:rsid w:val="00B66E33"/>
    <w:rsid w:val="00B72FB1"/>
    <w:rsid w:val="00B953DA"/>
    <w:rsid w:val="00BA19B0"/>
    <w:rsid w:val="00BB3870"/>
    <w:rsid w:val="00BB45A7"/>
    <w:rsid w:val="00BC7BA0"/>
    <w:rsid w:val="00BD0EF7"/>
    <w:rsid w:val="00BD6778"/>
    <w:rsid w:val="00C01599"/>
    <w:rsid w:val="00C048D1"/>
    <w:rsid w:val="00C05563"/>
    <w:rsid w:val="00C11132"/>
    <w:rsid w:val="00C115B9"/>
    <w:rsid w:val="00C12FDD"/>
    <w:rsid w:val="00C145AA"/>
    <w:rsid w:val="00C14655"/>
    <w:rsid w:val="00C21399"/>
    <w:rsid w:val="00C22584"/>
    <w:rsid w:val="00C3067D"/>
    <w:rsid w:val="00C446E2"/>
    <w:rsid w:val="00C535F5"/>
    <w:rsid w:val="00C560C4"/>
    <w:rsid w:val="00C6748F"/>
    <w:rsid w:val="00C74337"/>
    <w:rsid w:val="00C75DC8"/>
    <w:rsid w:val="00C929AE"/>
    <w:rsid w:val="00CA4344"/>
    <w:rsid w:val="00CA6348"/>
    <w:rsid w:val="00CB1232"/>
    <w:rsid w:val="00CB17A0"/>
    <w:rsid w:val="00CB63AE"/>
    <w:rsid w:val="00CC0A63"/>
    <w:rsid w:val="00CC3B7D"/>
    <w:rsid w:val="00CD5AE4"/>
    <w:rsid w:val="00CD5E86"/>
    <w:rsid w:val="00CE3B21"/>
    <w:rsid w:val="00CF0FA3"/>
    <w:rsid w:val="00CF4D09"/>
    <w:rsid w:val="00D005F2"/>
    <w:rsid w:val="00D03A8E"/>
    <w:rsid w:val="00D051F6"/>
    <w:rsid w:val="00D114ED"/>
    <w:rsid w:val="00D3032C"/>
    <w:rsid w:val="00D31A3B"/>
    <w:rsid w:val="00D5309D"/>
    <w:rsid w:val="00D631FA"/>
    <w:rsid w:val="00D71064"/>
    <w:rsid w:val="00D811BB"/>
    <w:rsid w:val="00D82356"/>
    <w:rsid w:val="00D84EEE"/>
    <w:rsid w:val="00D90A61"/>
    <w:rsid w:val="00D946EF"/>
    <w:rsid w:val="00D95553"/>
    <w:rsid w:val="00DC355F"/>
    <w:rsid w:val="00DD1E4C"/>
    <w:rsid w:val="00DE331A"/>
    <w:rsid w:val="00DE6ACB"/>
    <w:rsid w:val="00DF02CE"/>
    <w:rsid w:val="00DF1462"/>
    <w:rsid w:val="00E030DA"/>
    <w:rsid w:val="00E214C0"/>
    <w:rsid w:val="00E30D85"/>
    <w:rsid w:val="00E444EB"/>
    <w:rsid w:val="00E75E43"/>
    <w:rsid w:val="00E77A69"/>
    <w:rsid w:val="00E81A42"/>
    <w:rsid w:val="00E961E8"/>
    <w:rsid w:val="00E96244"/>
    <w:rsid w:val="00E96DE0"/>
    <w:rsid w:val="00EB2BEC"/>
    <w:rsid w:val="00EB74BF"/>
    <w:rsid w:val="00EC0704"/>
    <w:rsid w:val="00EC508B"/>
    <w:rsid w:val="00ED6B5D"/>
    <w:rsid w:val="00EE4C99"/>
    <w:rsid w:val="00F03945"/>
    <w:rsid w:val="00F06ED5"/>
    <w:rsid w:val="00F153D7"/>
    <w:rsid w:val="00F1599C"/>
    <w:rsid w:val="00F2433F"/>
    <w:rsid w:val="00F244DC"/>
    <w:rsid w:val="00F378F4"/>
    <w:rsid w:val="00F47912"/>
    <w:rsid w:val="00F5314D"/>
    <w:rsid w:val="00F541B6"/>
    <w:rsid w:val="00F57702"/>
    <w:rsid w:val="00F61361"/>
    <w:rsid w:val="00F613E8"/>
    <w:rsid w:val="00F74D3C"/>
    <w:rsid w:val="00F74FC9"/>
    <w:rsid w:val="00F83E36"/>
    <w:rsid w:val="00F91F47"/>
    <w:rsid w:val="00FA4F36"/>
    <w:rsid w:val="00FA6FFE"/>
    <w:rsid w:val="00FC121B"/>
    <w:rsid w:val="00FC745D"/>
    <w:rsid w:val="00FD3DFB"/>
    <w:rsid w:val="00FF0272"/>
    <w:rsid w:val="00FF0F6A"/>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D109E"/>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290BF9"/>
    <w:rPr>
      <w:color w:val="0563C1" w:themeColor="hyperlink"/>
      <w:u w:val="single"/>
    </w:rPr>
  </w:style>
  <w:style w:type="character" w:styleId="Nevyrieenzmienka">
    <w:name w:val="Unresolved Mention"/>
    <w:basedOn w:val="Predvolenpsmoodseku"/>
    <w:uiPriority w:val="99"/>
    <w:semiHidden/>
    <w:unhideWhenUsed/>
    <w:rsid w:val="00290BF9"/>
    <w:rPr>
      <w:color w:val="605E5C"/>
      <w:shd w:val="clear" w:color="auto" w:fill="E1DFDD"/>
    </w:rPr>
  </w:style>
  <w:style w:type="character" w:styleId="PouitHypertextovPrepojenie">
    <w:name w:val="FollowedHyperlink"/>
    <w:basedOn w:val="Predvolenpsmoodseku"/>
    <w:uiPriority w:val="99"/>
    <w:semiHidden/>
    <w:unhideWhenUsed/>
    <w:rsid w:val="001F1C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0461">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170264557">
      <w:bodyDiv w:val="1"/>
      <w:marLeft w:val="0"/>
      <w:marRight w:val="0"/>
      <w:marTop w:val="0"/>
      <w:marBottom w:val="0"/>
      <w:divBdr>
        <w:top w:val="none" w:sz="0" w:space="0" w:color="auto"/>
        <w:left w:val="none" w:sz="0" w:space="0" w:color="auto"/>
        <w:bottom w:val="none" w:sz="0" w:space="0" w:color="auto"/>
        <w:right w:val="none" w:sz="0" w:space="0" w:color="auto"/>
      </w:divBdr>
    </w:div>
    <w:div w:id="336738167">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45391762">
      <w:bodyDiv w:val="1"/>
      <w:marLeft w:val="0"/>
      <w:marRight w:val="0"/>
      <w:marTop w:val="0"/>
      <w:marBottom w:val="0"/>
      <w:divBdr>
        <w:top w:val="none" w:sz="0" w:space="0" w:color="auto"/>
        <w:left w:val="none" w:sz="0" w:space="0" w:color="auto"/>
        <w:bottom w:val="none" w:sz="0" w:space="0" w:color="auto"/>
        <w:right w:val="none" w:sz="0" w:space="0" w:color="auto"/>
      </w:divBdr>
    </w:div>
    <w:div w:id="446972844">
      <w:bodyDiv w:val="1"/>
      <w:marLeft w:val="0"/>
      <w:marRight w:val="0"/>
      <w:marTop w:val="0"/>
      <w:marBottom w:val="0"/>
      <w:divBdr>
        <w:top w:val="none" w:sz="0" w:space="0" w:color="auto"/>
        <w:left w:val="none" w:sz="0" w:space="0" w:color="auto"/>
        <w:bottom w:val="none" w:sz="0" w:space="0" w:color="auto"/>
        <w:right w:val="none" w:sz="0" w:space="0" w:color="auto"/>
      </w:divBdr>
    </w:div>
    <w:div w:id="518743634">
      <w:bodyDiv w:val="1"/>
      <w:marLeft w:val="0"/>
      <w:marRight w:val="0"/>
      <w:marTop w:val="0"/>
      <w:marBottom w:val="0"/>
      <w:divBdr>
        <w:top w:val="none" w:sz="0" w:space="0" w:color="auto"/>
        <w:left w:val="none" w:sz="0" w:space="0" w:color="auto"/>
        <w:bottom w:val="none" w:sz="0" w:space="0" w:color="auto"/>
        <w:right w:val="none" w:sz="0" w:space="0" w:color="auto"/>
      </w:divBdr>
      <w:divsChild>
        <w:div w:id="733939446">
          <w:marLeft w:val="0"/>
          <w:marRight w:val="0"/>
          <w:marTop w:val="180"/>
          <w:marBottom w:val="240"/>
          <w:divBdr>
            <w:top w:val="none" w:sz="0" w:space="0" w:color="auto"/>
            <w:left w:val="none" w:sz="0" w:space="0" w:color="auto"/>
            <w:bottom w:val="none" w:sz="0" w:space="0" w:color="auto"/>
            <w:right w:val="none" w:sz="0" w:space="0" w:color="auto"/>
          </w:divBdr>
        </w:div>
        <w:div w:id="1109354500">
          <w:marLeft w:val="0"/>
          <w:marRight w:val="0"/>
          <w:marTop w:val="180"/>
          <w:marBottom w:val="240"/>
          <w:divBdr>
            <w:top w:val="none" w:sz="0" w:space="0" w:color="auto"/>
            <w:left w:val="none" w:sz="0" w:space="0" w:color="auto"/>
            <w:bottom w:val="none" w:sz="0" w:space="0" w:color="auto"/>
            <w:right w:val="none" w:sz="0" w:space="0" w:color="auto"/>
          </w:divBdr>
        </w:div>
        <w:div w:id="2075657867">
          <w:marLeft w:val="0"/>
          <w:marRight w:val="0"/>
          <w:marTop w:val="180"/>
          <w:marBottom w:val="240"/>
          <w:divBdr>
            <w:top w:val="none" w:sz="0" w:space="0" w:color="auto"/>
            <w:left w:val="none" w:sz="0" w:space="0" w:color="auto"/>
            <w:bottom w:val="none" w:sz="0" w:space="0" w:color="auto"/>
            <w:right w:val="none" w:sz="0" w:space="0" w:color="auto"/>
          </w:divBdr>
        </w:div>
      </w:divsChild>
    </w:div>
    <w:div w:id="620959767">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766342659">
      <w:bodyDiv w:val="1"/>
      <w:marLeft w:val="0"/>
      <w:marRight w:val="0"/>
      <w:marTop w:val="0"/>
      <w:marBottom w:val="0"/>
      <w:divBdr>
        <w:top w:val="none" w:sz="0" w:space="0" w:color="auto"/>
        <w:left w:val="none" w:sz="0" w:space="0" w:color="auto"/>
        <w:bottom w:val="none" w:sz="0" w:space="0" w:color="auto"/>
        <w:right w:val="none" w:sz="0" w:space="0" w:color="auto"/>
      </w:divBdr>
    </w:div>
    <w:div w:id="781725439">
      <w:bodyDiv w:val="1"/>
      <w:marLeft w:val="0"/>
      <w:marRight w:val="0"/>
      <w:marTop w:val="0"/>
      <w:marBottom w:val="0"/>
      <w:divBdr>
        <w:top w:val="none" w:sz="0" w:space="0" w:color="auto"/>
        <w:left w:val="none" w:sz="0" w:space="0" w:color="auto"/>
        <w:bottom w:val="none" w:sz="0" w:space="0" w:color="auto"/>
        <w:right w:val="none" w:sz="0" w:space="0" w:color="auto"/>
      </w:divBdr>
    </w:div>
    <w:div w:id="805700197">
      <w:bodyDiv w:val="1"/>
      <w:marLeft w:val="0"/>
      <w:marRight w:val="0"/>
      <w:marTop w:val="0"/>
      <w:marBottom w:val="0"/>
      <w:divBdr>
        <w:top w:val="none" w:sz="0" w:space="0" w:color="auto"/>
        <w:left w:val="none" w:sz="0" w:space="0" w:color="auto"/>
        <w:bottom w:val="none" w:sz="0" w:space="0" w:color="auto"/>
        <w:right w:val="none" w:sz="0" w:space="0" w:color="auto"/>
      </w:divBdr>
    </w:div>
    <w:div w:id="851605147">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59146957">
      <w:bodyDiv w:val="1"/>
      <w:marLeft w:val="0"/>
      <w:marRight w:val="0"/>
      <w:marTop w:val="0"/>
      <w:marBottom w:val="0"/>
      <w:divBdr>
        <w:top w:val="none" w:sz="0" w:space="0" w:color="auto"/>
        <w:left w:val="none" w:sz="0" w:space="0" w:color="auto"/>
        <w:bottom w:val="none" w:sz="0" w:space="0" w:color="auto"/>
        <w:right w:val="none" w:sz="0" w:space="0" w:color="auto"/>
      </w:divBdr>
    </w:div>
    <w:div w:id="1044477476">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144347241">
      <w:bodyDiv w:val="1"/>
      <w:marLeft w:val="0"/>
      <w:marRight w:val="0"/>
      <w:marTop w:val="0"/>
      <w:marBottom w:val="0"/>
      <w:divBdr>
        <w:top w:val="none" w:sz="0" w:space="0" w:color="auto"/>
        <w:left w:val="none" w:sz="0" w:space="0" w:color="auto"/>
        <w:bottom w:val="none" w:sz="0" w:space="0" w:color="auto"/>
        <w:right w:val="none" w:sz="0" w:space="0" w:color="auto"/>
      </w:divBdr>
    </w:div>
    <w:div w:id="1274940330">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40817942">
      <w:bodyDiv w:val="1"/>
      <w:marLeft w:val="0"/>
      <w:marRight w:val="0"/>
      <w:marTop w:val="0"/>
      <w:marBottom w:val="0"/>
      <w:divBdr>
        <w:top w:val="none" w:sz="0" w:space="0" w:color="auto"/>
        <w:left w:val="none" w:sz="0" w:space="0" w:color="auto"/>
        <w:bottom w:val="none" w:sz="0" w:space="0" w:color="auto"/>
        <w:right w:val="none" w:sz="0" w:space="0" w:color="auto"/>
      </w:divBdr>
    </w:div>
    <w:div w:id="1444956536">
      <w:bodyDiv w:val="1"/>
      <w:marLeft w:val="0"/>
      <w:marRight w:val="0"/>
      <w:marTop w:val="0"/>
      <w:marBottom w:val="0"/>
      <w:divBdr>
        <w:top w:val="none" w:sz="0" w:space="0" w:color="auto"/>
        <w:left w:val="none" w:sz="0" w:space="0" w:color="auto"/>
        <w:bottom w:val="none" w:sz="0" w:space="0" w:color="auto"/>
        <w:right w:val="none" w:sz="0" w:space="0" w:color="auto"/>
      </w:divBdr>
    </w:div>
    <w:div w:id="1539199355">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897011440">
      <w:bodyDiv w:val="1"/>
      <w:marLeft w:val="0"/>
      <w:marRight w:val="0"/>
      <w:marTop w:val="0"/>
      <w:marBottom w:val="0"/>
      <w:divBdr>
        <w:top w:val="none" w:sz="0" w:space="0" w:color="auto"/>
        <w:left w:val="none" w:sz="0" w:space="0" w:color="auto"/>
        <w:bottom w:val="none" w:sz="0" w:space="0" w:color="auto"/>
        <w:right w:val="none" w:sz="0" w:space="0" w:color="auto"/>
      </w:divBdr>
    </w:div>
    <w:div w:id="1925533216">
      <w:bodyDiv w:val="1"/>
      <w:marLeft w:val="0"/>
      <w:marRight w:val="0"/>
      <w:marTop w:val="0"/>
      <w:marBottom w:val="0"/>
      <w:divBdr>
        <w:top w:val="none" w:sz="0" w:space="0" w:color="auto"/>
        <w:left w:val="none" w:sz="0" w:space="0" w:color="auto"/>
        <w:bottom w:val="none" w:sz="0" w:space="0" w:color="auto"/>
        <w:right w:val="none" w:sz="0" w:space="0" w:color="auto"/>
      </w:divBdr>
    </w:div>
    <w:div w:id="2023431240">
      <w:bodyDiv w:val="1"/>
      <w:marLeft w:val="0"/>
      <w:marRight w:val="0"/>
      <w:marTop w:val="0"/>
      <w:marBottom w:val="0"/>
      <w:divBdr>
        <w:top w:val="none" w:sz="0" w:space="0" w:color="auto"/>
        <w:left w:val="none" w:sz="0" w:space="0" w:color="auto"/>
        <w:bottom w:val="none" w:sz="0" w:space="0" w:color="auto"/>
        <w:right w:val="none" w:sz="0" w:space="0" w:color="auto"/>
      </w:divBdr>
      <w:divsChild>
        <w:div w:id="1351831718">
          <w:marLeft w:val="0"/>
          <w:marRight w:val="0"/>
          <w:marTop w:val="180"/>
          <w:marBottom w:val="240"/>
          <w:divBdr>
            <w:top w:val="none" w:sz="0" w:space="0" w:color="auto"/>
            <w:left w:val="none" w:sz="0" w:space="0" w:color="auto"/>
            <w:bottom w:val="none" w:sz="0" w:space="0" w:color="auto"/>
            <w:right w:val="none" w:sz="0" w:space="0" w:color="auto"/>
          </w:divBdr>
        </w:div>
        <w:div w:id="351685430">
          <w:marLeft w:val="0"/>
          <w:marRight w:val="0"/>
          <w:marTop w:val="180"/>
          <w:marBottom w:val="240"/>
          <w:divBdr>
            <w:top w:val="none" w:sz="0" w:space="0" w:color="auto"/>
            <w:left w:val="none" w:sz="0" w:space="0" w:color="auto"/>
            <w:bottom w:val="none" w:sz="0" w:space="0" w:color="auto"/>
            <w:right w:val="none" w:sz="0" w:space="0" w:color="auto"/>
          </w:divBdr>
        </w:div>
        <w:div w:id="2101558052">
          <w:marLeft w:val="0"/>
          <w:marRight w:val="0"/>
          <w:marTop w:val="180"/>
          <w:marBottom w:val="240"/>
          <w:divBdr>
            <w:top w:val="none" w:sz="0" w:space="0" w:color="auto"/>
            <w:left w:val="none" w:sz="0" w:space="0" w:color="auto"/>
            <w:bottom w:val="none" w:sz="0" w:space="0" w:color="auto"/>
            <w:right w:val="none" w:sz="0" w:space="0" w:color="auto"/>
          </w:divBdr>
        </w:div>
      </w:divsChild>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ormoff.gov.sk/aktuality/1463/unms-sr-pristupuje-k-navrhu-zmeny-vyhlasky-c-76-2019-z-z/"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economy.gov.sk/podnikatelske-prostredie/jednotna-metodika/posudzovanie-vplyvov-pre-predkladatelov/konzultacie-1?csrt=703686864709345876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BF509634-EAD7-4553-A28C-7EA4AF6FF563}">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1229</TotalTime>
  <Pages>6</Pages>
  <Words>2222</Words>
  <Characters>12668</Characters>
  <Application>Microsoft Office Word</Application>
  <DocSecurity>0</DocSecurity>
  <Lines>105</Lines>
  <Paragraphs>29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Macko</dc:creator>
  <cp:lastModifiedBy>Macko Michal</cp:lastModifiedBy>
  <cp:revision>19</cp:revision>
  <dcterms:created xsi:type="dcterms:W3CDTF">2023-09-13T07:31:00Z</dcterms:created>
  <dcterms:modified xsi:type="dcterms:W3CDTF">2026-07-27T08:22:00Z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