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9D793" w14:textId="77777777" w:rsidR="006A0DB4" w:rsidRPr="006A0DB4" w:rsidRDefault="006A0DB4" w:rsidP="006A0DB4">
      <w:pPr>
        <w:jc w:val="center"/>
        <w:rPr>
          <w:rFonts w:ascii="Times New Roman" w:hAnsi="Times New Roman" w:cs="Times New Roman"/>
          <w:b/>
          <w:caps/>
          <w:color w:val="000000"/>
          <w:spacing w:val="30"/>
          <w:sz w:val="24"/>
          <w:szCs w:val="24"/>
        </w:rPr>
      </w:pPr>
      <w:r w:rsidRPr="006A0DB4">
        <w:rPr>
          <w:rFonts w:ascii="Times New Roman" w:hAnsi="Times New Roman" w:cs="Times New Roman"/>
          <w:b/>
          <w:caps/>
          <w:color w:val="000000"/>
          <w:spacing w:val="30"/>
          <w:sz w:val="24"/>
          <w:szCs w:val="24"/>
        </w:rPr>
        <w:t>Predkladacia správa</w:t>
      </w:r>
    </w:p>
    <w:p w14:paraId="67450157" w14:textId="77777777" w:rsidR="006A0DB4" w:rsidRPr="006A0DB4" w:rsidRDefault="006A0DB4" w:rsidP="006A0DB4">
      <w:pPr>
        <w:jc w:val="both"/>
        <w:rPr>
          <w:rFonts w:ascii="Times New Roman" w:hAnsi="Times New Roman" w:cs="Times New Roman"/>
          <w:color w:val="000000"/>
          <w:sz w:val="24"/>
          <w:szCs w:val="24"/>
        </w:rPr>
      </w:pPr>
    </w:p>
    <w:p w14:paraId="12D43390" w14:textId="16059EF8" w:rsidR="006A0DB4" w:rsidRPr="006A0DB4" w:rsidRDefault="006A0DB4" w:rsidP="006A0DB4">
      <w:pPr>
        <w:ind w:firstLine="708"/>
        <w:jc w:val="both"/>
        <w:rPr>
          <w:rStyle w:val="Zstupntext"/>
          <w:color w:val="000000"/>
          <w:sz w:val="24"/>
          <w:szCs w:val="24"/>
        </w:rPr>
      </w:pPr>
      <w:r w:rsidRPr="006A0DB4">
        <w:rPr>
          <w:rStyle w:val="Zstupntext"/>
          <w:color w:val="000000"/>
          <w:sz w:val="24"/>
          <w:szCs w:val="24"/>
        </w:rPr>
        <w:t xml:space="preserve">Ministerstvo financií Slovenskej republiky predkladá návrh </w:t>
      </w:r>
      <w:r w:rsidRPr="006A0DB4">
        <w:rPr>
          <w:rStyle w:val="Zstupntext"/>
          <w:i/>
          <w:color w:val="000000"/>
          <w:sz w:val="24"/>
          <w:szCs w:val="24"/>
        </w:rPr>
        <w:t xml:space="preserve">Dohody medzi Azerbajdžanskou republikou a Slovenskou republikou o podpore a vzájomnej ochrane investícií  </w:t>
      </w:r>
      <w:r w:rsidRPr="006A0DB4">
        <w:rPr>
          <w:rStyle w:val="Zstupntext"/>
          <w:color w:val="000000"/>
          <w:sz w:val="24"/>
          <w:szCs w:val="24"/>
        </w:rPr>
        <w:t>(ďalej len „návrh Dohody“).</w:t>
      </w:r>
    </w:p>
    <w:p w14:paraId="0B15DC73" w14:textId="0DBA10C5" w:rsidR="006A0DB4" w:rsidRPr="006A0DB4" w:rsidRDefault="006A0DB4" w:rsidP="006A0DB4">
      <w:pPr>
        <w:ind w:firstLine="708"/>
        <w:jc w:val="both"/>
        <w:rPr>
          <w:rStyle w:val="Zstupntext"/>
          <w:color w:val="000000"/>
          <w:sz w:val="24"/>
          <w:szCs w:val="24"/>
        </w:rPr>
      </w:pPr>
      <w:r w:rsidRPr="006A0DB4">
        <w:rPr>
          <w:rStyle w:val="Zstupntext"/>
          <w:color w:val="000000"/>
          <w:sz w:val="24"/>
          <w:szCs w:val="24"/>
        </w:rPr>
        <w:t xml:space="preserve">Návrh Dohody sa predkladá ako iniciatívny návrh, jeho význam spočíva </w:t>
      </w:r>
      <w:r w:rsidR="00407D09">
        <w:rPr>
          <w:rStyle w:val="Zstupntext"/>
          <w:color w:val="000000"/>
          <w:sz w:val="24"/>
          <w:szCs w:val="24"/>
        </w:rPr>
        <w:t xml:space="preserve">v </w:t>
      </w:r>
      <w:r w:rsidRPr="006A0DB4">
        <w:rPr>
          <w:rStyle w:val="Zstupntext"/>
          <w:color w:val="000000"/>
          <w:sz w:val="24"/>
          <w:szCs w:val="24"/>
        </w:rPr>
        <w:t xml:space="preserve">rozvoji medzinárodných vzťahov a podpory zahraničných investícií. </w:t>
      </w:r>
    </w:p>
    <w:p w14:paraId="60B8AD49" w14:textId="2C685278" w:rsidR="006A0DB4" w:rsidRPr="006A0DB4" w:rsidRDefault="006A0DB4" w:rsidP="006A0DB4">
      <w:pPr>
        <w:ind w:firstLine="708"/>
        <w:jc w:val="both"/>
        <w:rPr>
          <w:rStyle w:val="Zstupntext"/>
          <w:color w:val="000000"/>
          <w:sz w:val="24"/>
          <w:szCs w:val="24"/>
        </w:rPr>
      </w:pPr>
      <w:r w:rsidRPr="006A0DB4">
        <w:rPr>
          <w:rStyle w:val="Zstupntext"/>
          <w:color w:val="000000"/>
          <w:sz w:val="24"/>
          <w:szCs w:val="24"/>
        </w:rPr>
        <w:t>Predkladaný návrh Dohody predstavuje modernú a vyváženú Dohodu o  podpore a  vzájomnej ochrane investícií, nazývanú aj bilaterálna investičná dohoda (ďalej len „Dohoda“), ktorá rešpektuje regulačné právomoci štátu najmä v oblastiach legitímnych cieľov verejnej politiky a zároveň poskytuje primeranú ochranu zahraničným investorom v prípade prevažne svojvoľných a neodôvodnených závažných poškodení ich investícií zo strany hostiteľského štátu. Dohoda je významný medzinárodný zmluvný dokument a predstavuje jednu zo štandardných dohôd, ktoré sa uzatvárajú medzi suverénnymi subjektmi medzinárodného práva verejného s cieľom vytvárať priaznivé ekonomické podmienky pre rozvoj vzájomnej spolupráce a odpolitizovať spory medzi zahraničným investorom a hostiteľským štátom.</w:t>
      </w:r>
    </w:p>
    <w:p w14:paraId="5908F459" w14:textId="474E4C1B" w:rsidR="006A0DB4" w:rsidRPr="006A0DB4" w:rsidRDefault="006A0DB4" w:rsidP="006A0DB4">
      <w:pPr>
        <w:jc w:val="both"/>
        <w:rPr>
          <w:rStyle w:val="Zstupntext"/>
          <w:color w:val="000000"/>
          <w:sz w:val="24"/>
          <w:szCs w:val="24"/>
        </w:rPr>
      </w:pPr>
      <w:r w:rsidRPr="006A0DB4">
        <w:rPr>
          <w:rStyle w:val="Zstupntext"/>
          <w:color w:val="000000"/>
          <w:sz w:val="24"/>
          <w:szCs w:val="24"/>
        </w:rPr>
        <w:t>            Predmet Dohody do veľkej mieri kopíruje novodobú investičnú stratégiu EÚ a v neposlednom rade národné záujmy SR a jej skúsenost</w:t>
      </w:r>
      <w:r w:rsidR="00CE5143">
        <w:rPr>
          <w:rStyle w:val="Zstupntext"/>
          <w:color w:val="000000"/>
          <w:sz w:val="24"/>
          <w:szCs w:val="24"/>
        </w:rPr>
        <w:t>i</w:t>
      </w:r>
      <w:r w:rsidRPr="006A0DB4">
        <w:rPr>
          <w:rStyle w:val="Zstupntext"/>
          <w:color w:val="000000"/>
          <w:sz w:val="24"/>
          <w:szCs w:val="24"/>
        </w:rPr>
        <w:t xml:space="preserve"> a poznatky z režimu ochrany zahraničných investícií. Predmetná Dohoda obsahuje tak hmotnoprávne ako aj procesnoprávne štandardy ochrany zahraničných investícií. Medzi hmotnoprávne štandardy môžeme zaradiť záväzok hostiteľského štátu na spravodlivé zaobchádzanie, dodržiavanie režimu národného zaobchádzania, doložku najvyšších výhod, ochranu pred diskriminačnými opatreniami</w:t>
      </w:r>
      <w:r w:rsidR="00CE5143">
        <w:rPr>
          <w:rStyle w:val="Zstupntext"/>
          <w:color w:val="000000"/>
          <w:sz w:val="24"/>
          <w:szCs w:val="24"/>
        </w:rPr>
        <w:t>,</w:t>
      </w:r>
      <w:r w:rsidRPr="006A0DB4">
        <w:rPr>
          <w:rStyle w:val="Zstupntext"/>
          <w:color w:val="000000"/>
          <w:sz w:val="24"/>
          <w:szCs w:val="24"/>
        </w:rPr>
        <w:t xml:space="preserve"> či nezákonným vyvlastnením. Uvedené štandardy sú oproti minulosti uvedené presnejšie, pričom minimalizujú riziko protichodných arbitrážnych rozhodnutí</w:t>
      </w:r>
      <w:r w:rsidR="00C25481">
        <w:rPr>
          <w:rStyle w:val="Zstupntext"/>
          <w:color w:val="000000"/>
          <w:sz w:val="24"/>
          <w:szCs w:val="24"/>
        </w:rPr>
        <w:t xml:space="preserve"> a</w:t>
      </w:r>
      <w:r w:rsidRPr="006A0DB4">
        <w:rPr>
          <w:rStyle w:val="Zstupntext"/>
          <w:color w:val="000000"/>
          <w:sz w:val="24"/>
          <w:szCs w:val="24"/>
        </w:rPr>
        <w:t xml:space="preserve"> prispievajú k lepšej informovanosti. </w:t>
      </w:r>
    </w:p>
    <w:p w14:paraId="68805B08" w14:textId="6C876011" w:rsidR="006A0DB4" w:rsidRPr="006A0DB4" w:rsidRDefault="006A0DB4" w:rsidP="006A0DB4">
      <w:pPr>
        <w:jc w:val="both"/>
        <w:rPr>
          <w:rStyle w:val="Zstupntext"/>
          <w:color w:val="000000"/>
          <w:sz w:val="24"/>
          <w:szCs w:val="24"/>
        </w:rPr>
      </w:pPr>
      <w:r w:rsidRPr="006A0DB4">
        <w:rPr>
          <w:rStyle w:val="Zstupntext"/>
          <w:color w:val="000000"/>
          <w:sz w:val="24"/>
          <w:szCs w:val="24"/>
        </w:rPr>
        <w:t xml:space="preserve">            Mechanizmus riešenia sporov medzi investorom a štátom obsahuje prísnejšie pravidlá ohľadom možného konfliktu záujmov rozhodcov, ich asistentov, prevenciu paralelných sporov, kladie väčší dôraz na poskytovanie pravdivých informácií zo strany investora vrátane informácií o financovaní sporu zo strany tretej osoby. </w:t>
      </w:r>
    </w:p>
    <w:p w14:paraId="1F312FAE" w14:textId="2EC13E11" w:rsidR="006A0DB4" w:rsidRPr="006A0DB4" w:rsidRDefault="006A0DB4" w:rsidP="006A0DB4">
      <w:pPr>
        <w:ind w:firstLine="708"/>
        <w:jc w:val="both"/>
        <w:rPr>
          <w:rStyle w:val="Zstupntext"/>
          <w:color w:val="000000"/>
          <w:sz w:val="24"/>
          <w:szCs w:val="24"/>
        </w:rPr>
      </w:pPr>
      <w:r w:rsidRPr="006A0DB4">
        <w:rPr>
          <w:rStyle w:val="Zstupntext"/>
          <w:color w:val="000000"/>
          <w:sz w:val="24"/>
          <w:szCs w:val="24"/>
        </w:rPr>
        <w:t>Uvedená dohoda je medzinárodnou hospodárskou zmluvou všeobecnej povahy (čl. 7 ods. 4 Ústavy SR), ktorá má charakter prezidentskej zmluvy. Dohoda priamo zakladá práva a povinnosti fyzických alebo právnických osôb a má podľa čl. 7 ods. 5 Ústavy SR prednosť pred zákonmi SR. Dohoda podlieha ratifikácii a bude vyhlásená spôsobom ustanoveným zákonom</w:t>
      </w:r>
      <w:r w:rsidR="00407D09">
        <w:rPr>
          <w:rStyle w:val="Zstupntext"/>
          <w:color w:val="000000"/>
          <w:sz w:val="24"/>
          <w:szCs w:val="24"/>
        </w:rPr>
        <w:t>.</w:t>
      </w:r>
      <w:r w:rsidRPr="006A0DB4">
        <w:rPr>
          <w:rStyle w:val="Zstupntext"/>
          <w:color w:val="000000"/>
          <w:sz w:val="24"/>
          <w:szCs w:val="24"/>
        </w:rPr>
        <w:t xml:space="preserve"> Ratifikácia dohody je podmienená predchádzajúcim schválením návrhu dohody Európskou komisiou podľa Nariadenia Európskeho parlamentu a Rady (EÚ) č. 1219/2012 z 12. decembra 2012, ktorým sa ustanovujú prechodné opatrenia pre bilaterálne investičné dohody medzi členskými štátmi a tretími krajinami. </w:t>
      </w:r>
      <w:r w:rsidRPr="006A0DB4">
        <w:rPr>
          <w:rFonts w:ascii="Times New Roman" w:hAnsi="Times New Roman" w:cs="Times New Roman"/>
          <w:color w:val="000000"/>
          <w:sz w:val="24"/>
          <w:szCs w:val="24"/>
        </w:rPr>
        <w:t>Európska komisia vydala</w:t>
      </w:r>
      <w:r w:rsidR="00407D09">
        <w:rPr>
          <w:rFonts w:ascii="Times New Roman" w:hAnsi="Times New Roman" w:cs="Times New Roman"/>
          <w:color w:val="000000"/>
          <w:sz w:val="24"/>
          <w:szCs w:val="24"/>
        </w:rPr>
        <w:t xml:space="preserve"> dňa</w:t>
      </w:r>
      <w:r w:rsidRPr="006A0DB4">
        <w:rPr>
          <w:rFonts w:ascii="Times New Roman" w:hAnsi="Times New Roman" w:cs="Times New Roman"/>
          <w:color w:val="000000"/>
          <w:sz w:val="24"/>
          <w:szCs w:val="24"/>
        </w:rPr>
        <w:t xml:space="preserve"> 13. júla 2026 takéto vykonávacie rozhodnutie, ktorým Slovenskú republiku oprávňuje na podpísanie a uzatvorenie bilaterálnej investičnej dohody s Azerbajdžanskou republikou.</w:t>
      </w:r>
    </w:p>
    <w:p w14:paraId="3CFEDDA9" w14:textId="77777777" w:rsidR="006A0DB4" w:rsidRPr="006A0DB4" w:rsidRDefault="006A0DB4" w:rsidP="006A0DB4">
      <w:pPr>
        <w:ind w:firstLine="708"/>
        <w:jc w:val="both"/>
        <w:rPr>
          <w:rStyle w:val="Zstupntext"/>
          <w:color w:val="000000"/>
          <w:sz w:val="24"/>
          <w:szCs w:val="24"/>
        </w:rPr>
      </w:pPr>
      <w:r w:rsidRPr="006A0DB4">
        <w:rPr>
          <w:rStyle w:val="Zstupntext"/>
          <w:color w:val="000000"/>
          <w:sz w:val="24"/>
          <w:szCs w:val="24"/>
        </w:rPr>
        <w:t> </w:t>
      </w:r>
    </w:p>
    <w:p w14:paraId="0F885445" w14:textId="01EB0E15" w:rsidR="006A0DB4" w:rsidRPr="006A0DB4" w:rsidRDefault="006A0DB4" w:rsidP="006A0DB4">
      <w:pPr>
        <w:ind w:firstLine="708"/>
        <w:jc w:val="both"/>
        <w:rPr>
          <w:rStyle w:val="Zstupntext"/>
          <w:color w:val="000000"/>
          <w:sz w:val="24"/>
          <w:szCs w:val="24"/>
        </w:rPr>
      </w:pPr>
      <w:r w:rsidRPr="006A0DB4">
        <w:rPr>
          <w:rStyle w:val="Zstupntext"/>
          <w:color w:val="000000"/>
          <w:sz w:val="24"/>
          <w:szCs w:val="24"/>
        </w:rPr>
        <w:lastRenderedPageBreak/>
        <w:t>Predkladaná dohoda je v súlade s právnym poriadkom Slovenskej republiky, rozširuje jej bilaterálnu zmluvnú základňu a jej články zabezpečujú súlad dohody so záväzkami Slovenskej republiky ako členského štátu Európskej únie.</w:t>
      </w:r>
    </w:p>
    <w:p w14:paraId="7C1596C8" w14:textId="77777777" w:rsidR="006A0DB4" w:rsidRPr="006A0DB4" w:rsidRDefault="006A0DB4" w:rsidP="006A0DB4">
      <w:pPr>
        <w:jc w:val="both"/>
        <w:rPr>
          <w:rStyle w:val="Zstupntext"/>
          <w:color w:val="000000"/>
          <w:sz w:val="24"/>
          <w:szCs w:val="24"/>
        </w:rPr>
      </w:pPr>
      <w:r w:rsidRPr="006A0DB4">
        <w:rPr>
          <w:rStyle w:val="Zstupntext"/>
          <w:color w:val="000000"/>
          <w:sz w:val="24"/>
          <w:szCs w:val="24"/>
        </w:rPr>
        <w:t>         Návrh dohody by mal mať predpokladaný pozitívny vplyv na podnikateľské prostredie, nemá environmentálny vplyv, vplyv na rozpočet verejnej správy, informatizáciu spoločnosti a sociálne vplyvy.</w:t>
      </w:r>
    </w:p>
    <w:p w14:paraId="63466DF1" w14:textId="77777777" w:rsidR="006A0DB4" w:rsidRPr="006A0DB4" w:rsidRDefault="006A0DB4" w:rsidP="006A0DB4">
      <w:pPr>
        <w:jc w:val="both"/>
        <w:rPr>
          <w:rStyle w:val="Zstupntext"/>
          <w:color w:val="000000"/>
          <w:sz w:val="24"/>
          <w:szCs w:val="24"/>
        </w:rPr>
      </w:pPr>
    </w:p>
    <w:p w14:paraId="1FF496FC" w14:textId="77777777" w:rsidR="006A0DB4" w:rsidRPr="006A0DB4" w:rsidRDefault="006A0DB4" w:rsidP="006A0DB4">
      <w:pPr>
        <w:jc w:val="both"/>
        <w:rPr>
          <w:rStyle w:val="Zstupntext"/>
          <w:color w:val="000000"/>
          <w:sz w:val="24"/>
          <w:szCs w:val="24"/>
        </w:rPr>
      </w:pPr>
      <w:r w:rsidRPr="006A0DB4">
        <w:rPr>
          <w:rStyle w:val="Zstupntext"/>
          <w:color w:val="000000"/>
          <w:sz w:val="24"/>
          <w:szCs w:val="24"/>
        </w:rPr>
        <w:t xml:space="preserve">             </w:t>
      </w:r>
    </w:p>
    <w:p w14:paraId="3A83116E" w14:textId="08F0E0BC" w:rsidR="00106AA1" w:rsidRPr="00FF6FF1" w:rsidRDefault="00106AA1" w:rsidP="003A0192">
      <w:pPr>
        <w:widowControl w:val="0"/>
        <w:jc w:val="both"/>
        <w:rPr>
          <w:sz w:val="24"/>
          <w:szCs w:val="24"/>
        </w:rPr>
      </w:pPr>
    </w:p>
    <w:sectPr w:rsidR="00106AA1" w:rsidRPr="00FF6FF1">
      <w:footerReference w:type="even" r:id="rId7"/>
      <w:footerReference w:type="default" r:id="rId8"/>
      <w:foot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8E0E7" w14:textId="77777777" w:rsidR="00297E9F" w:rsidRDefault="00297E9F" w:rsidP="00FF6FF1">
      <w:pPr>
        <w:spacing w:after="0" w:line="240" w:lineRule="auto"/>
      </w:pPr>
      <w:r>
        <w:separator/>
      </w:r>
    </w:p>
  </w:endnote>
  <w:endnote w:type="continuationSeparator" w:id="0">
    <w:p w14:paraId="0AD03A95" w14:textId="77777777" w:rsidR="00297E9F" w:rsidRDefault="00297E9F" w:rsidP="00FF6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C4DAF" w14:textId="05D6CD5D" w:rsidR="00FF6FF1" w:rsidRDefault="00FF6FF1">
    <w:pPr>
      <w:pStyle w:val="Pta"/>
    </w:pPr>
    <w:r>
      <w:rPr>
        <w:noProof/>
      </w:rPr>
      <mc:AlternateContent>
        <mc:Choice Requires="wps">
          <w:drawing>
            <wp:anchor distT="0" distB="0" distL="0" distR="0" simplePos="0" relativeHeight="251659264" behindDoc="0" locked="0" layoutInCell="1" allowOverlap="1" wp14:anchorId="1C912ED8" wp14:editId="7881B4D6">
              <wp:simplePos x="635" y="635"/>
              <wp:positionH relativeFrom="page">
                <wp:align>left</wp:align>
              </wp:positionH>
              <wp:positionV relativeFrom="page">
                <wp:align>bottom</wp:align>
              </wp:positionV>
              <wp:extent cx="443865" cy="443865"/>
              <wp:effectExtent l="0" t="0" r="17145" b="0"/>
              <wp:wrapNone/>
              <wp:docPr id="1043032870"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43DD331" w14:textId="32DBF9E9" w:rsidR="00FF6FF1" w:rsidRPr="00FF6FF1" w:rsidRDefault="00FF6FF1" w:rsidP="00FF6FF1">
                          <w:pPr>
                            <w:spacing w:after="0"/>
                            <w:rPr>
                              <w:rFonts w:ascii="Calibri" w:eastAsia="Calibri" w:hAnsi="Calibri" w:cs="Calibri"/>
                              <w:noProof/>
                              <w:color w:val="000000"/>
                              <w:sz w:val="20"/>
                              <w:szCs w:val="20"/>
                            </w:rPr>
                          </w:pPr>
                          <w:r w:rsidRPr="00FF6FF1">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C912ED8" id="_x0000_t202" coordsize="21600,21600" o:spt="202" path="m,l,21600r21600,l21600,xe">
              <v:stroke joinstyle="miter"/>
              <v:path gradientshapeok="t" o:connecttype="rect"/>
            </v:shapetype>
            <v:shape id="Textové pole 2"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43DD331" w14:textId="32DBF9E9" w:rsidR="00FF6FF1" w:rsidRPr="00FF6FF1" w:rsidRDefault="00FF6FF1" w:rsidP="00FF6FF1">
                    <w:pPr>
                      <w:spacing w:after="0"/>
                      <w:rPr>
                        <w:rFonts w:ascii="Calibri" w:eastAsia="Calibri" w:hAnsi="Calibri" w:cs="Calibri"/>
                        <w:noProof/>
                        <w:color w:val="000000"/>
                        <w:sz w:val="20"/>
                        <w:szCs w:val="20"/>
                      </w:rPr>
                    </w:pPr>
                    <w:r w:rsidRPr="00FF6FF1">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03D1" w14:textId="573AF1CD" w:rsidR="00FF6FF1" w:rsidRDefault="00FF6FF1">
    <w:pPr>
      <w:pStyle w:val="Pta"/>
    </w:pPr>
    <w:r>
      <w:rPr>
        <w:noProof/>
      </w:rPr>
      <mc:AlternateContent>
        <mc:Choice Requires="wps">
          <w:drawing>
            <wp:anchor distT="0" distB="0" distL="0" distR="0" simplePos="0" relativeHeight="251660288" behindDoc="0" locked="0" layoutInCell="1" allowOverlap="1" wp14:anchorId="0B5B1FD7" wp14:editId="58BB21B7">
              <wp:simplePos x="904875" y="10067925"/>
              <wp:positionH relativeFrom="page">
                <wp:align>left</wp:align>
              </wp:positionH>
              <wp:positionV relativeFrom="page">
                <wp:align>bottom</wp:align>
              </wp:positionV>
              <wp:extent cx="443865" cy="443865"/>
              <wp:effectExtent l="0" t="0" r="17145" b="0"/>
              <wp:wrapNone/>
              <wp:docPr id="656268765"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718994" w14:textId="07F4BBC2" w:rsidR="00FF6FF1" w:rsidRPr="00FF6FF1" w:rsidRDefault="00FF6FF1" w:rsidP="00FF6FF1">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B5B1FD7" id="_x0000_t202" coordsize="21600,21600" o:spt="202" path="m,l,21600r21600,l21600,xe">
              <v:stroke joinstyle="miter"/>
              <v:path gradientshapeok="t" o:connecttype="rect"/>
            </v:shapetype>
            <v:shape id="Textové pole 3" o:spid="_x0000_s1027" type="#_x0000_t202" alt="Interné"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65718994" w14:textId="07F4BBC2" w:rsidR="00FF6FF1" w:rsidRPr="00FF6FF1" w:rsidRDefault="00FF6FF1" w:rsidP="00FF6FF1">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825D8" w14:textId="3593F091" w:rsidR="00FF6FF1" w:rsidRDefault="00FF6FF1">
    <w:pPr>
      <w:pStyle w:val="Pta"/>
    </w:pPr>
    <w:r>
      <w:rPr>
        <w:noProof/>
      </w:rPr>
      <mc:AlternateContent>
        <mc:Choice Requires="wps">
          <w:drawing>
            <wp:anchor distT="0" distB="0" distL="0" distR="0" simplePos="0" relativeHeight="251658240" behindDoc="0" locked="0" layoutInCell="1" allowOverlap="1" wp14:anchorId="0780AA25" wp14:editId="19D27BBE">
              <wp:simplePos x="635" y="635"/>
              <wp:positionH relativeFrom="page">
                <wp:align>left</wp:align>
              </wp:positionH>
              <wp:positionV relativeFrom="page">
                <wp:align>bottom</wp:align>
              </wp:positionV>
              <wp:extent cx="443865" cy="443865"/>
              <wp:effectExtent l="0" t="0" r="17145" b="0"/>
              <wp:wrapNone/>
              <wp:docPr id="115027855"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15EAE1" w14:textId="24E09873" w:rsidR="00FF6FF1" w:rsidRPr="00FF6FF1" w:rsidRDefault="00FF6FF1" w:rsidP="00FF6FF1">
                          <w:pPr>
                            <w:spacing w:after="0"/>
                            <w:rPr>
                              <w:rFonts w:ascii="Calibri" w:eastAsia="Calibri" w:hAnsi="Calibri" w:cs="Calibri"/>
                              <w:noProof/>
                              <w:color w:val="000000"/>
                              <w:sz w:val="20"/>
                              <w:szCs w:val="20"/>
                            </w:rPr>
                          </w:pPr>
                          <w:r w:rsidRPr="00FF6FF1">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80AA25" id="_x0000_t202" coordsize="21600,21600" o:spt="202" path="m,l,21600r21600,l21600,xe">
              <v:stroke joinstyle="miter"/>
              <v:path gradientshapeok="t" o:connecttype="rect"/>
            </v:shapetype>
            <v:shape id="Textové pole 1" o:spid="_x0000_s1028" type="#_x0000_t202" alt="Interné"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515EAE1" w14:textId="24E09873" w:rsidR="00FF6FF1" w:rsidRPr="00FF6FF1" w:rsidRDefault="00FF6FF1" w:rsidP="00FF6FF1">
                    <w:pPr>
                      <w:spacing w:after="0"/>
                      <w:rPr>
                        <w:rFonts w:ascii="Calibri" w:eastAsia="Calibri" w:hAnsi="Calibri" w:cs="Calibri"/>
                        <w:noProof/>
                        <w:color w:val="000000"/>
                        <w:sz w:val="20"/>
                        <w:szCs w:val="20"/>
                      </w:rPr>
                    </w:pPr>
                    <w:r w:rsidRPr="00FF6FF1">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6271B" w14:textId="77777777" w:rsidR="00297E9F" w:rsidRDefault="00297E9F" w:rsidP="00FF6FF1">
      <w:pPr>
        <w:spacing w:after="0" w:line="240" w:lineRule="auto"/>
      </w:pPr>
      <w:r>
        <w:separator/>
      </w:r>
    </w:p>
  </w:footnote>
  <w:footnote w:type="continuationSeparator" w:id="0">
    <w:p w14:paraId="4CB96C40" w14:textId="77777777" w:rsidR="00297E9F" w:rsidRDefault="00297E9F" w:rsidP="00FF6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24B3B"/>
    <w:multiLevelType w:val="hybridMultilevel"/>
    <w:tmpl w:val="F2309AF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374B780B"/>
    <w:multiLevelType w:val="hybridMultilevel"/>
    <w:tmpl w:val="2B7E08E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214850997">
    <w:abstractNumId w:val="0"/>
  </w:num>
  <w:num w:numId="2" w16cid:durableId="2115978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60"/>
    <w:rsid w:val="00021778"/>
    <w:rsid w:val="00032086"/>
    <w:rsid w:val="0003700B"/>
    <w:rsid w:val="00054071"/>
    <w:rsid w:val="000B3228"/>
    <w:rsid w:val="000E6564"/>
    <w:rsid w:val="00106AA1"/>
    <w:rsid w:val="00190E9D"/>
    <w:rsid w:val="00297E9F"/>
    <w:rsid w:val="00300610"/>
    <w:rsid w:val="00317B2C"/>
    <w:rsid w:val="003A0192"/>
    <w:rsid w:val="003D11E8"/>
    <w:rsid w:val="00407D09"/>
    <w:rsid w:val="00457D38"/>
    <w:rsid w:val="004F3DC8"/>
    <w:rsid w:val="005A7FD7"/>
    <w:rsid w:val="00662194"/>
    <w:rsid w:val="00683C1A"/>
    <w:rsid w:val="006A0DB4"/>
    <w:rsid w:val="007C189B"/>
    <w:rsid w:val="007D6727"/>
    <w:rsid w:val="008103F6"/>
    <w:rsid w:val="0090107D"/>
    <w:rsid w:val="00943EAF"/>
    <w:rsid w:val="0098589B"/>
    <w:rsid w:val="009A047F"/>
    <w:rsid w:val="009C2F51"/>
    <w:rsid w:val="00AB3441"/>
    <w:rsid w:val="00B2014A"/>
    <w:rsid w:val="00B477EB"/>
    <w:rsid w:val="00BE24EA"/>
    <w:rsid w:val="00C25481"/>
    <w:rsid w:val="00C6375F"/>
    <w:rsid w:val="00CE5143"/>
    <w:rsid w:val="00D35907"/>
    <w:rsid w:val="00D56628"/>
    <w:rsid w:val="00D6064F"/>
    <w:rsid w:val="00D64514"/>
    <w:rsid w:val="00DE081D"/>
    <w:rsid w:val="00DE44F4"/>
    <w:rsid w:val="00F34C9D"/>
    <w:rsid w:val="00F73060"/>
    <w:rsid w:val="00FF6FF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B65C5"/>
  <w15:chartTrackingRefBased/>
  <w15:docId w15:val="{18124347-C97B-458E-9E6F-984CBEB48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F73060"/>
    <w:rPr>
      <w:rFonts w:ascii="Times New Roman" w:hAnsi="Times New Roman" w:cs="Times New Roman"/>
      <w:color w:val="808080"/>
    </w:rPr>
  </w:style>
  <w:style w:type="paragraph" w:styleId="Odsekzoznamu">
    <w:name w:val="List Paragraph"/>
    <w:basedOn w:val="Normlny"/>
    <w:uiPriority w:val="34"/>
    <w:qFormat/>
    <w:rsid w:val="00F73060"/>
    <w:pPr>
      <w:ind w:left="720"/>
      <w:contextualSpacing/>
    </w:pPr>
  </w:style>
  <w:style w:type="paragraph" w:styleId="Pta">
    <w:name w:val="footer"/>
    <w:basedOn w:val="Normlny"/>
    <w:link w:val="PtaChar"/>
    <w:uiPriority w:val="99"/>
    <w:unhideWhenUsed/>
    <w:rsid w:val="00FF6FF1"/>
    <w:pPr>
      <w:tabs>
        <w:tab w:val="center" w:pos="4536"/>
        <w:tab w:val="right" w:pos="9072"/>
      </w:tabs>
      <w:spacing w:after="0" w:line="240" w:lineRule="auto"/>
    </w:pPr>
  </w:style>
  <w:style w:type="character" w:customStyle="1" w:styleId="PtaChar">
    <w:name w:val="Päta Char"/>
    <w:basedOn w:val="Predvolenpsmoodseku"/>
    <w:link w:val="Pta"/>
    <w:uiPriority w:val="99"/>
    <w:rsid w:val="00FF6FF1"/>
  </w:style>
  <w:style w:type="paragraph" w:styleId="Hlavika">
    <w:name w:val="header"/>
    <w:basedOn w:val="Normlny"/>
    <w:link w:val="HlavikaChar"/>
    <w:uiPriority w:val="99"/>
    <w:unhideWhenUsed/>
    <w:rsid w:val="0003208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32086"/>
  </w:style>
  <w:style w:type="paragraph" w:styleId="Revzia">
    <w:name w:val="Revision"/>
    <w:hidden/>
    <w:uiPriority w:val="99"/>
    <w:semiHidden/>
    <w:rsid w:val="007C189B"/>
    <w:pPr>
      <w:spacing w:after="0" w:line="240" w:lineRule="auto"/>
    </w:pPr>
  </w:style>
  <w:style w:type="character" w:styleId="Odkaznakomentr">
    <w:name w:val="annotation reference"/>
    <w:basedOn w:val="Predvolenpsmoodseku"/>
    <w:uiPriority w:val="99"/>
    <w:semiHidden/>
    <w:unhideWhenUsed/>
    <w:rsid w:val="007C189B"/>
    <w:rPr>
      <w:sz w:val="16"/>
      <w:szCs w:val="16"/>
    </w:rPr>
  </w:style>
  <w:style w:type="paragraph" w:styleId="Textkomentra">
    <w:name w:val="annotation text"/>
    <w:basedOn w:val="Normlny"/>
    <w:link w:val="TextkomentraChar"/>
    <w:uiPriority w:val="99"/>
    <w:unhideWhenUsed/>
    <w:rsid w:val="007C189B"/>
    <w:pPr>
      <w:spacing w:line="240" w:lineRule="auto"/>
    </w:pPr>
    <w:rPr>
      <w:sz w:val="20"/>
      <w:szCs w:val="20"/>
    </w:rPr>
  </w:style>
  <w:style w:type="character" w:customStyle="1" w:styleId="TextkomentraChar">
    <w:name w:val="Text komentára Char"/>
    <w:basedOn w:val="Predvolenpsmoodseku"/>
    <w:link w:val="Textkomentra"/>
    <w:uiPriority w:val="99"/>
    <w:rsid w:val="007C189B"/>
    <w:rPr>
      <w:sz w:val="20"/>
      <w:szCs w:val="20"/>
    </w:rPr>
  </w:style>
  <w:style w:type="paragraph" w:styleId="Predmetkomentra">
    <w:name w:val="annotation subject"/>
    <w:basedOn w:val="Textkomentra"/>
    <w:next w:val="Textkomentra"/>
    <w:link w:val="PredmetkomentraChar"/>
    <w:uiPriority w:val="99"/>
    <w:semiHidden/>
    <w:unhideWhenUsed/>
    <w:rsid w:val="007C189B"/>
    <w:rPr>
      <w:b/>
      <w:bCs/>
    </w:rPr>
  </w:style>
  <w:style w:type="character" w:customStyle="1" w:styleId="PredmetkomentraChar">
    <w:name w:val="Predmet komentára Char"/>
    <w:basedOn w:val="TextkomentraChar"/>
    <w:link w:val="Predmetkomentra"/>
    <w:uiPriority w:val="99"/>
    <w:semiHidden/>
    <w:rsid w:val="007C189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152095">
      <w:bodyDiv w:val="1"/>
      <w:marLeft w:val="0"/>
      <w:marRight w:val="0"/>
      <w:marTop w:val="0"/>
      <w:marBottom w:val="0"/>
      <w:divBdr>
        <w:top w:val="none" w:sz="0" w:space="0" w:color="auto"/>
        <w:left w:val="none" w:sz="0" w:space="0" w:color="auto"/>
        <w:bottom w:val="none" w:sz="0" w:space="0" w:color="auto"/>
        <w:right w:val="none" w:sz="0" w:space="0" w:color="auto"/>
      </w:divBdr>
    </w:div>
    <w:div w:id="179655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514</Words>
  <Characters>2932</Characters>
  <Application>Microsoft Office Word</Application>
  <DocSecurity>0</DocSecurity>
  <Lines>24</Lines>
  <Paragraphs>6</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Hlinkova Katarina</dc:creator>
  <cp:keywords/>
  <dc:description/>
  <cp:lastModifiedBy>Huba Katarína</cp:lastModifiedBy>
  <cp:revision>11</cp:revision>
  <dcterms:created xsi:type="dcterms:W3CDTF">2025-11-10T12:59:00Z</dcterms:created>
  <dcterms:modified xsi:type="dcterms:W3CDTF">2026-09-22T08:05:00Z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6db2f8f,3e2b6b26,271ddddd</vt:lpwstr>
  </property>
  <property fmtid="{D5CDD505-2E9C-101B-9397-08002B2CF9AE}" pid="3" name="ClassificationContentMarkingFooterFontProps">
    <vt:lpwstr>#000000,10,Calibri</vt:lpwstr>
  </property>
  <property fmtid="{D5CDD505-2E9C-101B-9397-08002B2CF9AE}" pid="4" name="ClassificationContentMarkingFooterText">
    <vt:lpwstr>Interné</vt:lpwstr>
  </property>
  <property fmtid="{D5CDD505-2E9C-101B-9397-08002B2CF9AE}" pid="5" name="MSIP_Label_4c805978-f532-4a1a-b9e1-4e19c2c6466f_Enabled">
    <vt:lpwstr>true</vt:lpwstr>
  </property>
  <property fmtid="{D5CDD505-2E9C-101B-9397-08002B2CF9AE}" pid="6" name="MSIP_Label_4c805978-f532-4a1a-b9e1-4e19c2c6466f_SetDate">
    <vt:lpwstr>2025-11-05T15:06:01Z</vt:lpwstr>
  </property>
  <property fmtid="{D5CDD505-2E9C-101B-9397-08002B2CF9AE}" pid="7" name="MSIP_Label_4c805978-f532-4a1a-b9e1-4e19c2c6466f_Method">
    <vt:lpwstr>Standard</vt:lpwstr>
  </property>
  <property fmtid="{D5CDD505-2E9C-101B-9397-08002B2CF9AE}" pid="8" name="MSIP_Label_4c805978-f532-4a1a-b9e1-4e19c2c6466f_Name">
    <vt:lpwstr>Internal</vt:lpwstr>
  </property>
  <property fmtid="{D5CDD505-2E9C-101B-9397-08002B2CF9AE}" pid="9" name="MSIP_Label_4c805978-f532-4a1a-b9e1-4e19c2c6466f_SiteId">
    <vt:lpwstr>579df390-dbff-49fd-8f10-624670566482</vt:lpwstr>
  </property>
  <property fmtid="{D5CDD505-2E9C-101B-9397-08002B2CF9AE}" pid="10" name="MSIP_Label_4c805978-f532-4a1a-b9e1-4e19c2c6466f_ActionId">
    <vt:lpwstr>1827b2bb-b48e-4d0a-8d7e-a2ad135a2a24</vt:lpwstr>
  </property>
  <property fmtid="{D5CDD505-2E9C-101B-9397-08002B2CF9AE}" pid="11" name="MSIP_Label_4c805978-f532-4a1a-b9e1-4e19c2c6466f_ContentBits">
    <vt:lpwstr>2</vt:lpwstr>
  </property>
</Properties>
</file>