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45CD025B" w14:textId="77777777" w:rsidTr="00EE0448">
        <w:trPr>
          <w:trHeight w:val="534"/>
          <w:jc w:val="center"/>
        </w:trPr>
        <w:tc>
          <w:tcPr>
            <w:tcW w:w="5000" w:type="pct"/>
            <w:gridSpan w:val="3"/>
            <w:tcBorders>
              <w:bottom w:val="single" w:sz="4" w:space="0" w:color="auto"/>
            </w:tcBorders>
            <w:shd w:val="clear" w:color="auto" w:fill="BFBFBF" w:themeFill="background1" w:themeFillShade="BF"/>
          </w:tcPr>
          <w:p w14:paraId="2DC1A571"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14:paraId="78F4B790"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5F331582"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0637234B" w14:textId="77777777" w:rsidTr="00EE0448">
        <w:trPr>
          <w:jc w:val="center"/>
        </w:trPr>
        <w:tc>
          <w:tcPr>
            <w:tcW w:w="5000" w:type="pct"/>
            <w:gridSpan w:val="3"/>
            <w:tcBorders>
              <w:bottom w:val="single" w:sz="4" w:space="0" w:color="auto"/>
            </w:tcBorders>
            <w:shd w:val="clear" w:color="auto" w:fill="BFBFBF" w:themeFill="background1" w:themeFillShade="BF"/>
          </w:tcPr>
          <w:p w14:paraId="64E026A3"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2B3A6344" w14:textId="77777777" w:rsidTr="000800FC">
        <w:trPr>
          <w:jc w:val="center"/>
        </w:trPr>
        <w:tc>
          <w:tcPr>
            <w:tcW w:w="5000" w:type="pct"/>
            <w:gridSpan w:val="3"/>
            <w:tcBorders>
              <w:bottom w:val="single" w:sz="4" w:space="0" w:color="auto"/>
            </w:tcBorders>
            <w:shd w:val="clear" w:color="auto" w:fill="F2F2F2"/>
          </w:tcPr>
          <w:p w14:paraId="0C51B330"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35540218"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72E11B65"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40E4F93D"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6C8FB017"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79FEF3D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44DCFAD6"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3F8A6DB5" w14:textId="77777777" w:rsidTr="000800FC">
        <w:trPr>
          <w:trHeight w:val="759"/>
          <w:jc w:val="center"/>
        </w:trPr>
        <w:tc>
          <w:tcPr>
            <w:tcW w:w="129" w:type="pct"/>
            <w:tcBorders>
              <w:top w:val="single" w:sz="4" w:space="0" w:color="auto"/>
              <w:bottom w:val="single" w:sz="4" w:space="0" w:color="auto"/>
            </w:tcBorders>
            <w:vAlign w:val="center"/>
          </w:tcPr>
          <w:p w14:paraId="5F636614"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vAlign w:val="center"/>
          </w:tcPr>
          <w:p w14:paraId="034FF3B2"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2D44B2C1" w14:textId="77777777" w:rsidR="002644DE" w:rsidRPr="002644DE" w:rsidRDefault="002644DE" w:rsidP="002644DE">
            <w:pPr>
              <w:spacing w:after="0" w:line="240" w:lineRule="auto"/>
              <w:ind w:left="720"/>
              <w:contextualSpacing/>
              <w:rPr>
                <w:rFonts w:ascii="Times New Roman" w:eastAsia="Calibri" w:hAnsi="Times New Roman" w:cs="Times New Roman"/>
                <w:sz w:val="20"/>
                <w:szCs w:val="20"/>
                <w:lang w:eastAsia="sk-SK"/>
              </w:rPr>
            </w:pPr>
          </w:p>
        </w:tc>
      </w:tr>
      <w:tr w:rsidR="002644DE" w:rsidRPr="002644DE" w14:paraId="398FD215" w14:textId="77777777" w:rsidTr="000800FC">
        <w:trPr>
          <w:trHeight w:val="397"/>
          <w:jc w:val="center"/>
        </w:trPr>
        <w:tc>
          <w:tcPr>
            <w:tcW w:w="129" w:type="pct"/>
            <w:vMerge w:val="restart"/>
            <w:tcBorders>
              <w:top w:val="single" w:sz="4" w:space="0" w:color="auto"/>
            </w:tcBorders>
            <w:vAlign w:val="center"/>
          </w:tcPr>
          <w:p w14:paraId="3C9F903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tcPr>
          <w:p w14:paraId="506BA707"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4CF3A1B7"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534E7E56" w14:textId="77777777" w:rsidTr="000800FC">
        <w:trPr>
          <w:trHeight w:val="397"/>
          <w:jc w:val="center"/>
        </w:trPr>
        <w:tc>
          <w:tcPr>
            <w:tcW w:w="129" w:type="pct"/>
            <w:vMerge/>
            <w:vAlign w:val="center"/>
          </w:tcPr>
          <w:p w14:paraId="5D7B38F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5B45EEB7"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24E3D426"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7E1192FB" w14:textId="77777777" w:rsidTr="000800FC">
        <w:trPr>
          <w:trHeight w:val="454"/>
          <w:jc w:val="center"/>
        </w:trPr>
        <w:tc>
          <w:tcPr>
            <w:tcW w:w="129" w:type="pct"/>
            <w:tcBorders>
              <w:top w:val="dotted" w:sz="4" w:space="0" w:color="auto"/>
            </w:tcBorders>
            <w:shd w:val="clear" w:color="auto" w:fill="F2F2F2"/>
            <w:vAlign w:val="center"/>
          </w:tcPr>
          <w:p w14:paraId="05517C7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222199AF"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0EA27032" w14:textId="77777777" w:rsidTr="000800FC">
        <w:trPr>
          <w:trHeight w:val="680"/>
          <w:jc w:val="center"/>
        </w:trPr>
        <w:tc>
          <w:tcPr>
            <w:tcW w:w="129" w:type="pct"/>
            <w:vMerge w:val="restart"/>
            <w:tcBorders>
              <w:top w:val="dotted" w:sz="4" w:space="0" w:color="auto"/>
            </w:tcBorders>
            <w:vAlign w:val="center"/>
          </w:tcPr>
          <w:p w14:paraId="0340A12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tcPr>
          <w:p w14:paraId="6173BD5E"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3034BBAF"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7210EEB4"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252A9D06" w14:textId="77777777" w:rsidTr="000800FC">
        <w:trPr>
          <w:trHeight w:val="680"/>
          <w:jc w:val="center"/>
        </w:trPr>
        <w:tc>
          <w:tcPr>
            <w:tcW w:w="129" w:type="pct"/>
            <w:vMerge/>
            <w:vAlign w:val="center"/>
          </w:tcPr>
          <w:p w14:paraId="08B6EAE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6C5F9236"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29791515"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78CDC58F" w14:textId="77777777" w:rsidTr="000800FC">
        <w:trPr>
          <w:trHeight w:val="397"/>
          <w:jc w:val="center"/>
        </w:trPr>
        <w:tc>
          <w:tcPr>
            <w:tcW w:w="129" w:type="pct"/>
            <w:tcBorders>
              <w:top w:val="dotted" w:sz="4" w:space="0" w:color="auto"/>
            </w:tcBorders>
            <w:vAlign w:val="center"/>
          </w:tcPr>
          <w:p w14:paraId="6ED6B33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tcPr>
          <w:p w14:paraId="3DA61C1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2891B4B1"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6CF251FD" w14:textId="77777777" w:rsidTr="000800FC">
        <w:trPr>
          <w:trHeight w:val="170"/>
          <w:jc w:val="center"/>
        </w:trPr>
        <w:tc>
          <w:tcPr>
            <w:tcW w:w="129" w:type="pct"/>
            <w:tcBorders>
              <w:top w:val="nil"/>
              <w:bottom w:val="single" w:sz="4" w:space="0" w:color="auto"/>
            </w:tcBorders>
            <w:shd w:val="clear" w:color="auto" w:fill="F2F2F2"/>
            <w:vAlign w:val="center"/>
          </w:tcPr>
          <w:p w14:paraId="0921084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5347FD23"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0BC70408"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37FC2129" w14:textId="77777777" w:rsidTr="000800FC">
        <w:trPr>
          <w:trHeight w:val="759"/>
          <w:jc w:val="center"/>
        </w:trPr>
        <w:tc>
          <w:tcPr>
            <w:tcW w:w="129" w:type="pct"/>
            <w:tcBorders>
              <w:top w:val="single" w:sz="4" w:space="0" w:color="auto"/>
              <w:bottom w:val="single" w:sz="4" w:space="0" w:color="auto"/>
            </w:tcBorders>
            <w:vAlign w:val="center"/>
          </w:tcPr>
          <w:p w14:paraId="274041C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67278A36"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72EE388B"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099B934A" w14:textId="77777777" w:rsidTr="000800FC">
        <w:trPr>
          <w:trHeight w:val="397"/>
          <w:jc w:val="center"/>
        </w:trPr>
        <w:tc>
          <w:tcPr>
            <w:tcW w:w="129" w:type="pct"/>
            <w:vMerge w:val="restart"/>
            <w:tcBorders>
              <w:top w:val="single" w:sz="4" w:space="0" w:color="auto"/>
            </w:tcBorders>
            <w:vAlign w:val="center"/>
          </w:tcPr>
          <w:p w14:paraId="5E90F4B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tcPr>
          <w:p w14:paraId="7A07F91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1EED1DC3"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4A63306D" w14:textId="77777777" w:rsidTr="000800FC">
        <w:trPr>
          <w:trHeight w:val="397"/>
          <w:jc w:val="center"/>
        </w:trPr>
        <w:tc>
          <w:tcPr>
            <w:tcW w:w="129" w:type="pct"/>
            <w:vMerge/>
            <w:vAlign w:val="center"/>
          </w:tcPr>
          <w:p w14:paraId="306E425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10F4EABD"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1EDE1F4B"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06E2FD4C" w14:textId="77777777" w:rsidTr="000800FC">
        <w:trPr>
          <w:trHeight w:val="397"/>
          <w:jc w:val="center"/>
        </w:trPr>
        <w:tc>
          <w:tcPr>
            <w:tcW w:w="129" w:type="pct"/>
            <w:tcBorders>
              <w:top w:val="dotted" w:sz="4" w:space="0" w:color="auto"/>
            </w:tcBorders>
            <w:shd w:val="clear" w:color="auto" w:fill="F2F2F2"/>
            <w:vAlign w:val="center"/>
          </w:tcPr>
          <w:p w14:paraId="5A459791"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3AD48AF0"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1C6BE4AC" w14:textId="77777777" w:rsidTr="000800FC">
        <w:trPr>
          <w:trHeight w:val="680"/>
          <w:jc w:val="center"/>
        </w:trPr>
        <w:tc>
          <w:tcPr>
            <w:tcW w:w="129" w:type="pct"/>
            <w:vMerge w:val="restart"/>
            <w:tcBorders>
              <w:top w:val="dotted" w:sz="4" w:space="0" w:color="auto"/>
            </w:tcBorders>
            <w:vAlign w:val="center"/>
          </w:tcPr>
          <w:p w14:paraId="4D1BF37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tcPr>
          <w:p w14:paraId="44593364"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2D155E84"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27D7C9F8"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416B7419" w14:textId="77777777" w:rsidTr="000800FC">
        <w:trPr>
          <w:trHeight w:val="680"/>
          <w:jc w:val="center"/>
        </w:trPr>
        <w:tc>
          <w:tcPr>
            <w:tcW w:w="129" w:type="pct"/>
            <w:vMerge/>
            <w:vAlign w:val="center"/>
          </w:tcPr>
          <w:p w14:paraId="7230491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4170D072"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1FF97E35"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3A60D77E" w14:textId="77777777" w:rsidTr="000800FC">
        <w:trPr>
          <w:trHeight w:val="350"/>
          <w:jc w:val="center"/>
        </w:trPr>
        <w:tc>
          <w:tcPr>
            <w:tcW w:w="129" w:type="pct"/>
            <w:tcBorders>
              <w:top w:val="dotted" w:sz="4" w:space="0" w:color="auto"/>
              <w:bottom w:val="single" w:sz="4" w:space="0" w:color="auto"/>
            </w:tcBorders>
            <w:vAlign w:val="center"/>
          </w:tcPr>
          <w:p w14:paraId="5251A97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21DE1D08"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610C9299"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54D71322"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3037C36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665137D0"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6D924EF8" w14:textId="77777777" w:rsidTr="000800FC">
        <w:trPr>
          <w:trHeight w:val="759"/>
          <w:jc w:val="center"/>
        </w:trPr>
        <w:tc>
          <w:tcPr>
            <w:tcW w:w="129" w:type="pct"/>
            <w:tcBorders>
              <w:top w:val="single" w:sz="4" w:space="0" w:color="auto"/>
              <w:bottom w:val="single" w:sz="4" w:space="0" w:color="auto"/>
            </w:tcBorders>
            <w:vAlign w:val="center"/>
          </w:tcPr>
          <w:p w14:paraId="5A05E0C2"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2E8C5169"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vAlign w:val="center"/>
          </w:tcPr>
          <w:p w14:paraId="581C084D"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46776609" w14:textId="77777777" w:rsidR="002644DE" w:rsidRPr="002644DE" w:rsidRDefault="002644DE" w:rsidP="002644DE">
            <w:pPr>
              <w:spacing w:after="0" w:line="240" w:lineRule="auto"/>
              <w:ind w:left="720"/>
              <w:contextualSpacing/>
              <w:rPr>
                <w:rFonts w:ascii="Times New Roman" w:eastAsia="Calibri" w:hAnsi="Times New Roman" w:cs="Times New Roman"/>
                <w:sz w:val="20"/>
                <w:szCs w:val="20"/>
                <w:lang w:eastAsia="sk-SK"/>
              </w:rPr>
            </w:pPr>
          </w:p>
        </w:tc>
      </w:tr>
      <w:tr w:rsidR="002644DE" w:rsidRPr="002644DE" w14:paraId="76EFC7B6" w14:textId="77777777" w:rsidTr="000800FC">
        <w:trPr>
          <w:trHeight w:val="397"/>
          <w:jc w:val="center"/>
        </w:trPr>
        <w:tc>
          <w:tcPr>
            <w:tcW w:w="129" w:type="pct"/>
            <w:vMerge w:val="restart"/>
            <w:tcBorders>
              <w:top w:val="single" w:sz="4" w:space="0" w:color="auto"/>
            </w:tcBorders>
            <w:vAlign w:val="center"/>
          </w:tcPr>
          <w:p w14:paraId="20EC68E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tcPr>
          <w:p w14:paraId="2881DDB5"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tcPr>
          <w:p w14:paraId="19233688"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5AE827C9" w14:textId="77777777" w:rsidTr="000800FC">
        <w:trPr>
          <w:trHeight w:val="397"/>
          <w:jc w:val="center"/>
        </w:trPr>
        <w:tc>
          <w:tcPr>
            <w:tcW w:w="129" w:type="pct"/>
            <w:vMerge/>
            <w:tcBorders>
              <w:bottom w:val="single" w:sz="4" w:space="0" w:color="auto"/>
            </w:tcBorders>
            <w:vAlign w:val="center"/>
          </w:tcPr>
          <w:p w14:paraId="67CD75D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tcPr>
          <w:p w14:paraId="502DD7EC"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tcPr>
          <w:p w14:paraId="09C16263"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39D36091" w14:textId="77777777" w:rsidTr="000800FC">
        <w:trPr>
          <w:trHeight w:val="397"/>
          <w:jc w:val="center"/>
        </w:trPr>
        <w:tc>
          <w:tcPr>
            <w:tcW w:w="129" w:type="pct"/>
            <w:tcBorders>
              <w:top w:val="single" w:sz="4" w:space="0" w:color="auto"/>
            </w:tcBorders>
            <w:shd w:val="clear" w:color="auto" w:fill="F2F2F2"/>
            <w:vAlign w:val="center"/>
          </w:tcPr>
          <w:p w14:paraId="174B303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d)</w:t>
            </w:r>
          </w:p>
        </w:tc>
        <w:tc>
          <w:tcPr>
            <w:tcW w:w="4871" w:type="pct"/>
            <w:gridSpan w:val="2"/>
            <w:tcBorders>
              <w:top w:val="single" w:sz="4" w:space="0" w:color="auto"/>
            </w:tcBorders>
            <w:shd w:val="clear" w:color="auto" w:fill="F2F2F2"/>
            <w:vAlign w:val="center"/>
          </w:tcPr>
          <w:p w14:paraId="3A85CB41"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7E4576C3" w14:textId="77777777" w:rsidTr="000800FC">
        <w:trPr>
          <w:trHeight w:val="680"/>
          <w:jc w:val="center"/>
        </w:trPr>
        <w:tc>
          <w:tcPr>
            <w:tcW w:w="129" w:type="pct"/>
            <w:vMerge w:val="restart"/>
            <w:tcBorders>
              <w:top w:val="dotted" w:sz="4" w:space="0" w:color="auto"/>
            </w:tcBorders>
            <w:vAlign w:val="center"/>
          </w:tcPr>
          <w:p w14:paraId="7D2C805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tcPr>
          <w:p w14:paraId="2F44E931"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01B2D73E"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44F82237"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1353D7A4" w14:textId="77777777" w:rsidTr="000800FC">
        <w:trPr>
          <w:trHeight w:val="680"/>
          <w:jc w:val="center"/>
        </w:trPr>
        <w:tc>
          <w:tcPr>
            <w:tcW w:w="129" w:type="pct"/>
            <w:vMerge/>
            <w:vAlign w:val="center"/>
          </w:tcPr>
          <w:p w14:paraId="49EA256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36AAB9EA"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4EAB0E63"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3696E7D9" w14:textId="77777777" w:rsidTr="000800FC">
        <w:trPr>
          <w:trHeight w:val="397"/>
          <w:jc w:val="center"/>
        </w:trPr>
        <w:tc>
          <w:tcPr>
            <w:tcW w:w="129" w:type="pct"/>
            <w:tcBorders>
              <w:top w:val="dotted" w:sz="4" w:space="0" w:color="auto"/>
            </w:tcBorders>
            <w:vAlign w:val="center"/>
          </w:tcPr>
          <w:p w14:paraId="128462B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tcPr>
          <w:p w14:paraId="7BCC6397"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6B1598E1"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2299DCE" w14:textId="77777777" w:rsidTr="000800FC">
        <w:trPr>
          <w:trHeight w:val="227"/>
          <w:jc w:val="center"/>
        </w:trPr>
        <w:tc>
          <w:tcPr>
            <w:tcW w:w="129" w:type="pct"/>
            <w:tcBorders>
              <w:top w:val="nil"/>
              <w:bottom w:val="single" w:sz="4" w:space="0" w:color="auto"/>
            </w:tcBorders>
            <w:shd w:val="clear" w:color="auto" w:fill="F2F2F2"/>
            <w:vAlign w:val="center"/>
          </w:tcPr>
          <w:p w14:paraId="5649504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559911C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6C4BC74C"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3B12C940" w14:textId="77777777" w:rsidTr="000800FC">
        <w:trPr>
          <w:trHeight w:val="759"/>
          <w:jc w:val="center"/>
        </w:trPr>
        <w:tc>
          <w:tcPr>
            <w:tcW w:w="129" w:type="pct"/>
            <w:tcBorders>
              <w:top w:val="single" w:sz="4" w:space="0" w:color="auto"/>
              <w:bottom w:val="single" w:sz="4" w:space="0" w:color="auto"/>
            </w:tcBorders>
            <w:vAlign w:val="center"/>
          </w:tcPr>
          <w:p w14:paraId="0197B09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335E7902"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tcPr>
          <w:p w14:paraId="4A5507A3"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397C6C2B" w14:textId="77777777" w:rsidTr="000800FC">
        <w:trPr>
          <w:trHeight w:val="397"/>
          <w:jc w:val="center"/>
        </w:trPr>
        <w:tc>
          <w:tcPr>
            <w:tcW w:w="129" w:type="pct"/>
            <w:vMerge w:val="restart"/>
            <w:tcBorders>
              <w:top w:val="single" w:sz="4" w:space="0" w:color="auto"/>
            </w:tcBorders>
            <w:vAlign w:val="center"/>
          </w:tcPr>
          <w:p w14:paraId="5ABF73E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tcPr>
          <w:p w14:paraId="7DCEC5C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0086411B"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02EA688A" w14:textId="77777777" w:rsidTr="000800FC">
        <w:trPr>
          <w:trHeight w:val="397"/>
          <w:jc w:val="center"/>
        </w:trPr>
        <w:tc>
          <w:tcPr>
            <w:tcW w:w="129" w:type="pct"/>
            <w:vMerge/>
            <w:vAlign w:val="center"/>
          </w:tcPr>
          <w:p w14:paraId="754E92C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6261A379"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56C94860"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42793C98" w14:textId="77777777" w:rsidTr="000800FC">
        <w:trPr>
          <w:trHeight w:val="454"/>
          <w:jc w:val="center"/>
        </w:trPr>
        <w:tc>
          <w:tcPr>
            <w:tcW w:w="129" w:type="pct"/>
            <w:tcBorders>
              <w:top w:val="dotted" w:sz="4" w:space="0" w:color="auto"/>
            </w:tcBorders>
            <w:shd w:val="clear" w:color="auto" w:fill="F2F2F2"/>
            <w:vAlign w:val="center"/>
          </w:tcPr>
          <w:p w14:paraId="75B92B8E"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5BC8D3FB"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2A97CA64" w14:textId="77777777" w:rsidTr="000800FC">
        <w:trPr>
          <w:trHeight w:val="680"/>
          <w:jc w:val="center"/>
        </w:trPr>
        <w:tc>
          <w:tcPr>
            <w:tcW w:w="129" w:type="pct"/>
            <w:vMerge w:val="restart"/>
            <w:tcBorders>
              <w:top w:val="dotted" w:sz="4" w:space="0" w:color="auto"/>
            </w:tcBorders>
            <w:vAlign w:val="center"/>
          </w:tcPr>
          <w:p w14:paraId="40166916"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tcPr>
          <w:p w14:paraId="36CA50FA"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0A915473"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04617A27"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58256F92" w14:textId="77777777" w:rsidTr="000800FC">
        <w:trPr>
          <w:trHeight w:val="680"/>
          <w:jc w:val="center"/>
        </w:trPr>
        <w:tc>
          <w:tcPr>
            <w:tcW w:w="129" w:type="pct"/>
            <w:vMerge/>
            <w:vAlign w:val="center"/>
          </w:tcPr>
          <w:p w14:paraId="1C3C15D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Pr>
          <w:p w14:paraId="481F1686"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6BAFF3B6"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75434F8E" w14:textId="77777777" w:rsidTr="000800FC">
        <w:trPr>
          <w:trHeight w:val="454"/>
          <w:jc w:val="center"/>
        </w:trPr>
        <w:tc>
          <w:tcPr>
            <w:tcW w:w="129" w:type="pct"/>
            <w:tcBorders>
              <w:top w:val="dotted" w:sz="4" w:space="0" w:color="auto"/>
              <w:bottom w:val="single" w:sz="4" w:space="0" w:color="auto"/>
            </w:tcBorders>
            <w:vAlign w:val="center"/>
          </w:tcPr>
          <w:p w14:paraId="2F3627F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4BA79568"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771B817B"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14:paraId="324FEECD" w14:textId="77777777" w:rsidR="002644DE" w:rsidRPr="002644DE" w:rsidRDefault="002644DE" w:rsidP="002644DE">
      <w:r w:rsidRPr="002644DE">
        <w:br w:type="page"/>
      </w:r>
    </w:p>
    <w:p w14:paraId="3F88FDD2" w14:textId="77777777" w:rsidR="002644DE" w:rsidRPr="002644DE" w:rsidRDefault="002644DE" w:rsidP="002644DE">
      <w:pPr>
        <w:sectPr w:rsidR="002644DE" w:rsidRPr="002644DE" w:rsidSect="00670684">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4"/>
        <w:gridCol w:w="82"/>
        <w:gridCol w:w="5560"/>
      </w:tblGrid>
      <w:tr w:rsidR="002644DE" w:rsidRPr="002644DE" w14:paraId="58BD3AFE" w14:textId="77777777" w:rsidTr="00B83734">
        <w:trPr>
          <w:trHeight w:val="339"/>
          <w:jc w:val="center"/>
        </w:trPr>
        <w:tc>
          <w:tcPr>
            <w:tcW w:w="5000" w:type="pct"/>
            <w:gridSpan w:val="4"/>
            <w:tcBorders>
              <w:bottom w:val="single" w:sz="4" w:space="0" w:color="auto"/>
            </w:tcBorders>
            <w:shd w:val="clear" w:color="auto" w:fill="D9D9D9"/>
          </w:tcPr>
          <w:p w14:paraId="057E48D8"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2FC6D03E" w14:textId="77777777" w:rsidTr="00B83734">
        <w:trPr>
          <w:trHeight w:val="290"/>
          <w:jc w:val="center"/>
        </w:trPr>
        <w:tc>
          <w:tcPr>
            <w:tcW w:w="5000" w:type="pct"/>
            <w:gridSpan w:val="4"/>
            <w:tcBorders>
              <w:bottom w:val="single" w:sz="4" w:space="0" w:color="auto"/>
            </w:tcBorders>
            <w:shd w:val="clear" w:color="auto" w:fill="F2F2F2"/>
            <w:vAlign w:val="center"/>
          </w:tcPr>
          <w:p w14:paraId="6E8D08C6"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3396805A"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4057A632" w14:textId="77777777" w:rsidTr="00B83734">
        <w:tblPrEx>
          <w:tblBorders>
            <w:top w:val="none" w:sz="0" w:space="0" w:color="auto"/>
            <w:bottom w:val="none" w:sz="0" w:space="0" w:color="auto"/>
          </w:tblBorders>
        </w:tblPrEx>
        <w:trPr>
          <w:trHeight w:val="557"/>
          <w:jc w:val="center"/>
        </w:trPr>
        <w:tc>
          <w:tcPr>
            <w:tcW w:w="180" w:type="pct"/>
            <w:vAlign w:val="center"/>
          </w:tcPr>
          <w:p w14:paraId="792FA24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tcPr>
          <w:p w14:paraId="337264A0"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468B235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62D6C86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64D3A39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26378ED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3C70277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35A7247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682F15C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7163CC6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1CA6A74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406CFAE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2FE175A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776AB744"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7" w:type="pct"/>
          </w:tcPr>
          <w:p w14:paraId="6005DD6D" w14:textId="4C6A17EA" w:rsidR="007E0C11" w:rsidRPr="00C751A5" w:rsidRDefault="005F62E8" w:rsidP="005F62E8">
            <w:pPr>
              <w:spacing w:after="0" w:line="276" w:lineRule="auto"/>
              <w:jc w:val="both"/>
              <w:rPr>
                <w:rFonts w:ascii="Times New Roman" w:eastAsia="Calibri" w:hAnsi="Times New Roman" w:cs="Times New Roman"/>
                <w:i/>
                <w:iCs/>
                <w:sz w:val="20"/>
                <w:szCs w:val="20"/>
                <w:lang w:eastAsia="sk-SK"/>
              </w:rPr>
            </w:pPr>
            <w:r w:rsidRPr="00C751A5">
              <w:rPr>
                <w:rFonts w:ascii="Times New Roman" w:eastAsia="Calibri" w:hAnsi="Times New Roman" w:cs="Times New Roman"/>
                <w:b/>
                <w:bCs/>
                <w:sz w:val="20"/>
                <w:szCs w:val="20"/>
                <w:lang w:eastAsia="sk-SK"/>
              </w:rPr>
              <w:t>Regulácia</w:t>
            </w:r>
            <w:r w:rsidR="007E0C11" w:rsidRPr="00C751A5">
              <w:rPr>
                <w:rFonts w:ascii="Times New Roman" w:eastAsia="Calibri" w:hAnsi="Times New Roman" w:cs="Times New Roman"/>
                <w:b/>
                <w:bCs/>
                <w:sz w:val="20"/>
                <w:szCs w:val="20"/>
                <w:lang w:eastAsia="sk-SK"/>
              </w:rPr>
              <w:t xml:space="preserve"> č. 2</w:t>
            </w:r>
            <w:r w:rsidR="007E0C11" w:rsidRPr="00C751A5">
              <w:rPr>
                <w:rFonts w:ascii="Times New Roman" w:eastAsia="Calibri" w:hAnsi="Times New Roman" w:cs="Times New Roman"/>
                <w:sz w:val="20"/>
                <w:szCs w:val="20"/>
                <w:lang w:eastAsia="sk-SK"/>
              </w:rPr>
              <w:t xml:space="preserve"> </w:t>
            </w:r>
            <w:r w:rsidR="002E1978" w:rsidRPr="00C751A5">
              <w:rPr>
                <w:rFonts w:ascii="Times New Roman" w:eastAsia="Calibri" w:hAnsi="Times New Roman" w:cs="Times New Roman"/>
                <w:sz w:val="20"/>
                <w:szCs w:val="20"/>
                <w:lang w:eastAsia="sk-SK"/>
              </w:rPr>
              <w:t>„</w:t>
            </w:r>
            <w:r w:rsidR="007E0C11" w:rsidRPr="00C751A5">
              <w:rPr>
                <w:rFonts w:ascii="Times New Roman" w:eastAsia="Calibri" w:hAnsi="Times New Roman" w:cs="Times New Roman"/>
                <w:i/>
                <w:iCs/>
                <w:sz w:val="20"/>
                <w:szCs w:val="20"/>
                <w:lang w:eastAsia="sk-SK"/>
              </w:rPr>
              <w:t>Úprava požiadaviek na hodnotenie jednostrannej záťaže horných končatín“</w:t>
            </w:r>
          </w:p>
          <w:p w14:paraId="6E8FDBD0" w14:textId="446B1051" w:rsidR="005F62E8" w:rsidRPr="00C751A5" w:rsidRDefault="007E0C11" w:rsidP="005F62E8">
            <w:pPr>
              <w:spacing w:after="0" w:line="276" w:lineRule="auto"/>
              <w:jc w:val="both"/>
              <w:rPr>
                <w:rFonts w:ascii="Times New Roman" w:eastAsia="Calibri" w:hAnsi="Times New Roman" w:cs="Times New Roman"/>
                <w:i/>
                <w:iCs/>
                <w:sz w:val="20"/>
                <w:szCs w:val="20"/>
                <w:lang w:eastAsia="sk-SK"/>
              </w:rPr>
            </w:pPr>
            <w:r w:rsidRPr="00C751A5">
              <w:rPr>
                <w:rFonts w:ascii="Times New Roman" w:eastAsia="Calibri" w:hAnsi="Times New Roman" w:cs="Times New Roman"/>
                <w:b/>
                <w:bCs/>
                <w:sz w:val="20"/>
                <w:szCs w:val="20"/>
                <w:lang w:eastAsia="sk-SK"/>
              </w:rPr>
              <w:t>Regulácia č. 4</w:t>
            </w:r>
            <w:r w:rsidRPr="00C751A5">
              <w:rPr>
                <w:rFonts w:ascii="Times New Roman" w:eastAsia="Calibri" w:hAnsi="Times New Roman" w:cs="Times New Roman"/>
                <w:sz w:val="20"/>
                <w:szCs w:val="20"/>
                <w:lang w:eastAsia="sk-SK"/>
              </w:rPr>
              <w:t xml:space="preserve"> </w:t>
            </w:r>
            <w:r w:rsidR="005F62E8" w:rsidRPr="00C751A5">
              <w:rPr>
                <w:rFonts w:ascii="Times New Roman" w:eastAsia="Calibri" w:hAnsi="Times New Roman" w:cs="Times New Roman"/>
                <w:i/>
                <w:iCs/>
                <w:sz w:val="20"/>
                <w:szCs w:val="20"/>
                <w:lang w:eastAsia="sk-SK"/>
              </w:rPr>
              <w:t>„Zvýšenie presnosti hodnotenia vo vzťahu k zdravotnému riziku“</w:t>
            </w:r>
          </w:p>
          <w:p w14:paraId="0EB4E876" w14:textId="7C2DFA59" w:rsidR="007E0C11" w:rsidRPr="00C751A5" w:rsidRDefault="007E0C11" w:rsidP="005F62E8">
            <w:pPr>
              <w:spacing w:after="0" w:line="276" w:lineRule="auto"/>
              <w:jc w:val="both"/>
              <w:rPr>
                <w:rFonts w:ascii="Times New Roman" w:eastAsia="Calibri" w:hAnsi="Times New Roman" w:cs="Times New Roman"/>
                <w:i/>
                <w:iCs/>
                <w:sz w:val="20"/>
                <w:szCs w:val="20"/>
                <w:lang w:eastAsia="sk-SK"/>
              </w:rPr>
            </w:pPr>
            <w:r w:rsidRPr="00C751A5">
              <w:rPr>
                <w:rFonts w:ascii="Times New Roman" w:eastAsia="Calibri" w:hAnsi="Times New Roman" w:cs="Times New Roman"/>
                <w:b/>
                <w:bCs/>
                <w:sz w:val="20"/>
                <w:szCs w:val="20"/>
                <w:lang w:eastAsia="sk-SK"/>
              </w:rPr>
              <w:t>Regulácia č. 6</w:t>
            </w:r>
            <w:r w:rsidRPr="00C751A5">
              <w:rPr>
                <w:rFonts w:ascii="Times New Roman" w:eastAsia="Calibri" w:hAnsi="Times New Roman" w:cs="Times New Roman"/>
                <w:i/>
                <w:iCs/>
                <w:sz w:val="20"/>
                <w:szCs w:val="20"/>
                <w:lang w:eastAsia="sk-SK"/>
              </w:rPr>
              <w:t xml:space="preserve"> „Upresnenie kritérií hodnotenia krátkodobého energetického výdaja“</w:t>
            </w:r>
          </w:p>
          <w:p w14:paraId="192BCA53" w14:textId="5622596E" w:rsidR="007E0C11" w:rsidRPr="00C751A5" w:rsidRDefault="007E0C11" w:rsidP="005F62E8">
            <w:pPr>
              <w:spacing w:after="0" w:line="276" w:lineRule="auto"/>
              <w:jc w:val="both"/>
              <w:rPr>
                <w:rFonts w:ascii="Times New Roman" w:eastAsia="Calibri" w:hAnsi="Times New Roman" w:cs="Times New Roman"/>
                <w:sz w:val="20"/>
                <w:szCs w:val="20"/>
                <w:lang w:eastAsia="sk-SK"/>
              </w:rPr>
            </w:pPr>
            <w:r w:rsidRPr="00C751A5">
              <w:rPr>
                <w:rFonts w:ascii="Times New Roman" w:eastAsia="Calibri" w:hAnsi="Times New Roman" w:cs="Times New Roman"/>
                <w:b/>
                <w:bCs/>
                <w:sz w:val="20"/>
                <w:szCs w:val="20"/>
                <w:lang w:eastAsia="sk-SK"/>
              </w:rPr>
              <w:t>Regulácia č. 7</w:t>
            </w:r>
            <w:r w:rsidRPr="00C751A5">
              <w:rPr>
                <w:rFonts w:ascii="Times New Roman" w:eastAsia="Calibri" w:hAnsi="Times New Roman" w:cs="Times New Roman"/>
                <w:sz w:val="20"/>
                <w:szCs w:val="20"/>
                <w:lang w:eastAsia="sk-SK"/>
              </w:rPr>
              <w:t xml:space="preserve"> </w:t>
            </w:r>
            <w:r w:rsidRPr="00C751A5">
              <w:rPr>
                <w:rFonts w:ascii="Times New Roman" w:eastAsia="Calibri" w:hAnsi="Times New Roman" w:cs="Times New Roman"/>
                <w:i/>
                <w:iCs/>
                <w:sz w:val="20"/>
                <w:szCs w:val="20"/>
                <w:lang w:eastAsia="sk-SK"/>
              </w:rPr>
              <w:t>„Úprava požiadaviek na hodnotenie nepriaznivých pracovných polôh“</w:t>
            </w:r>
          </w:p>
          <w:p w14:paraId="0FC96AF1" w14:textId="0A3A502D" w:rsidR="007E0C11" w:rsidRPr="00C34A00" w:rsidRDefault="009831AF" w:rsidP="005F62E8">
            <w:pPr>
              <w:spacing w:after="0" w:line="276" w:lineRule="auto"/>
              <w:jc w:val="both"/>
              <w:rPr>
                <w:rFonts w:ascii="Times New Roman" w:eastAsia="Calibri" w:hAnsi="Times New Roman" w:cs="Times New Roman"/>
                <w:i/>
                <w:iCs/>
                <w:sz w:val="20"/>
                <w:szCs w:val="20"/>
                <w:lang w:eastAsia="sk-SK"/>
              </w:rPr>
            </w:pPr>
            <w:r w:rsidRPr="00C34A00">
              <w:rPr>
                <w:rFonts w:ascii="Times New Roman" w:eastAsia="Calibri" w:hAnsi="Times New Roman" w:cs="Times New Roman"/>
                <w:b/>
                <w:bCs/>
                <w:sz w:val="20"/>
                <w:szCs w:val="20"/>
                <w:lang w:eastAsia="sk-SK"/>
              </w:rPr>
              <w:t>Regulácia č. 8</w:t>
            </w:r>
            <w:r w:rsidRPr="00C34A00">
              <w:rPr>
                <w:rFonts w:ascii="Times New Roman" w:eastAsia="Calibri" w:hAnsi="Times New Roman" w:cs="Times New Roman"/>
                <w:sz w:val="20"/>
                <w:szCs w:val="20"/>
                <w:lang w:eastAsia="sk-SK"/>
              </w:rPr>
              <w:t xml:space="preserve"> </w:t>
            </w:r>
            <w:r w:rsidRPr="00C34A00">
              <w:rPr>
                <w:rFonts w:ascii="Times New Roman" w:eastAsia="Calibri" w:hAnsi="Times New Roman" w:cs="Times New Roman"/>
                <w:i/>
                <w:iCs/>
                <w:sz w:val="20"/>
                <w:szCs w:val="20"/>
                <w:lang w:eastAsia="sk-SK"/>
              </w:rPr>
              <w:t>„Určenie vplyvu vibrácií alebo mikroklimatických podmienok“</w:t>
            </w:r>
          </w:p>
          <w:p w14:paraId="7A229168" w14:textId="77777777" w:rsidR="009831AF" w:rsidRPr="00C751A5" w:rsidRDefault="009831AF" w:rsidP="005F62E8">
            <w:pPr>
              <w:spacing w:after="0" w:line="276" w:lineRule="auto"/>
              <w:jc w:val="both"/>
              <w:rPr>
                <w:rFonts w:ascii="Times New Roman" w:eastAsia="Calibri" w:hAnsi="Times New Roman" w:cs="Times New Roman"/>
                <w:sz w:val="20"/>
                <w:szCs w:val="20"/>
                <w:lang w:eastAsia="sk-SK"/>
              </w:rPr>
            </w:pPr>
          </w:p>
          <w:p w14:paraId="2B1A60AF" w14:textId="6259E753" w:rsidR="00DC214E" w:rsidRPr="00C751A5" w:rsidRDefault="00C213EF" w:rsidP="00DC214E">
            <w:pPr>
              <w:spacing w:after="0" w:line="276" w:lineRule="auto"/>
              <w:jc w:val="both"/>
              <w:rPr>
                <w:rFonts w:ascii="Times New Roman" w:eastAsia="Calibri" w:hAnsi="Times New Roman" w:cs="Times New Roman"/>
                <w:sz w:val="20"/>
                <w:szCs w:val="20"/>
                <w:lang w:eastAsia="sk-SK"/>
              </w:rPr>
            </w:pPr>
            <w:r w:rsidRPr="00C751A5">
              <w:rPr>
                <w:rFonts w:ascii="Times New Roman" w:hAnsi="Times New Roman" w:cs="Times New Roman"/>
                <w:sz w:val="20"/>
                <w:szCs w:val="20"/>
              </w:rPr>
              <w:t>Podľa nového návrhu vyhlášky sa zavedením regulácii č. 2, 4, 6 a 7 predpokladá zníženie počtu prác zaradených do tretej kategórie alebo štvrtej kategórie (rizikové práce). Do tretej kategórie práce alebo štvrtej kategórie</w:t>
            </w:r>
            <w:r w:rsidR="00DC214E" w:rsidRPr="00C751A5">
              <w:rPr>
                <w:rFonts w:ascii="Times New Roman" w:hAnsi="Times New Roman" w:cs="Times New Roman"/>
                <w:sz w:val="20"/>
                <w:szCs w:val="20"/>
              </w:rPr>
              <w:t xml:space="preserve"> práce (okrem energetického výdaja, kedy sa štvrtá kategória neurčuje) bude zahrnutých menej </w:t>
            </w:r>
            <w:r w:rsidR="00AF3F43" w:rsidRPr="00C751A5">
              <w:rPr>
                <w:rFonts w:ascii="Times New Roman" w:hAnsi="Times New Roman" w:cs="Times New Roman"/>
                <w:sz w:val="20"/>
                <w:szCs w:val="20"/>
              </w:rPr>
              <w:t>nepresne alebo chybne</w:t>
            </w:r>
            <w:r w:rsidR="00DC214E" w:rsidRPr="00C751A5">
              <w:rPr>
                <w:rFonts w:ascii="Times New Roman" w:hAnsi="Times New Roman" w:cs="Times New Roman"/>
                <w:sz w:val="20"/>
                <w:szCs w:val="20"/>
              </w:rPr>
              <w:t xml:space="preserve"> pozitívnych (t. j. rizikových) prípadov, čím sa predpokladá zníženie počtu prác zaradených do tretej alebo štvrtej kategórie (rizikové práce). </w:t>
            </w:r>
            <w:r w:rsidR="00F52B21" w:rsidRPr="00C751A5">
              <w:rPr>
                <w:rFonts w:ascii="Times New Roman" w:hAnsi="Times New Roman" w:cs="Times New Roman"/>
                <w:sz w:val="20"/>
                <w:szCs w:val="20"/>
              </w:rPr>
              <w:t xml:space="preserve">Zamestnanec, ktorý nebude vykonávať rizikovú prácu nebude mať  </w:t>
            </w:r>
            <w:r w:rsidR="00DC214E" w:rsidRPr="00C751A5">
              <w:rPr>
                <w:rFonts w:ascii="Times New Roman" w:hAnsi="Times New Roman" w:cs="Times New Roman"/>
                <w:sz w:val="20"/>
                <w:szCs w:val="20"/>
              </w:rPr>
              <w:t xml:space="preserve">právny nárok </w:t>
            </w:r>
            <w:r w:rsidR="00DC214E" w:rsidRPr="00C751A5">
              <w:rPr>
                <w:rFonts w:ascii="Times New Roman" w:eastAsia="Calibri" w:hAnsi="Times New Roman" w:cs="Times New Roman"/>
                <w:sz w:val="20"/>
                <w:szCs w:val="20"/>
                <w:lang w:eastAsia="sk-SK"/>
              </w:rPr>
              <w:t xml:space="preserve">na príspevok na doplnkové dôchodkové sporenie určenej zákonom č. 650/2004 Z. z. o doplnkovom dôchodkovom sporení a o zmene a doplnení niektorých zákonov v znení neskorších predpisov a tiež právny nárok na zabezpečenie rekondičného pobytu alebo rehabilitácie v súvislosti s prácou podľa zákona č. 124/2006 Z. z. V tomto prípade nemá nárok na mzdovú kompenzáciu za sťažený výkon práce podľa zákona č. 311/2001 Z. z. Zákonník práce (mzdová kompenzácia za sťažený výkon práce – ak zamestnanec používal na zníženie zdravotného rizika osobné ochranné pracovné prostriedky). Tieto regulácie môžu mať </w:t>
            </w:r>
            <w:r w:rsidR="00DC214E" w:rsidRPr="00C751A5">
              <w:rPr>
                <w:rFonts w:ascii="Times New Roman" w:eastAsia="Calibri" w:hAnsi="Times New Roman" w:cs="Times New Roman"/>
                <w:b/>
                <w:bCs/>
                <w:sz w:val="20"/>
                <w:szCs w:val="20"/>
                <w:u w:val="single"/>
                <w:lang w:eastAsia="sk-SK"/>
              </w:rPr>
              <w:t>negatívny sociálny vplyv</w:t>
            </w:r>
            <w:r w:rsidR="00DC214E" w:rsidRPr="00C751A5">
              <w:rPr>
                <w:rFonts w:ascii="Times New Roman" w:eastAsia="Calibri" w:hAnsi="Times New Roman" w:cs="Times New Roman"/>
                <w:b/>
                <w:bCs/>
                <w:sz w:val="20"/>
                <w:szCs w:val="20"/>
                <w:lang w:eastAsia="sk-SK"/>
              </w:rPr>
              <w:t xml:space="preserve">, </w:t>
            </w:r>
            <w:r w:rsidR="00DC214E" w:rsidRPr="00C751A5">
              <w:rPr>
                <w:rFonts w:ascii="Times New Roman" w:eastAsia="Calibri" w:hAnsi="Times New Roman" w:cs="Times New Roman"/>
                <w:sz w:val="20"/>
                <w:szCs w:val="20"/>
                <w:lang w:eastAsia="sk-SK"/>
              </w:rPr>
              <w:t>v súvislosti s vyradením takýchto zamestnancov z kategórie rizika, ale zároveň nedôjde k zhoršeniu ochrany zdravia zamestnancov</w:t>
            </w:r>
            <w:r w:rsidR="001C34DC" w:rsidRPr="00C751A5">
              <w:rPr>
                <w:rFonts w:ascii="Times New Roman" w:eastAsia="Calibri" w:hAnsi="Times New Roman" w:cs="Times New Roman"/>
                <w:sz w:val="20"/>
                <w:szCs w:val="20"/>
                <w:lang w:eastAsia="sk-SK"/>
              </w:rPr>
              <w:t>, lebo sa zvyšuje presnosť hodnotenia vo vzťahu k zdravotnému riziku</w:t>
            </w:r>
            <w:r w:rsidR="00DC214E" w:rsidRPr="00C751A5">
              <w:rPr>
                <w:rFonts w:ascii="Times New Roman" w:eastAsia="Calibri" w:hAnsi="Times New Roman" w:cs="Times New Roman"/>
                <w:sz w:val="20"/>
                <w:szCs w:val="20"/>
                <w:lang w:eastAsia="sk-SK"/>
              </w:rPr>
              <w:t xml:space="preserve">. Úrad verejného zdravotníctva SR </w:t>
            </w:r>
            <w:r w:rsidR="009831AF" w:rsidRPr="00C34A00">
              <w:rPr>
                <w:rFonts w:ascii="Times New Roman" w:eastAsia="Calibri" w:hAnsi="Times New Roman" w:cs="Times New Roman"/>
                <w:sz w:val="20"/>
                <w:szCs w:val="20"/>
                <w:lang w:eastAsia="sk-SK"/>
              </w:rPr>
              <w:t xml:space="preserve">nedisponuje podkladmi pre </w:t>
            </w:r>
            <w:r w:rsidR="00DC214E" w:rsidRPr="00C34A00">
              <w:rPr>
                <w:rFonts w:ascii="Times New Roman" w:eastAsia="Calibri" w:hAnsi="Times New Roman" w:cs="Times New Roman"/>
                <w:sz w:val="20"/>
                <w:szCs w:val="20"/>
                <w:lang w:eastAsia="sk-SK"/>
              </w:rPr>
              <w:t xml:space="preserve"> identifik</w:t>
            </w:r>
            <w:r w:rsidR="009831AF" w:rsidRPr="00C34A00">
              <w:rPr>
                <w:rFonts w:ascii="Times New Roman" w:eastAsia="Calibri" w:hAnsi="Times New Roman" w:cs="Times New Roman"/>
                <w:sz w:val="20"/>
                <w:szCs w:val="20"/>
                <w:lang w:eastAsia="sk-SK"/>
              </w:rPr>
              <w:t>áciu</w:t>
            </w:r>
            <w:r w:rsidR="00DC214E" w:rsidRPr="00C34A00">
              <w:rPr>
                <w:rFonts w:ascii="Times New Roman" w:eastAsia="Calibri" w:hAnsi="Times New Roman" w:cs="Times New Roman"/>
                <w:sz w:val="20"/>
                <w:szCs w:val="20"/>
                <w:lang w:eastAsia="sk-SK"/>
              </w:rPr>
              <w:t xml:space="preserve">, koľkých zamestnancov sa tieto regulácie dotknú, preto </w:t>
            </w:r>
            <w:r w:rsidR="009831AF" w:rsidRPr="00C34A00">
              <w:rPr>
                <w:rFonts w:ascii="Times New Roman" w:eastAsia="Calibri" w:hAnsi="Times New Roman" w:cs="Times New Roman"/>
                <w:sz w:val="20"/>
                <w:szCs w:val="20"/>
                <w:lang w:eastAsia="sk-SK"/>
              </w:rPr>
              <w:t>nie je možné</w:t>
            </w:r>
            <w:r w:rsidR="00DC214E" w:rsidRPr="00C34A00">
              <w:rPr>
                <w:rFonts w:ascii="Times New Roman" w:eastAsia="Calibri" w:hAnsi="Times New Roman" w:cs="Times New Roman"/>
                <w:sz w:val="20"/>
                <w:szCs w:val="20"/>
                <w:lang w:eastAsia="sk-SK"/>
              </w:rPr>
              <w:t xml:space="preserve"> kvantifikovať, aký </w:t>
            </w:r>
            <w:r w:rsidR="00DC214E" w:rsidRPr="00C751A5">
              <w:rPr>
                <w:rFonts w:ascii="Times New Roman" w:eastAsia="Calibri" w:hAnsi="Times New Roman" w:cs="Times New Roman"/>
                <w:sz w:val="20"/>
                <w:szCs w:val="20"/>
                <w:lang w:eastAsia="sk-SK"/>
              </w:rPr>
              <w:t>negatívny sociálny vplyv budú tieto regulácie predstavovať. Zároveň však dodávame, že riziková práca neznamená sociálny benefit pre zamestnanca</w:t>
            </w:r>
            <w:r w:rsidR="001C34DC" w:rsidRPr="00C751A5">
              <w:rPr>
                <w:rFonts w:ascii="Times New Roman" w:eastAsia="Calibri" w:hAnsi="Times New Roman" w:cs="Times New Roman"/>
                <w:sz w:val="20"/>
                <w:szCs w:val="20"/>
                <w:lang w:eastAsia="sk-SK"/>
              </w:rPr>
              <w:t>, ale ohrozenie zdravia zamestnancov vystavených nadmernej fyzickej záťaži, s čím súvisí zvýšená ochrana zdravia pri práci dodržiavaním ochranných a preventívnych opatrení, ktoré</w:t>
            </w:r>
            <w:r w:rsidR="00DC214E" w:rsidRPr="00C751A5">
              <w:rPr>
                <w:rFonts w:ascii="Times New Roman" w:eastAsia="Calibri" w:hAnsi="Times New Roman" w:cs="Times New Roman"/>
                <w:sz w:val="20"/>
                <w:szCs w:val="20"/>
                <w:lang w:eastAsia="sk-SK"/>
              </w:rPr>
              <w:t xml:space="preserve"> </w:t>
            </w:r>
            <w:r w:rsidR="001C34DC" w:rsidRPr="00C751A5">
              <w:rPr>
                <w:rFonts w:ascii="Times New Roman" w:eastAsia="Calibri" w:hAnsi="Times New Roman" w:cs="Times New Roman"/>
                <w:sz w:val="20"/>
                <w:szCs w:val="20"/>
                <w:lang w:eastAsia="sk-SK"/>
              </w:rPr>
              <w:t xml:space="preserve">je povinní zamestnávateľ zabezpečiť v súlade s platnou legislatívou. </w:t>
            </w:r>
          </w:p>
          <w:p w14:paraId="698ADD83" w14:textId="2DFBEC4C" w:rsidR="00DC214E" w:rsidRPr="00C751A5" w:rsidRDefault="00DC214E" w:rsidP="00DC214E">
            <w:pPr>
              <w:spacing w:after="0" w:line="276" w:lineRule="auto"/>
              <w:jc w:val="both"/>
              <w:rPr>
                <w:rFonts w:ascii="Times New Roman" w:eastAsia="Calibri" w:hAnsi="Times New Roman" w:cs="Times New Roman"/>
                <w:sz w:val="20"/>
                <w:szCs w:val="20"/>
                <w:highlight w:val="yellow"/>
                <w:lang w:eastAsia="sk-SK"/>
              </w:rPr>
            </w:pPr>
          </w:p>
          <w:p w14:paraId="3F80551C" w14:textId="7E0A2421" w:rsidR="008A5EAA" w:rsidRPr="00C751A5" w:rsidRDefault="008A5EAA" w:rsidP="008A5EAA">
            <w:pPr>
              <w:spacing w:after="0" w:line="240" w:lineRule="auto"/>
              <w:jc w:val="both"/>
              <w:rPr>
                <w:rFonts w:ascii="Times New Roman" w:eastAsia="Times New Roman" w:hAnsi="Times New Roman" w:cs="Times New Roman"/>
                <w:bCs/>
                <w:sz w:val="20"/>
                <w:szCs w:val="20"/>
                <w:lang w:eastAsia="sk-SK"/>
              </w:rPr>
            </w:pPr>
            <w:r w:rsidRPr="00C751A5">
              <w:rPr>
                <w:rFonts w:ascii="Times New Roman" w:eastAsia="Times New Roman" w:hAnsi="Times New Roman" w:cs="Times New Roman"/>
                <w:b/>
                <w:sz w:val="20"/>
                <w:szCs w:val="20"/>
                <w:lang w:eastAsia="sk-SK"/>
              </w:rPr>
              <w:t>Regulácia č. 2</w:t>
            </w:r>
            <w:r w:rsidRPr="00C751A5">
              <w:rPr>
                <w:rFonts w:ascii="Times New Roman" w:eastAsia="Times New Roman" w:hAnsi="Times New Roman" w:cs="Times New Roman"/>
                <w:bCs/>
                <w:sz w:val="20"/>
                <w:szCs w:val="20"/>
                <w:lang w:eastAsia="sk-SK"/>
              </w:rPr>
              <w:t xml:space="preserve"> </w:t>
            </w:r>
            <w:r w:rsidR="002E1978" w:rsidRPr="00C751A5">
              <w:rPr>
                <w:rFonts w:ascii="Times New Roman" w:eastAsia="Times New Roman" w:hAnsi="Times New Roman" w:cs="Times New Roman"/>
                <w:bCs/>
                <w:i/>
                <w:iCs/>
                <w:sz w:val="20"/>
                <w:szCs w:val="20"/>
                <w:lang w:eastAsia="sk-SK"/>
              </w:rPr>
              <w:t>„</w:t>
            </w:r>
            <w:r w:rsidRPr="00C751A5">
              <w:rPr>
                <w:rFonts w:ascii="Times New Roman" w:eastAsia="Times New Roman" w:hAnsi="Times New Roman" w:cs="Times New Roman"/>
                <w:bCs/>
                <w:i/>
                <w:iCs/>
                <w:sz w:val="20"/>
                <w:szCs w:val="20"/>
                <w:lang w:eastAsia="sk-SK"/>
              </w:rPr>
              <w:t>Úprava požiadaviek na hodnotenie jednostrannej záťaže horných končatín</w:t>
            </w:r>
            <w:r w:rsidR="002E1978" w:rsidRPr="00C751A5">
              <w:rPr>
                <w:rFonts w:ascii="Times New Roman" w:eastAsia="Times New Roman" w:hAnsi="Times New Roman" w:cs="Times New Roman"/>
                <w:bCs/>
                <w:i/>
                <w:iCs/>
                <w:sz w:val="20"/>
                <w:szCs w:val="20"/>
                <w:lang w:eastAsia="sk-SK"/>
              </w:rPr>
              <w:t>“</w:t>
            </w:r>
          </w:p>
          <w:p w14:paraId="394DF9C0" w14:textId="3C0FA341" w:rsidR="008A5EAA" w:rsidRPr="00C751A5" w:rsidRDefault="008A5EAA" w:rsidP="008A5EAA">
            <w:pPr>
              <w:autoSpaceDE w:val="0"/>
              <w:autoSpaceDN w:val="0"/>
              <w:adjustRightInd w:val="0"/>
              <w:spacing w:after="0" w:line="276" w:lineRule="auto"/>
              <w:jc w:val="both"/>
              <w:rPr>
                <w:rFonts w:ascii="Times New Roman" w:hAnsi="Times New Roman"/>
                <w:sz w:val="20"/>
                <w:szCs w:val="20"/>
              </w:rPr>
            </w:pPr>
            <w:r w:rsidRPr="00C751A5">
              <w:rPr>
                <w:rFonts w:ascii="Times New Roman" w:hAnsi="Times New Roman"/>
                <w:sz w:val="20"/>
                <w:szCs w:val="20"/>
              </w:rPr>
              <w:t xml:space="preserve">Návrh vyhlášky pri porovnaní s platnou vyhláškou MZ SR č. 542/2007 Z. z. ani nesprísňuje ani nezmierňuje limitné hodnoty pre jednostrannú záťaž horných končatín, ale upresňuje limity vo vzťahu k  zotavovacím prestávkam od jednostrannej záťaže horných </w:t>
            </w:r>
            <w:r w:rsidRPr="00C751A5">
              <w:rPr>
                <w:rFonts w:ascii="Times New Roman" w:hAnsi="Times New Roman"/>
                <w:sz w:val="20"/>
                <w:szCs w:val="20"/>
              </w:rPr>
              <w:lastRenderedPageBreak/>
              <w:t>končatín. Požiadavky na hodnotenie jednostrannej záťaže horných končatín boli aktualizované na základe aplikačnej praxe v SR a v súlade s medzinárodne uznávanými štúdiami, ktoré sú podkladom aj pre odporúčaný prístup k hodnoteniu zdravotného rizika z opakovaných pohybov horných končatín uvedený v medzinárodnej norme (ISO 11228-3) a v európskej norme (STN EN 1005 – 5).</w:t>
            </w:r>
            <w:r w:rsidR="00247C99">
              <w:rPr>
                <w:rFonts w:ascii="Times New Roman" w:hAnsi="Times New Roman"/>
                <w:sz w:val="20"/>
                <w:szCs w:val="20"/>
              </w:rPr>
              <w:t xml:space="preserve"> </w:t>
            </w:r>
            <w:r w:rsidR="00247C99" w:rsidRPr="00C34A00">
              <w:rPr>
                <w:rFonts w:ascii="Times New Roman" w:hAnsi="Times New Roman"/>
                <w:sz w:val="20"/>
                <w:szCs w:val="20"/>
              </w:rPr>
              <w:t>Zaraďovanie zotavovacích prestávok od jednostrannej záťaže, pri ktorých dochádza k regenerácii jednostranne namáhaných svalov hornej končatiny, patrí k jednému z najdôležitejších opatrení na zníženie zdravotného rizika z jednostrannej záťaže horných končatín.</w:t>
            </w:r>
            <w:r w:rsidRPr="00C34A00">
              <w:rPr>
                <w:rFonts w:ascii="Times New Roman" w:hAnsi="Times New Roman"/>
                <w:sz w:val="20"/>
                <w:szCs w:val="20"/>
              </w:rPr>
              <w:t xml:space="preserve"> </w:t>
            </w:r>
            <w:r w:rsidRPr="00C751A5">
              <w:rPr>
                <w:rFonts w:ascii="Times New Roman" w:hAnsi="Times New Roman"/>
                <w:sz w:val="20"/>
                <w:szCs w:val="20"/>
              </w:rPr>
              <w:t>Aktualizovaním požiadaviek na hodnotenie jednostrannej záťaže horných končatín sa zlepší ochrana zdravia zamestnancov</w:t>
            </w:r>
            <w:r w:rsidR="00AC45EF" w:rsidRPr="00C751A5">
              <w:rPr>
                <w:rFonts w:ascii="Times New Roman" w:hAnsi="Times New Roman"/>
                <w:sz w:val="20"/>
                <w:szCs w:val="20"/>
              </w:rPr>
              <w:t xml:space="preserve">, čím predpokladáme </w:t>
            </w:r>
            <w:r w:rsidR="00AC45EF" w:rsidRPr="00C751A5">
              <w:rPr>
                <w:rFonts w:ascii="Times New Roman" w:hAnsi="Times New Roman"/>
                <w:b/>
                <w:bCs/>
                <w:sz w:val="20"/>
                <w:szCs w:val="20"/>
                <w:u w:val="single"/>
              </w:rPr>
              <w:t>pozitívny sociálny vplyv</w:t>
            </w:r>
            <w:r w:rsidR="00AC45EF" w:rsidRPr="00C751A5">
              <w:rPr>
                <w:rFonts w:ascii="Times New Roman" w:hAnsi="Times New Roman"/>
                <w:sz w:val="20"/>
                <w:szCs w:val="20"/>
              </w:rPr>
              <w:t xml:space="preserve">. </w:t>
            </w:r>
          </w:p>
          <w:p w14:paraId="372BB67C" w14:textId="0F60D19F" w:rsidR="00DC214E" w:rsidRPr="00C751A5" w:rsidRDefault="00DC214E" w:rsidP="005F62E8">
            <w:pPr>
              <w:spacing w:after="0" w:line="276" w:lineRule="auto"/>
              <w:jc w:val="both"/>
              <w:rPr>
                <w:rFonts w:ascii="Times New Roman" w:hAnsi="Times New Roman" w:cs="Times New Roman"/>
                <w:sz w:val="20"/>
                <w:szCs w:val="20"/>
              </w:rPr>
            </w:pPr>
            <w:r w:rsidRPr="00C751A5">
              <w:rPr>
                <w:rFonts w:ascii="Times New Roman" w:hAnsi="Times New Roman" w:cs="Times New Roman"/>
                <w:sz w:val="20"/>
                <w:szCs w:val="20"/>
              </w:rPr>
              <w:t xml:space="preserve"> </w:t>
            </w:r>
            <w:r w:rsidR="00C213EF" w:rsidRPr="00C751A5">
              <w:rPr>
                <w:rFonts w:ascii="Times New Roman" w:hAnsi="Times New Roman" w:cs="Times New Roman"/>
                <w:sz w:val="20"/>
                <w:szCs w:val="20"/>
              </w:rPr>
              <w:t xml:space="preserve"> </w:t>
            </w:r>
          </w:p>
          <w:p w14:paraId="3BC6E962" w14:textId="29F76609" w:rsidR="00DC214E" w:rsidRPr="00C751A5" w:rsidRDefault="00974CBE" w:rsidP="005F62E8">
            <w:pPr>
              <w:spacing w:after="0" w:line="276" w:lineRule="auto"/>
              <w:jc w:val="both"/>
              <w:rPr>
                <w:rFonts w:ascii="Times New Roman" w:hAnsi="Times New Roman" w:cs="Times New Roman"/>
                <w:sz w:val="20"/>
                <w:szCs w:val="20"/>
              </w:rPr>
            </w:pPr>
            <w:r w:rsidRPr="00C751A5">
              <w:rPr>
                <w:rFonts w:ascii="Times New Roman" w:hAnsi="Times New Roman" w:cs="Times New Roman"/>
                <w:b/>
                <w:bCs/>
                <w:sz w:val="20"/>
                <w:szCs w:val="20"/>
              </w:rPr>
              <w:t>Regulácia č. 4</w:t>
            </w:r>
            <w:r w:rsidRPr="00C751A5">
              <w:rPr>
                <w:rFonts w:ascii="Times New Roman" w:hAnsi="Times New Roman" w:cs="Times New Roman"/>
                <w:sz w:val="20"/>
                <w:szCs w:val="20"/>
              </w:rPr>
              <w:t xml:space="preserve"> </w:t>
            </w:r>
            <w:r w:rsidRPr="00C751A5">
              <w:rPr>
                <w:rFonts w:ascii="Times New Roman" w:eastAsia="Calibri" w:hAnsi="Times New Roman" w:cs="Times New Roman"/>
                <w:i/>
                <w:iCs/>
                <w:sz w:val="20"/>
                <w:szCs w:val="20"/>
                <w:lang w:eastAsia="sk-SK"/>
              </w:rPr>
              <w:t>„Zvýšenie presnosti hodnotenia vo vzťahu k zdravotnému riziku“</w:t>
            </w:r>
          </w:p>
          <w:p w14:paraId="73BFDC16" w14:textId="2F6A64DB" w:rsidR="005F62E8" w:rsidRPr="00C751A5" w:rsidRDefault="005F62E8" w:rsidP="005F62E8">
            <w:pPr>
              <w:spacing w:after="0" w:line="276" w:lineRule="auto"/>
              <w:jc w:val="both"/>
              <w:rPr>
                <w:rFonts w:ascii="Times New Roman" w:eastAsia="Calibri" w:hAnsi="Times New Roman" w:cs="Times New Roman"/>
                <w:sz w:val="20"/>
                <w:szCs w:val="20"/>
                <w:lang w:eastAsia="sk-SK"/>
              </w:rPr>
            </w:pPr>
            <w:r w:rsidRPr="00C751A5">
              <w:rPr>
                <w:rFonts w:ascii="Times New Roman" w:eastAsia="Calibri" w:hAnsi="Times New Roman" w:cs="Times New Roman"/>
                <w:sz w:val="20"/>
                <w:szCs w:val="20"/>
                <w:lang w:eastAsia="sk-SK"/>
              </w:rPr>
              <w:t xml:space="preserve">Návrhom vyhlášky sa zvyšuje presnosť hodnotenia vo vzťahu k zdravotnému riziku (podľa súčasných vedeckých poznatkov). Upresnením kritérií hodnotenia krátkodobého energetického výdaja sa predchádza tomu, aby sa do rizika zaradili práce, pri ktorých sa zistí (spravidla pri kontinuálnom meraní srdcovej frekvencie) len okamihové prekročenie energetického výdaja, bez jednoznačnej súvislosti s celkovou fyzickou záťažou pri práci. Zvýšenie presnosti hodnotenia vo vzťahu k zdravotnému riziku bude mať </w:t>
            </w:r>
            <w:r w:rsidRPr="00C751A5">
              <w:rPr>
                <w:rFonts w:ascii="Times New Roman" w:eastAsia="Calibri" w:hAnsi="Times New Roman" w:cs="Times New Roman"/>
                <w:b/>
                <w:bCs/>
                <w:sz w:val="20"/>
                <w:szCs w:val="20"/>
                <w:u w:val="single"/>
                <w:lang w:eastAsia="sk-SK"/>
              </w:rPr>
              <w:t>pozitívny sociálny vplyv</w:t>
            </w:r>
            <w:r w:rsidRPr="00C751A5">
              <w:rPr>
                <w:rFonts w:ascii="Times New Roman" w:eastAsia="Calibri" w:hAnsi="Times New Roman" w:cs="Times New Roman"/>
                <w:sz w:val="20"/>
                <w:szCs w:val="20"/>
                <w:lang w:eastAsia="sk-SK"/>
              </w:rPr>
              <w:t xml:space="preserve">. </w:t>
            </w:r>
            <w:r w:rsidR="000F247A" w:rsidRPr="00C751A5">
              <w:rPr>
                <w:rFonts w:ascii="Times New Roman" w:eastAsia="Calibri" w:hAnsi="Times New Roman" w:cs="Times New Roman"/>
                <w:sz w:val="20"/>
                <w:szCs w:val="20"/>
                <w:lang w:eastAsia="sk-SK"/>
              </w:rPr>
              <w:t>Zvýšením presnosti hodnotenia vo vzťahu k zdravotnému riziku sa zlepší ochrana zdravia pri práci, lebo práce, ktoré majú byť zaradené medzi rizikové, sa po zvýšení presnosti hodnotenia zaradia do kategórie 3 alebo kategórie 4; zároveň bude</w:t>
            </w:r>
            <w:r w:rsidR="003D2463" w:rsidRPr="00C751A5">
              <w:rPr>
                <w:rFonts w:ascii="Times New Roman" w:eastAsia="Calibri" w:hAnsi="Times New Roman" w:cs="Times New Roman"/>
                <w:sz w:val="20"/>
                <w:szCs w:val="20"/>
                <w:lang w:eastAsia="sk-SK"/>
              </w:rPr>
              <w:t xml:space="preserve"> zvýšením presnosti hodnotenia</w:t>
            </w:r>
            <w:r w:rsidR="000F247A" w:rsidRPr="00C751A5">
              <w:rPr>
                <w:rFonts w:ascii="Times New Roman" w:eastAsia="Calibri" w:hAnsi="Times New Roman" w:cs="Times New Roman"/>
                <w:sz w:val="20"/>
                <w:szCs w:val="20"/>
                <w:lang w:eastAsia="sk-SK"/>
              </w:rPr>
              <w:t xml:space="preserve"> do kategórie 3 alebo 4 zahrnutých menej falošne pozitívnych (t. j. rizikových) prípadov. </w:t>
            </w:r>
            <w:r w:rsidR="005A16C3" w:rsidRPr="00C751A5">
              <w:rPr>
                <w:rFonts w:ascii="Times New Roman" w:eastAsia="Calibri" w:hAnsi="Times New Roman" w:cs="Times New Roman"/>
                <w:sz w:val="20"/>
                <w:szCs w:val="20"/>
                <w:lang w:eastAsia="sk-SK"/>
              </w:rPr>
              <w:t xml:space="preserve">Cieľom ochrany zdravia pri práci nie je vyhlasovať práce do rizika, ale pomáhať vytvárať zdravé pracovné podmienky, vrátane zavedenia citlivých kritérií na zhodnotenie efektívnosti zavádzaných opatrení.  </w:t>
            </w:r>
            <w:r w:rsidR="00B70802" w:rsidRPr="00C751A5">
              <w:rPr>
                <w:rFonts w:ascii="Times New Roman" w:eastAsia="Calibri" w:hAnsi="Times New Roman" w:cs="Times New Roman"/>
                <w:sz w:val="20"/>
                <w:szCs w:val="20"/>
                <w:lang w:eastAsia="sk-SK"/>
              </w:rPr>
              <w:t xml:space="preserve"> </w:t>
            </w:r>
          </w:p>
          <w:p w14:paraId="61D98228" w14:textId="77777777" w:rsidR="00964B33" w:rsidRDefault="00397A7C" w:rsidP="00823CDD">
            <w:pPr>
              <w:spacing w:after="0" w:line="276" w:lineRule="auto"/>
              <w:jc w:val="both"/>
              <w:rPr>
                <w:rFonts w:ascii="Times New Roman" w:eastAsia="Calibri" w:hAnsi="Times New Roman" w:cs="Times New Roman"/>
                <w:sz w:val="20"/>
                <w:szCs w:val="20"/>
                <w:lang w:eastAsia="sk-SK"/>
              </w:rPr>
            </w:pPr>
            <w:r w:rsidRPr="00C751A5">
              <w:rPr>
                <w:rFonts w:ascii="Times New Roman" w:eastAsia="Calibri" w:hAnsi="Times New Roman" w:cs="Times New Roman"/>
                <w:sz w:val="20"/>
                <w:szCs w:val="20"/>
                <w:lang w:eastAsia="sk-SK"/>
              </w:rPr>
              <w:t>Úrad verejného zdravotníctva SR nevie identifikovať, koľkých zamestnancov sa táto regulácia dotkne, preto ani nevieme kvantifikovať, aký pozitívny sociálny vplyv bude táto regulácia predstavovať.</w:t>
            </w:r>
          </w:p>
          <w:p w14:paraId="244049A1" w14:textId="77777777" w:rsidR="006611DA" w:rsidRDefault="006611DA" w:rsidP="00823CDD">
            <w:pPr>
              <w:spacing w:after="0" w:line="276" w:lineRule="auto"/>
              <w:jc w:val="both"/>
              <w:rPr>
                <w:rFonts w:ascii="Times New Roman" w:eastAsia="Calibri" w:hAnsi="Times New Roman" w:cs="Times New Roman"/>
                <w:sz w:val="20"/>
                <w:szCs w:val="20"/>
                <w:lang w:eastAsia="sk-SK"/>
              </w:rPr>
            </w:pPr>
          </w:p>
          <w:p w14:paraId="34392BD1" w14:textId="3A3781DE" w:rsidR="006611DA" w:rsidRPr="00C34A00" w:rsidRDefault="006611DA" w:rsidP="006611DA">
            <w:pPr>
              <w:spacing w:after="0" w:line="276" w:lineRule="auto"/>
              <w:jc w:val="both"/>
              <w:rPr>
                <w:rFonts w:ascii="Times New Roman" w:eastAsia="Calibri" w:hAnsi="Times New Roman" w:cs="Times New Roman"/>
                <w:i/>
                <w:iCs/>
                <w:sz w:val="20"/>
                <w:szCs w:val="20"/>
                <w:lang w:eastAsia="sk-SK"/>
              </w:rPr>
            </w:pPr>
            <w:r w:rsidRPr="00C34A00">
              <w:rPr>
                <w:rFonts w:ascii="Times New Roman" w:eastAsia="Calibri" w:hAnsi="Times New Roman" w:cs="Times New Roman"/>
                <w:b/>
                <w:bCs/>
                <w:sz w:val="20"/>
                <w:szCs w:val="20"/>
                <w:lang w:eastAsia="sk-SK"/>
              </w:rPr>
              <w:t>Regulácia č. 8</w:t>
            </w:r>
            <w:r w:rsidRPr="00C34A00">
              <w:rPr>
                <w:rFonts w:ascii="Times New Roman" w:eastAsia="Calibri" w:hAnsi="Times New Roman" w:cs="Times New Roman"/>
                <w:sz w:val="20"/>
                <w:szCs w:val="20"/>
                <w:lang w:eastAsia="sk-SK"/>
              </w:rPr>
              <w:t xml:space="preserve"> </w:t>
            </w:r>
            <w:r w:rsidRPr="00C34A00">
              <w:rPr>
                <w:rFonts w:ascii="Times New Roman" w:eastAsia="Calibri" w:hAnsi="Times New Roman" w:cs="Times New Roman"/>
                <w:i/>
                <w:iCs/>
                <w:sz w:val="20"/>
                <w:szCs w:val="20"/>
                <w:lang w:eastAsia="sk-SK"/>
              </w:rPr>
              <w:t>„Určenie vplyvu vibrácií alebo mikroklimatických podmienok“</w:t>
            </w:r>
          </w:p>
          <w:p w14:paraId="1052B6B0" w14:textId="482DA920" w:rsidR="006611DA" w:rsidRPr="00C34A00" w:rsidRDefault="00E91F37" w:rsidP="006611DA">
            <w:pPr>
              <w:spacing w:after="0" w:line="276" w:lineRule="auto"/>
              <w:jc w:val="both"/>
              <w:rPr>
                <w:rFonts w:ascii="Times New Roman" w:eastAsia="Calibri" w:hAnsi="Times New Roman" w:cs="Times New Roman"/>
                <w:sz w:val="20"/>
                <w:szCs w:val="20"/>
                <w:lang w:eastAsia="sk-SK"/>
              </w:rPr>
            </w:pPr>
            <w:r w:rsidRPr="00C34A00">
              <w:rPr>
                <w:rFonts w:ascii="Times New Roman" w:eastAsia="Calibri" w:hAnsi="Times New Roman" w:cs="Times New Roman"/>
                <w:sz w:val="20"/>
                <w:szCs w:val="20"/>
                <w:lang w:eastAsia="sk-SK"/>
              </w:rPr>
              <w:t>N</w:t>
            </w:r>
            <w:r w:rsidR="006611DA" w:rsidRPr="00C34A00">
              <w:rPr>
                <w:rFonts w:ascii="Times New Roman" w:eastAsia="Calibri" w:hAnsi="Times New Roman" w:cs="Times New Roman"/>
                <w:sz w:val="20"/>
                <w:szCs w:val="20"/>
                <w:lang w:eastAsia="sk-SK"/>
              </w:rPr>
              <w:t xml:space="preserve">ávrh vyhlášky určuje, že vplyv vibrácií alebo mikroklimatických podmienok prenášaných na ruky zníži najvyššie prípustný počet pohybov najviac o 20 %. Táto skutočnosť prispeje k jednotnosti postupu, vzhľadom na to, že doteraz nebol vplyv vibrácií a mikroklimatických podmienok pri posudzovaní rizika nijako stanovený. </w:t>
            </w:r>
          </w:p>
          <w:p w14:paraId="79334E81" w14:textId="38255171" w:rsidR="006611DA" w:rsidRPr="00C751A5" w:rsidRDefault="006611DA" w:rsidP="006611DA">
            <w:pPr>
              <w:spacing w:after="0" w:line="276" w:lineRule="auto"/>
              <w:jc w:val="both"/>
              <w:rPr>
                <w:rFonts w:ascii="Times New Roman" w:eastAsia="Calibri" w:hAnsi="Times New Roman" w:cs="Times New Roman"/>
                <w:sz w:val="20"/>
                <w:szCs w:val="20"/>
                <w:lang w:eastAsia="sk-SK"/>
              </w:rPr>
            </w:pPr>
            <w:r w:rsidRPr="00C34A00">
              <w:rPr>
                <w:rFonts w:ascii="Times New Roman" w:eastAsia="Calibri" w:hAnsi="Times New Roman" w:cs="Times New Roman"/>
                <w:sz w:val="20"/>
                <w:szCs w:val="20"/>
                <w:lang w:eastAsia="sk-SK"/>
              </w:rPr>
              <w:t xml:space="preserve">Nakoľko nie je možné odhadnúť celkový počet dotknutých subjektov, nebolo možné tieto náklady presne definovať. Predpokladáme, že stanovenie vplyvu vibrácií alebo mikroklimatických podmienok bude mať </w:t>
            </w:r>
            <w:r w:rsidRPr="00C34A00">
              <w:rPr>
                <w:rFonts w:ascii="Times New Roman" w:eastAsia="Calibri" w:hAnsi="Times New Roman" w:cs="Times New Roman"/>
                <w:b/>
                <w:bCs/>
                <w:sz w:val="20"/>
                <w:szCs w:val="20"/>
                <w:lang w:eastAsia="sk-SK"/>
              </w:rPr>
              <w:t>pozitívny sociálny vplyv</w:t>
            </w:r>
            <w:r w:rsidRPr="00C34A00">
              <w:rPr>
                <w:rFonts w:ascii="Times New Roman" w:eastAsia="Calibri" w:hAnsi="Times New Roman" w:cs="Times New Roman"/>
                <w:sz w:val="20"/>
                <w:szCs w:val="20"/>
                <w:lang w:eastAsia="sk-SK"/>
              </w:rPr>
              <w:t xml:space="preserve">, a tým sa prispeje k lepšej ochrane zdravia zamestnancov.    </w:t>
            </w:r>
          </w:p>
        </w:tc>
      </w:tr>
      <w:tr w:rsidR="002644DE" w:rsidRPr="002644DE" w14:paraId="48227FBD" w14:textId="77777777" w:rsidTr="00B83734">
        <w:trPr>
          <w:jc w:val="center"/>
        </w:trPr>
        <w:tc>
          <w:tcPr>
            <w:tcW w:w="180" w:type="pct"/>
            <w:tcBorders>
              <w:bottom w:val="single" w:sz="4" w:space="0" w:color="auto"/>
            </w:tcBorders>
            <w:shd w:val="clear" w:color="auto" w:fill="F2F2F2"/>
            <w:vAlign w:val="center"/>
          </w:tcPr>
          <w:p w14:paraId="7D8FA566"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lastRenderedPageBreak/>
              <w:t>b)</w:t>
            </w:r>
          </w:p>
        </w:tc>
        <w:tc>
          <w:tcPr>
            <w:tcW w:w="4820" w:type="pct"/>
            <w:gridSpan w:val="3"/>
            <w:tcBorders>
              <w:bottom w:val="single" w:sz="4" w:space="0" w:color="auto"/>
            </w:tcBorders>
            <w:shd w:val="clear" w:color="auto" w:fill="F2F2F2"/>
          </w:tcPr>
          <w:p w14:paraId="0AC94713"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66B851AE"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lastRenderedPageBreak/>
              <w:t>Špecifikujte ovplyvnené skupiny v riziku chudoby a sociálneho vylúčenia a popíšte vplyv na ne. Je tento vplyv väčší ako vplyv na iné skupiny či subjekty? Uveďte veľkosť jednotlivých ovplyvnených skupín.</w:t>
            </w:r>
          </w:p>
        </w:tc>
      </w:tr>
      <w:tr w:rsidR="002644DE" w:rsidRPr="002644DE" w14:paraId="144525CD" w14:textId="77777777" w:rsidTr="00B83734">
        <w:tblPrEx>
          <w:tblBorders>
            <w:top w:val="none" w:sz="0" w:space="0" w:color="auto"/>
          </w:tblBorders>
        </w:tblPrEx>
        <w:trPr>
          <w:trHeight w:val="677"/>
          <w:jc w:val="center"/>
        </w:trPr>
        <w:tc>
          <w:tcPr>
            <w:tcW w:w="180" w:type="pct"/>
            <w:vAlign w:val="center"/>
          </w:tcPr>
          <w:p w14:paraId="6E8B5557"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c)</w:t>
            </w:r>
          </w:p>
        </w:tc>
        <w:tc>
          <w:tcPr>
            <w:tcW w:w="1850" w:type="pct"/>
          </w:tcPr>
          <w:p w14:paraId="7255E915"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64DBBBD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5CC238F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221134D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09255B1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7924A7F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0E4DBA4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56F00B2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51E8134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4F389BA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49B74D9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1828C5D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0" w:type="pct"/>
            <w:gridSpan w:val="2"/>
          </w:tcPr>
          <w:p w14:paraId="6F39B798" w14:textId="626357CB" w:rsidR="002644DE" w:rsidRPr="00443F29" w:rsidRDefault="002644DE" w:rsidP="00D04063">
            <w:pPr>
              <w:spacing w:after="0" w:line="276" w:lineRule="auto"/>
              <w:jc w:val="both"/>
              <w:rPr>
                <w:rFonts w:ascii="Times New Roman" w:eastAsia="Calibri" w:hAnsi="Times New Roman" w:cs="Times New Roman"/>
                <w:sz w:val="20"/>
                <w:szCs w:val="20"/>
                <w:lang w:eastAsia="sk-SK"/>
              </w:rPr>
            </w:pPr>
          </w:p>
        </w:tc>
      </w:tr>
    </w:tbl>
    <w:p w14:paraId="3BC7EC62" w14:textId="77777777" w:rsidR="002644DE" w:rsidRPr="002644DE" w:rsidRDefault="002644DE" w:rsidP="002644DE">
      <w:pPr>
        <w:sectPr w:rsidR="002644DE" w:rsidRPr="002644DE" w:rsidSect="00670684">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4D63EE31" w14:textId="77777777" w:rsidTr="000800FC">
        <w:trPr>
          <w:jc w:val="center"/>
        </w:trPr>
        <w:tc>
          <w:tcPr>
            <w:tcW w:w="5000" w:type="pct"/>
            <w:gridSpan w:val="3"/>
            <w:shd w:val="clear" w:color="auto" w:fill="D9D9D9"/>
          </w:tcPr>
          <w:p w14:paraId="7FC44D4E"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28D6A425"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621AFBFF" w14:textId="77777777" w:rsidTr="000800FC">
        <w:trPr>
          <w:jc w:val="center"/>
        </w:trPr>
        <w:tc>
          <w:tcPr>
            <w:tcW w:w="132" w:type="pct"/>
            <w:tcBorders>
              <w:bottom w:val="single" w:sz="4" w:space="0" w:color="auto"/>
            </w:tcBorders>
            <w:shd w:val="clear" w:color="auto" w:fill="F2F2F2"/>
            <w:vAlign w:val="center"/>
          </w:tcPr>
          <w:p w14:paraId="0DB5A3F9"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0C603697"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140F387F" w14:textId="77777777" w:rsidTr="000800FC">
        <w:trPr>
          <w:trHeight w:val="928"/>
          <w:jc w:val="center"/>
        </w:trPr>
        <w:tc>
          <w:tcPr>
            <w:tcW w:w="132" w:type="pct"/>
            <w:tcBorders>
              <w:top w:val="nil"/>
              <w:bottom w:val="nil"/>
            </w:tcBorders>
          </w:tcPr>
          <w:p w14:paraId="404247DE" w14:textId="77777777" w:rsidR="002644DE" w:rsidRPr="002644DE" w:rsidRDefault="002644DE" w:rsidP="002644DE">
            <w:pPr>
              <w:spacing w:after="0" w:line="240" w:lineRule="auto"/>
              <w:rPr>
                <w:rFonts w:ascii="Times New Roman" w:eastAsia="Calibri" w:hAnsi="Times New Roman" w:cs="Times New Roman"/>
                <w:sz w:val="20"/>
              </w:rPr>
            </w:pPr>
          </w:p>
          <w:p w14:paraId="49CBEE82" w14:textId="77777777" w:rsidR="002644DE" w:rsidRPr="002644DE" w:rsidRDefault="002644DE" w:rsidP="002644DE">
            <w:pPr>
              <w:spacing w:after="0" w:line="240" w:lineRule="auto"/>
              <w:rPr>
                <w:rFonts w:ascii="Times New Roman" w:eastAsia="Calibri" w:hAnsi="Times New Roman" w:cs="Times New Roman"/>
                <w:i/>
                <w:sz w:val="20"/>
              </w:rPr>
            </w:pPr>
          </w:p>
          <w:p w14:paraId="2F89C96B" w14:textId="77777777" w:rsidR="002644DE" w:rsidRPr="002644DE" w:rsidRDefault="002644DE" w:rsidP="002644DE">
            <w:pPr>
              <w:spacing w:after="0" w:line="240" w:lineRule="auto"/>
              <w:rPr>
                <w:rFonts w:ascii="Times New Roman" w:eastAsia="Calibri" w:hAnsi="Times New Roman" w:cs="Times New Roman"/>
                <w:i/>
                <w:sz w:val="20"/>
              </w:rPr>
            </w:pPr>
          </w:p>
          <w:p w14:paraId="5400DFB1"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409270A1" w14:textId="77777777" w:rsidR="002644DE" w:rsidRPr="002644DE" w:rsidRDefault="002644DE" w:rsidP="002644DE">
            <w:pPr>
              <w:spacing w:after="0" w:line="240" w:lineRule="auto"/>
              <w:rPr>
                <w:rFonts w:ascii="Times New Roman" w:eastAsia="Calibri" w:hAnsi="Times New Roman" w:cs="Times New Roman"/>
                <w:i/>
                <w:sz w:val="20"/>
              </w:rPr>
            </w:pPr>
          </w:p>
          <w:p w14:paraId="4CF79679" w14:textId="77777777" w:rsidR="002644DE" w:rsidRPr="002644DE" w:rsidRDefault="002644DE" w:rsidP="002644DE">
            <w:pPr>
              <w:spacing w:after="0" w:line="240" w:lineRule="auto"/>
              <w:rPr>
                <w:rFonts w:ascii="Times New Roman" w:eastAsia="Calibri" w:hAnsi="Times New Roman" w:cs="Times New Roman"/>
                <w:i/>
                <w:sz w:val="20"/>
              </w:rPr>
            </w:pPr>
          </w:p>
          <w:p w14:paraId="51546C75"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tcPr>
          <w:p w14:paraId="2ED1AFCD" w14:textId="77777777" w:rsidR="002644DE" w:rsidRPr="002644DE" w:rsidRDefault="002644DE" w:rsidP="002644DE">
            <w:pPr>
              <w:rPr>
                <w:rFonts w:ascii="Times New Roman" w:eastAsia="Calibri" w:hAnsi="Times New Roman" w:cs="Times New Roman"/>
                <w:i/>
                <w:sz w:val="20"/>
              </w:rPr>
            </w:pPr>
          </w:p>
          <w:p w14:paraId="3D522982" w14:textId="77777777"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14:paraId="029711AE" w14:textId="77777777" w:rsidTr="000800FC">
        <w:trPr>
          <w:trHeight w:val="345"/>
          <w:jc w:val="center"/>
        </w:trPr>
        <w:tc>
          <w:tcPr>
            <w:tcW w:w="132" w:type="pct"/>
            <w:tcBorders>
              <w:bottom w:val="single" w:sz="4" w:space="0" w:color="auto"/>
            </w:tcBorders>
            <w:shd w:val="clear" w:color="auto" w:fill="F2F2F2"/>
            <w:vAlign w:val="center"/>
          </w:tcPr>
          <w:p w14:paraId="26F7129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6F900184"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5213A8DC" w14:textId="77777777" w:rsidTr="000800FC">
        <w:tblPrEx>
          <w:tblBorders>
            <w:top w:val="none" w:sz="0" w:space="0" w:color="auto"/>
            <w:bottom w:val="none" w:sz="0" w:space="0" w:color="auto"/>
          </w:tblBorders>
        </w:tblPrEx>
        <w:trPr>
          <w:trHeight w:val="372"/>
          <w:jc w:val="center"/>
        </w:trPr>
        <w:tc>
          <w:tcPr>
            <w:tcW w:w="132" w:type="pct"/>
            <w:vAlign w:val="center"/>
          </w:tcPr>
          <w:p w14:paraId="788DE2E6"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tcPr>
          <w:p w14:paraId="76469594"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tcPr>
          <w:p w14:paraId="0CE541A2" w14:textId="77777777" w:rsidR="002644DE" w:rsidRPr="002644DE" w:rsidRDefault="002644DE" w:rsidP="002644DE">
            <w:pPr>
              <w:spacing w:after="0" w:line="240" w:lineRule="auto"/>
              <w:jc w:val="both"/>
              <w:rPr>
                <w:rFonts w:ascii="Times New Roman" w:eastAsia="Calibri" w:hAnsi="Times New Roman" w:cs="Times New Roman"/>
                <w:sz w:val="20"/>
              </w:rPr>
            </w:pPr>
          </w:p>
        </w:tc>
      </w:tr>
      <w:tr w:rsidR="002644DE" w:rsidRPr="002644DE" w14:paraId="07BA82A0" w14:textId="77777777" w:rsidTr="000800FC">
        <w:tblPrEx>
          <w:tblBorders>
            <w:top w:val="none" w:sz="0" w:space="0" w:color="auto"/>
            <w:bottom w:val="none" w:sz="0" w:space="0" w:color="auto"/>
          </w:tblBorders>
        </w:tblPrEx>
        <w:trPr>
          <w:trHeight w:val="371"/>
          <w:jc w:val="center"/>
        </w:trPr>
        <w:tc>
          <w:tcPr>
            <w:tcW w:w="132" w:type="pct"/>
            <w:vAlign w:val="center"/>
          </w:tcPr>
          <w:p w14:paraId="5741E4ED"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tcPr>
          <w:p w14:paraId="15F82C3F"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tcPr>
          <w:p w14:paraId="6CC61FB0"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24762D26" w14:textId="77777777" w:rsidTr="000800FC">
        <w:tblPrEx>
          <w:tblBorders>
            <w:top w:val="none" w:sz="0" w:space="0" w:color="auto"/>
            <w:bottom w:val="none" w:sz="0" w:space="0" w:color="auto"/>
          </w:tblBorders>
        </w:tblPrEx>
        <w:trPr>
          <w:trHeight w:val="371"/>
          <w:jc w:val="center"/>
        </w:trPr>
        <w:tc>
          <w:tcPr>
            <w:tcW w:w="132" w:type="pct"/>
            <w:tcBorders>
              <w:bottom w:val="single" w:sz="4" w:space="0" w:color="auto"/>
            </w:tcBorders>
            <w:vAlign w:val="center"/>
          </w:tcPr>
          <w:p w14:paraId="1931E5F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tcPr>
          <w:p w14:paraId="2A4F9377"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tcPr>
          <w:p w14:paraId="49D8FD31"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46BB9B18" w14:textId="77777777"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vAlign w:val="center"/>
          </w:tcPr>
          <w:p w14:paraId="64AED74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tcPr>
          <w:p w14:paraId="2286B6A3"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251942E3"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5527D6BB"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74659CB9"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793A4869"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4BF8D0DD"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23719DB5"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58BBE00D"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3A8F2E83"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tcPr>
          <w:p w14:paraId="21F81EA0" w14:textId="77777777" w:rsidR="002644DE" w:rsidRPr="002644DE" w:rsidRDefault="002644DE" w:rsidP="002644DE">
            <w:pPr>
              <w:spacing w:after="0" w:line="240" w:lineRule="auto"/>
              <w:rPr>
                <w:rFonts w:ascii="Times New Roman" w:eastAsia="Calibri" w:hAnsi="Times New Roman" w:cs="Times New Roman"/>
                <w:sz w:val="20"/>
              </w:rPr>
            </w:pPr>
          </w:p>
        </w:tc>
      </w:tr>
    </w:tbl>
    <w:p w14:paraId="2639BFB0"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8"/>
        <w:gridCol w:w="5673"/>
      </w:tblGrid>
      <w:tr w:rsidR="002644DE" w:rsidRPr="002644DE" w14:paraId="1EEEE654" w14:textId="77777777" w:rsidTr="000800FC">
        <w:trPr>
          <w:jc w:val="center"/>
        </w:trPr>
        <w:tc>
          <w:tcPr>
            <w:tcW w:w="5000" w:type="pct"/>
            <w:gridSpan w:val="3"/>
            <w:shd w:val="clear" w:color="auto" w:fill="D9D9D9"/>
          </w:tcPr>
          <w:p w14:paraId="107B7FDC"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6CE4C1E2"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4145C53D" w14:textId="77777777" w:rsidTr="000800FC">
        <w:trPr>
          <w:trHeight w:val="287"/>
          <w:jc w:val="center"/>
        </w:trPr>
        <w:tc>
          <w:tcPr>
            <w:tcW w:w="129" w:type="pct"/>
            <w:tcBorders>
              <w:top w:val="nil"/>
              <w:bottom w:val="single" w:sz="4" w:space="0" w:color="auto"/>
            </w:tcBorders>
            <w:shd w:val="clear" w:color="auto" w:fill="F2F2F2"/>
            <w:vAlign w:val="center"/>
          </w:tcPr>
          <w:p w14:paraId="4E06D54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77318199"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2D53CAC5" w14:textId="77777777" w:rsidTr="000800FC">
        <w:trPr>
          <w:trHeight w:val="567"/>
          <w:jc w:val="center"/>
        </w:trPr>
        <w:tc>
          <w:tcPr>
            <w:tcW w:w="129" w:type="pct"/>
            <w:tcBorders>
              <w:top w:val="nil"/>
              <w:bottom w:val="single" w:sz="4" w:space="0" w:color="auto"/>
            </w:tcBorders>
            <w:shd w:val="clear" w:color="auto" w:fill="FFFFFF"/>
            <w:vAlign w:val="center"/>
          </w:tcPr>
          <w:p w14:paraId="2CAC9C5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74F66DA6"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2CD9746A"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1F96EAF2" w14:textId="77777777" w:rsidTr="000800FC">
        <w:trPr>
          <w:trHeight w:val="270"/>
          <w:jc w:val="center"/>
        </w:trPr>
        <w:tc>
          <w:tcPr>
            <w:tcW w:w="129" w:type="pct"/>
            <w:tcBorders>
              <w:bottom w:val="single" w:sz="4" w:space="0" w:color="auto"/>
            </w:tcBorders>
            <w:shd w:val="clear" w:color="auto" w:fill="F2F2F2"/>
            <w:vAlign w:val="center"/>
          </w:tcPr>
          <w:p w14:paraId="0296AD4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6981473D"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64718FF9" w14:textId="77777777" w:rsidTr="000800FC">
        <w:trPr>
          <w:trHeight w:val="454"/>
          <w:jc w:val="center"/>
        </w:trPr>
        <w:tc>
          <w:tcPr>
            <w:tcW w:w="129" w:type="pct"/>
            <w:tcBorders>
              <w:bottom w:val="single" w:sz="4" w:space="0" w:color="auto"/>
            </w:tcBorders>
            <w:shd w:val="clear" w:color="auto" w:fill="FFFFFF"/>
            <w:vAlign w:val="center"/>
          </w:tcPr>
          <w:p w14:paraId="7BC01316"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12A936A5"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00A210F7"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6E4DBBA5" w14:textId="77777777" w:rsidTr="000800FC">
        <w:trPr>
          <w:trHeight w:val="248"/>
          <w:jc w:val="center"/>
        </w:trPr>
        <w:tc>
          <w:tcPr>
            <w:tcW w:w="129" w:type="pct"/>
            <w:tcBorders>
              <w:bottom w:val="single" w:sz="4" w:space="0" w:color="auto"/>
            </w:tcBorders>
            <w:shd w:val="clear" w:color="auto" w:fill="F2F2F2"/>
            <w:vAlign w:val="center"/>
          </w:tcPr>
          <w:p w14:paraId="73AD1EC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53834728"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2DEF4F98" w14:textId="77777777" w:rsidTr="000800FC">
        <w:trPr>
          <w:trHeight w:val="209"/>
          <w:jc w:val="center"/>
        </w:trPr>
        <w:tc>
          <w:tcPr>
            <w:tcW w:w="129" w:type="pct"/>
            <w:tcBorders>
              <w:bottom w:val="single" w:sz="4" w:space="0" w:color="auto"/>
            </w:tcBorders>
            <w:shd w:val="clear" w:color="auto" w:fill="FFFFFF"/>
            <w:vAlign w:val="center"/>
          </w:tcPr>
          <w:p w14:paraId="37249B4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1265FA3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6D3BE5E4"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4122AFFD" w14:textId="77777777" w:rsidTr="000800FC">
        <w:trPr>
          <w:trHeight w:val="208"/>
          <w:jc w:val="center"/>
        </w:trPr>
        <w:tc>
          <w:tcPr>
            <w:tcW w:w="129" w:type="pct"/>
            <w:tcBorders>
              <w:bottom w:val="single" w:sz="4" w:space="0" w:color="auto"/>
            </w:tcBorders>
            <w:shd w:val="clear" w:color="auto" w:fill="F2F2F2"/>
            <w:vAlign w:val="center"/>
          </w:tcPr>
          <w:p w14:paraId="50CD461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6E07ED2C"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1A35E0EE" w14:textId="77777777" w:rsidTr="000800FC">
        <w:trPr>
          <w:trHeight w:val="794"/>
          <w:jc w:val="center"/>
        </w:trPr>
        <w:tc>
          <w:tcPr>
            <w:tcW w:w="129" w:type="pct"/>
            <w:tcBorders>
              <w:bottom w:val="single" w:sz="4" w:space="0" w:color="auto"/>
            </w:tcBorders>
            <w:shd w:val="clear" w:color="auto" w:fill="FFFFFF"/>
            <w:vAlign w:val="center"/>
          </w:tcPr>
          <w:p w14:paraId="6AC6524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554E5D2E"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3A599856"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05D22678" w14:textId="77777777" w:rsidTr="000800FC">
        <w:trPr>
          <w:trHeight w:val="324"/>
          <w:jc w:val="center"/>
        </w:trPr>
        <w:tc>
          <w:tcPr>
            <w:tcW w:w="129" w:type="pct"/>
            <w:tcBorders>
              <w:bottom w:val="single" w:sz="4" w:space="0" w:color="auto"/>
            </w:tcBorders>
            <w:shd w:val="clear" w:color="auto" w:fill="F2F2F2"/>
            <w:vAlign w:val="center"/>
          </w:tcPr>
          <w:p w14:paraId="2002BB1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23D036C7"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2F060ED1" w14:textId="77777777" w:rsidTr="000800FC">
        <w:trPr>
          <w:trHeight w:val="216"/>
          <w:jc w:val="center"/>
        </w:trPr>
        <w:tc>
          <w:tcPr>
            <w:tcW w:w="129" w:type="pct"/>
            <w:tcBorders>
              <w:bottom w:val="single" w:sz="4" w:space="0" w:color="auto"/>
            </w:tcBorders>
            <w:shd w:val="clear" w:color="auto" w:fill="FFFFFF"/>
            <w:vAlign w:val="center"/>
          </w:tcPr>
          <w:p w14:paraId="6A1A899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171CF79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4D541DBF"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2AEB38CD" w14:textId="77777777" w:rsidTr="000800FC">
        <w:trPr>
          <w:trHeight w:val="219"/>
          <w:jc w:val="center"/>
        </w:trPr>
        <w:tc>
          <w:tcPr>
            <w:tcW w:w="129" w:type="pct"/>
            <w:tcBorders>
              <w:bottom w:val="single" w:sz="4" w:space="0" w:color="auto"/>
            </w:tcBorders>
            <w:shd w:val="clear" w:color="auto" w:fill="F2F2F2"/>
            <w:vAlign w:val="center"/>
          </w:tcPr>
          <w:p w14:paraId="1673270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5AAC9C0B"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3967BD3F" w14:textId="77777777" w:rsidTr="000800FC">
        <w:trPr>
          <w:trHeight w:val="497"/>
          <w:jc w:val="center"/>
        </w:trPr>
        <w:tc>
          <w:tcPr>
            <w:tcW w:w="129" w:type="pct"/>
            <w:tcBorders>
              <w:bottom w:val="single" w:sz="4" w:space="0" w:color="auto"/>
            </w:tcBorders>
            <w:shd w:val="clear" w:color="auto" w:fill="FFFFFF"/>
            <w:vAlign w:val="center"/>
          </w:tcPr>
          <w:p w14:paraId="1CEECC0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101684FC"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73C1B105" w14:textId="2EBDA483" w:rsidR="002E1978" w:rsidRPr="00C751A5" w:rsidRDefault="002E1978" w:rsidP="002E1978">
            <w:pPr>
              <w:spacing w:after="0" w:line="276" w:lineRule="auto"/>
              <w:jc w:val="both"/>
              <w:rPr>
                <w:rFonts w:ascii="Times New Roman" w:eastAsia="Times New Roman" w:hAnsi="Times New Roman" w:cs="Times New Roman"/>
                <w:i/>
                <w:sz w:val="20"/>
                <w:szCs w:val="20"/>
                <w:lang w:eastAsia="sk-SK"/>
              </w:rPr>
            </w:pPr>
            <w:r w:rsidRPr="00C751A5">
              <w:rPr>
                <w:rFonts w:ascii="Times New Roman" w:eastAsia="Times New Roman" w:hAnsi="Times New Roman" w:cs="Times New Roman"/>
                <w:b/>
                <w:bCs/>
                <w:iCs/>
                <w:sz w:val="20"/>
                <w:szCs w:val="20"/>
                <w:lang w:eastAsia="sk-SK"/>
              </w:rPr>
              <w:t xml:space="preserve">Regulácia č. 3 </w:t>
            </w:r>
            <w:r w:rsidRPr="00C751A5">
              <w:rPr>
                <w:rFonts w:ascii="Times New Roman" w:eastAsia="Times New Roman" w:hAnsi="Times New Roman" w:cs="Times New Roman"/>
                <w:i/>
                <w:sz w:val="20"/>
                <w:szCs w:val="20"/>
                <w:lang w:eastAsia="sk-SK"/>
              </w:rPr>
              <w:t xml:space="preserve">„Energetický výdaj – zúženie počtu vekových kategórií“ </w:t>
            </w:r>
          </w:p>
          <w:p w14:paraId="0D7AFBEF" w14:textId="57FC5EDD" w:rsidR="001613AA" w:rsidRPr="00C751A5" w:rsidRDefault="001613AA" w:rsidP="001613AA">
            <w:pPr>
              <w:spacing w:after="0" w:line="276" w:lineRule="auto"/>
              <w:jc w:val="both"/>
              <w:rPr>
                <w:rFonts w:ascii="Times New Roman" w:eastAsia="Times New Roman" w:hAnsi="Times New Roman" w:cs="Times New Roman"/>
                <w:iCs/>
                <w:sz w:val="20"/>
                <w:szCs w:val="20"/>
                <w:lang w:eastAsia="sk-SK"/>
              </w:rPr>
            </w:pPr>
            <w:r w:rsidRPr="00C751A5">
              <w:rPr>
                <w:rFonts w:ascii="Times New Roman" w:eastAsia="Times New Roman" w:hAnsi="Times New Roman" w:cs="Times New Roman"/>
                <w:iCs/>
                <w:sz w:val="20"/>
                <w:szCs w:val="20"/>
                <w:lang w:eastAsia="sk-SK"/>
              </w:rPr>
              <w:t xml:space="preserve">Podľa aktuálne platnej vyhlášky MZ SR č. 542/2007 Z. z. boli hodnoty energetického výdaja mužov a žien rozdelené do 5 vekových kategórií (18-29; 30-39; 40-49; 50-59; 60-65). </w:t>
            </w:r>
            <w:r w:rsidR="000947EF" w:rsidRPr="00C751A5">
              <w:rPr>
                <w:rFonts w:ascii="Times New Roman" w:eastAsia="Times New Roman" w:hAnsi="Times New Roman" w:cs="Times New Roman"/>
                <w:iCs/>
                <w:sz w:val="20"/>
                <w:szCs w:val="20"/>
                <w:lang w:eastAsia="sk-SK"/>
              </w:rPr>
              <w:t>Podľa návrhu vyhlášky budú najvyššie prípustné hodnoty energetického výdaja pri práci pre mužov a žien stanovené iba pre vekovú skupinu od 18 rokov až do 65 rokov</w:t>
            </w:r>
            <w:r w:rsidR="00CB6AA9" w:rsidRPr="00C751A5">
              <w:rPr>
                <w:rFonts w:ascii="Times New Roman" w:eastAsia="Times New Roman" w:hAnsi="Times New Roman" w:cs="Times New Roman"/>
                <w:iCs/>
                <w:sz w:val="20"/>
                <w:szCs w:val="20"/>
                <w:lang w:eastAsia="sk-SK"/>
              </w:rPr>
              <w:t>.</w:t>
            </w:r>
          </w:p>
          <w:p w14:paraId="2BB27DFF" w14:textId="77777777" w:rsidR="00CB6AA9" w:rsidRPr="00C751A5" w:rsidRDefault="002E1978" w:rsidP="00A31967">
            <w:pPr>
              <w:spacing w:after="0" w:line="276" w:lineRule="auto"/>
              <w:jc w:val="both"/>
              <w:rPr>
                <w:rFonts w:ascii="Times New Roman" w:eastAsia="Times New Roman" w:hAnsi="Times New Roman" w:cs="Times New Roman"/>
                <w:b/>
                <w:bCs/>
                <w:iCs/>
                <w:sz w:val="20"/>
                <w:szCs w:val="20"/>
                <w:lang w:eastAsia="sk-SK"/>
              </w:rPr>
            </w:pPr>
            <w:r w:rsidRPr="00C751A5">
              <w:rPr>
                <w:rFonts w:ascii="Times New Roman" w:eastAsia="Times New Roman" w:hAnsi="Times New Roman" w:cs="Times New Roman"/>
                <w:iCs/>
                <w:sz w:val="20"/>
                <w:szCs w:val="20"/>
                <w:lang w:eastAsia="sk-SK"/>
              </w:rPr>
              <w:t>Z aktuálne platnej vyhlášky MZ SR č. 542/2007 Z. z. sa preberajú limitné hodnoty, ktorými sú najvyššie prípustné hodnoty energetického výdaja  pri práci pre mužov a ženy vo veku 18 rokov až do 65 rokov</w:t>
            </w:r>
            <w:r w:rsidR="000947EF" w:rsidRPr="00C751A5">
              <w:rPr>
                <w:rFonts w:ascii="Times New Roman" w:eastAsia="Times New Roman" w:hAnsi="Times New Roman" w:cs="Times New Roman"/>
                <w:iCs/>
                <w:sz w:val="20"/>
                <w:szCs w:val="20"/>
                <w:lang w:eastAsia="sk-SK"/>
              </w:rPr>
              <w:t xml:space="preserve"> a pre chlapcov a dievčatá vo veku 15-17 rokov.</w:t>
            </w:r>
            <w:r w:rsidRPr="00C751A5">
              <w:rPr>
                <w:rFonts w:ascii="Times New Roman" w:eastAsia="Times New Roman" w:hAnsi="Times New Roman" w:cs="Times New Roman"/>
                <w:iCs/>
                <w:sz w:val="20"/>
                <w:szCs w:val="20"/>
                <w:lang w:eastAsia="sk-SK"/>
              </w:rPr>
              <w:t xml:space="preserve"> V návrhu vyhlášky sa oproti aktuálne platnej vyhláške MZ SR č. 542/2007 Z. z. zužuje počet vekových kategórií pri najvyššie prípustných hodnotách energetického výdaja mužov a žien, čo bude mať </w:t>
            </w:r>
            <w:r w:rsidRPr="00C751A5">
              <w:rPr>
                <w:rFonts w:ascii="Times New Roman" w:eastAsia="Times New Roman" w:hAnsi="Times New Roman" w:cs="Times New Roman"/>
                <w:b/>
                <w:bCs/>
                <w:iCs/>
                <w:sz w:val="20"/>
                <w:szCs w:val="20"/>
                <w:lang w:eastAsia="sk-SK"/>
              </w:rPr>
              <w:t xml:space="preserve">pozitívny </w:t>
            </w:r>
            <w:r w:rsidR="001613AA" w:rsidRPr="00C751A5">
              <w:rPr>
                <w:rFonts w:ascii="Times New Roman" w:eastAsia="Times New Roman" w:hAnsi="Times New Roman" w:cs="Times New Roman"/>
                <w:b/>
                <w:bCs/>
                <w:iCs/>
                <w:sz w:val="20"/>
                <w:szCs w:val="20"/>
                <w:lang w:eastAsia="sk-SK"/>
              </w:rPr>
              <w:t xml:space="preserve">sociálny </w:t>
            </w:r>
            <w:r w:rsidRPr="00C751A5">
              <w:rPr>
                <w:rFonts w:ascii="Times New Roman" w:eastAsia="Times New Roman" w:hAnsi="Times New Roman" w:cs="Times New Roman"/>
                <w:b/>
                <w:bCs/>
                <w:iCs/>
                <w:sz w:val="20"/>
                <w:szCs w:val="20"/>
                <w:lang w:eastAsia="sk-SK"/>
              </w:rPr>
              <w:t>vplyv</w:t>
            </w:r>
            <w:r w:rsidR="001613AA" w:rsidRPr="00C751A5">
              <w:rPr>
                <w:rFonts w:ascii="Times New Roman" w:eastAsia="Times New Roman" w:hAnsi="Times New Roman" w:cs="Times New Roman"/>
                <w:b/>
                <w:bCs/>
                <w:iCs/>
                <w:sz w:val="20"/>
                <w:szCs w:val="20"/>
                <w:lang w:eastAsia="sk-SK"/>
              </w:rPr>
              <w:t xml:space="preserve">. </w:t>
            </w:r>
          </w:p>
          <w:p w14:paraId="735A2826" w14:textId="48A673F7" w:rsidR="00A31967" w:rsidRPr="00C751A5" w:rsidRDefault="00A31967" w:rsidP="00A31967">
            <w:pPr>
              <w:spacing w:after="0" w:line="276" w:lineRule="auto"/>
              <w:jc w:val="both"/>
              <w:rPr>
                <w:rFonts w:ascii="Times New Roman" w:hAnsi="Times New Roman" w:cs="Times New Roman"/>
                <w:iCs/>
                <w:sz w:val="20"/>
                <w:szCs w:val="20"/>
              </w:rPr>
            </w:pPr>
            <w:r w:rsidRPr="00C751A5">
              <w:rPr>
                <w:rFonts w:ascii="Times New Roman" w:hAnsi="Times New Roman" w:cs="Times New Roman"/>
                <w:iCs/>
                <w:sz w:val="20"/>
                <w:szCs w:val="20"/>
              </w:rPr>
              <w:t>Dôvodom, prečo sa zavádza sledovanie iba jednej vekovej hranice, je predchádzanie diskrimináci</w:t>
            </w:r>
            <w:r w:rsidR="004D0E16">
              <w:rPr>
                <w:rFonts w:ascii="Times New Roman" w:hAnsi="Times New Roman" w:cs="Times New Roman"/>
                <w:iCs/>
                <w:sz w:val="20"/>
                <w:szCs w:val="20"/>
              </w:rPr>
              <w:t>i</w:t>
            </w:r>
            <w:r w:rsidRPr="00C751A5">
              <w:rPr>
                <w:rFonts w:ascii="Times New Roman" w:hAnsi="Times New Roman" w:cs="Times New Roman"/>
                <w:iCs/>
                <w:sz w:val="20"/>
                <w:szCs w:val="20"/>
              </w:rPr>
              <w:t xml:space="preserve"> zamestnancov na základe veku. Diskriminácia na základe veku na Slovensku predstavuje pretrvávajúci a systémový problém, ktorého závažnosť nie je spoločensky ani inštitucionálne dostatočne reflektovaná.</w:t>
            </w:r>
            <w:r w:rsidRPr="00C751A5">
              <w:rPr>
                <w:rStyle w:val="Odkaznapoznmkupodiarou"/>
                <w:rFonts w:ascii="Times New Roman" w:hAnsi="Times New Roman" w:cs="Times New Roman"/>
                <w:iCs/>
                <w:sz w:val="20"/>
                <w:szCs w:val="20"/>
              </w:rPr>
              <w:footnoteReference w:id="1"/>
            </w:r>
            <w:r w:rsidRPr="00C751A5">
              <w:rPr>
                <w:rFonts w:ascii="Times New Roman" w:hAnsi="Times New Roman" w:cs="Times New Roman"/>
                <w:iCs/>
                <w:sz w:val="20"/>
                <w:szCs w:val="20"/>
              </w:rPr>
              <w:t xml:space="preserve"> </w:t>
            </w:r>
          </w:p>
          <w:p w14:paraId="57C9793A" w14:textId="4F097A62" w:rsidR="00CB6AA9" w:rsidRPr="00C751A5" w:rsidRDefault="00CB6AA9" w:rsidP="00A31967">
            <w:pPr>
              <w:spacing w:after="0" w:line="276" w:lineRule="auto"/>
              <w:jc w:val="both"/>
              <w:rPr>
                <w:rFonts w:ascii="Times New Roman" w:hAnsi="Times New Roman" w:cs="Times New Roman"/>
                <w:iCs/>
                <w:sz w:val="20"/>
                <w:szCs w:val="20"/>
              </w:rPr>
            </w:pPr>
            <w:r w:rsidRPr="00C751A5">
              <w:rPr>
                <w:rFonts w:ascii="Times New Roman" w:hAnsi="Times New Roman" w:cs="Times New Roman"/>
                <w:iCs/>
                <w:sz w:val="20"/>
                <w:szCs w:val="20"/>
              </w:rPr>
              <w:t xml:space="preserve">Predpokladáme, že zúženie počtu vekových kategórií bude mať pozitívny vplyv pre mužov aj ženy vo všetkých vekových skupinách </w:t>
            </w:r>
          </w:p>
          <w:p w14:paraId="589692B0" w14:textId="1A5E8105" w:rsidR="00A31967" w:rsidRPr="00C34A00" w:rsidRDefault="00A31967" w:rsidP="00A31967">
            <w:pPr>
              <w:spacing w:after="0" w:line="276" w:lineRule="auto"/>
              <w:jc w:val="both"/>
              <w:rPr>
                <w:rFonts w:ascii="Times New Roman" w:hAnsi="Times New Roman" w:cs="Times New Roman"/>
                <w:iCs/>
                <w:sz w:val="20"/>
                <w:szCs w:val="20"/>
              </w:rPr>
            </w:pPr>
            <w:r w:rsidRPr="00C751A5">
              <w:rPr>
                <w:rFonts w:ascii="Times New Roman" w:eastAsia="Calibri" w:hAnsi="Times New Roman" w:cs="Times New Roman"/>
                <w:sz w:val="20"/>
                <w:szCs w:val="20"/>
                <w:lang w:eastAsia="sk-SK"/>
              </w:rPr>
              <w:lastRenderedPageBreak/>
              <w:t>Nakoľko v súčasnosti neexistuje evidencia zamestnancov podľa veku, nie je možné stanoviť počet takýchto zamestnancov.</w:t>
            </w:r>
            <w:r w:rsidR="00A606B8">
              <w:rPr>
                <w:rFonts w:ascii="Times New Roman" w:eastAsia="Calibri" w:hAnsi="Times New Roman" w:cs="Times New Roman"/>
                <w:sz w:val="20"/>
                <w:szCs w:val="20"/>
                <w:lang w:eastAsia="sk-SK"/>
              </w:rPr>
              <w:t xml:space="preserve"> </w:t>
            </w:r>
            <w:r w:rsidR="00A606B8" w:rsidRPr="00C34A00">
              <w:rPr>
                <w:rFonts w:ascii="Times New Roman" w:eastAsia="Calibri" w:hAnsi="Times New Roman" w:cs="Times New Roman"/>
                <w:sz w:val="20"/>
                <w:szCs w:val="20"/>
                <w:lang w:eastAsia="sk-SK"/>
              </w:rPr>
              <w:t>Zlepšenie spočíva v tom, že sa eliminujú potenciálne predsudky alebo obavy zamestnávateľov pri zamestnávaní starších pracovníkov, resp. pri ich zotrvávaní na pozíciách s fyzickou záťažou. Jednotné kritérium zabraňuje tomu, aby bol starší zamestnanec nepriaznivo znevýhodnený (alebo na základe veku formálne vyčleňovaný) len preto, že spadá do vyššej vekovej tabuľky energetického výdaja. Opatrenie tak podporuje princíp nediskriminácie a rovnakého zaobchádzania s dôrazom na reálnu pracovnú schopnosť a zdravotný stav namiesto vekového faktora.</w:t>
            </w:r>
          </w:p>
          <w:p w14:paraId="4AF879DC" w14:textId="64C332F6" w:rsidR="002644DE" w:rsidRPr="00C751A5" w:rsidRDefault="002E1978" w:rsidP="00B83734">
            <w:pPr>
              <w:spacing w:after="0" w:line="276" w:lineRule="auto"/>
              <w:jc w:val="both"/>
              <w:rPr>
                <w:rFonts w:ascii="Times New Roman" w:eastAsia="Calibri" w:hAnsi="Times New Roman" w:cs="Times New Roman"/>
                <w:sz w:val="20"/>
                <w:szCs w:val="18"/>
              </w:rPr>
            </w:pPr>
            <w:r w:rsidRPr="00C751A5">
              <w:rPr>
                <w:rFonts w:ascii="Times New Roman" w:eastAsia="Times New Roman" w:hAnsi="Times New Roman" w:cs="Times New Roman"/>
                <w:b/>
                <w:bCs/>
                <w:iCs/>
                <w:sz w:val="20"/>
                <w:szCs w:val="20"/>
                <w:lang w:eastAsia="sk-SK"/>
              </w:rPr>
              <w:t xml:space="preserve"> </w:t>
            </w:r>
          </w:p>
        </w:tc>
      </w:tr>
    </w:tbl>
    <w:p w14:paraId="55520EE2" w14:textId="77777777" w:rsidR="000947EF" w:rsidRDefault="000947EF" w:rsidP="00443F29">
      <w:pPr>
        <w:spacing w:after="0" w:line="240" w:lineRule="auto"/>
        <w:outlineLvl w:val="0"/>
      </w:pPr>
    </w:p>
    <w:sectPr w:rsidR="000947EF" w:rsidSect="00443F29">
      <w:footnotePr>
        <w:numFmt w:val="chicago"/>
      </w:footnotePr>
      <w:pgSz w:w="11906" w:h="16838"/>
      <w:pgMar w:top="1134" w:right="1418" w:bottom="1134" w:left="1418" w:header="510" w:footer="567"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1DDCA" w14:textId="77777777" w:rsidR="008149CF" w:rsidRDefault="008149CF" w:rsidP="002644DE">
      <w:pPr>
        <w:spacing w:after="0" w:line="240" w:lineRule="auto"/>
      </w:pPr>
      <w:r>
        <w:separator/>
      </w:r>
    </w:p>
  </w:endnote>
  <w:endnote w:type="continuationSeparator" w:id="0">
    <w:p w14:paraId="69679EB0" w14:textId="77777777" w:rsidR="008149CF" w:rsidRDefault="008149CF"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9628070"/>
      <w:docPartObj>
        <w:docPartGallery w:val="Page Numbers (Bottom of Page)"/>
        <w:docPartUnique/>
      </w:docPartObj>
    </w:sdtPr>
    <w:sdtEndPr>
      <w:rPr>
        <w:rFonts w:ascii="Times New Roman" w:hAnsi="Times New Roman" w:cs="Times New Roman"/>
      </w:rPr>
    </w:sdtEndPr>
    <w:sdtContent>
      <w:p w14:paraId="18BB8E2A" w14:textId="77777777"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4D0E16">
          <w:rPr>
            <w:rFonts w:ascii="Times New Roman" w:hAnsi="Times New Roman" w:cs="Times New Roman"/>
            <w:noProof/>
          </w:rPr>
          <w:t>2</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8902475"/>
      <w:docPartObj>
        <w:docPartGallery w:val="Page Numbers (Bottom of Page)"/>
        <w:docPartUnique/>
      </w:docPartObj>
    </w:sdtPr>
    <w:sdtEndPr>
      <w:rPr>
        <w:rFonts w:ascii="Times New Roman" w:hAnsi="Times New Roman" w:cs="Times New Roman"/>
      </w:rPr>
    </w:sdtEndPr>
    <w:sdtContent>
      <w:p w14:paraId="2EA5619E" w14:textId="77777777"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4D0E16">
          <w:rPr>
            <w:rFonts w:ascii="Times New Roman" w:hAnsi="Times New Roman" w:cs="Times New Roman"/>
            <w:noProof/>
          </w:rPr>
          <w:t>8</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7248F" w14:textId="77777777" w:rsidR="008149CF" w:rsidRDefault="008149CF" w:rsidP="002644DE">
      <w:pPr>
        <w:spacing w:after="0" w:line="240" w:lineRule="auto"/>
      </w:pPr>
      <w:r>
        <w:separator/>
      </w:r>
    </w:p>
  </w:footnote>
  <w:footnote w:type="continuationSeparator" w:id="0">
    <w:p w14:paraId="21B6600D" w14:textId="77777777" w:rsidR="008149CF" w:rsidRDefault="008149CF" w:rsidP="002644DE">
      <w:pPr>
        <w:spacing w:after="0" w:line="240" w:lineRule="auto"/>
      </w:pPr>
      <w:r>
        <w:continuationSeparator/>
      </w:r>
    </w:p>
  </w:footnote>
  <w:footnote w:id="1">
    <w:p w14:paraId="2F86FCA2" w14:textId="77777777" w:rsidR="00A31967" w:rsidRDefault="00A31967" w:rsidP="00A31967">
      <w:pPr>
        <w:pStyle w:val="Textpoznmkypodiarou"/>
      </w:pPr>
      <w:r>
        <w:rPr>
          <w:rStyle w:val="Odkaznapoznmkupodiarou"/>
        </w:rPr>
        <w:footnoteRef/>
      </w:r>
      <w:r>
        <w:t xml:space="preserve"> Mgr. Juraj Plaza: Starý problém, nové výzvy: Diskriminácia na základe veku.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B17F5" w14:textId="77777777" w:rsidR="002644DE" w:rsidRPr="00CD4982" w:rsidRDefault="0040256B"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87A87" w14:textId="77777777" w:rsidR="00433C47" w:rsidRPr="00CD4982" w:rsidRDefault="0040256B"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14:paraId="46914936" w14:textId="77777777"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1931154801">
    <w:abstractNumId w:val="2"/>
  </w:num>
  <w:num w:numId="2" w16cid:durableId="1428034776">
    <w:abstractNumId w:val="4"/>
  </w:num>
  <w:num w:numId="3" w16cid:durableId="704601335">
    <w:abstractNumId w:val="1"/>
  </w:num>
  <w:num w:numId="4" w16cid:durableId="1908568379">
    <w:abstractNumId w:val="11"/>
  </w:num>
  <w:num w:numId="5" w16cid:durableId="233004280">
    <w:abstractNumId w:val="7"/>
  </w:num>
  <w:num w:numId="6" w16cid:durableId="1194079410">
    <w:abstractNumId w:val="8"/>
  </w:num>
  <w:num w:numId="7" w16cid:durableId="844904759">
    <w:abstractNumId w:val="3"/>
  </w:num>
  <w:num w:numId="8" w16cid:durableId="1934170848">
    <w:abstractNumId w:val="6"/>
  </w:num>
  <w:num w:numId="9" w16cid:durableId="797795329">
    <w:abstractNumId w:val="5"/>
  </w:num>
  <w:num w:numId="10" w16cid:durableId="1065252117">
    <w:abstractNumId w:val="0"/>
  </w:num>
  <w:num w:numId="11" w16cid:durableId="1379285714">
    <w:abstractNumId w:val="9"/>
  </w:num>
  <w:num w:numId="12" w16cid:durableId="997422306">
    <w:abstractNumId w:val="10"/>
  </w:num>
  <w:num w:numId="13" w16cid:durableId="99610737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4DE"/>
    <w:rsid w:val="00060EEC"/>
    <w:rsid w:val="000714B0"/>
    <w:rsid w:val="000947EF"/>
    <w:rsid w:val="000F247A"/>
    <w:rsid w:val="00105496"/>
    <w:rsid w:val="001154D7"/>
    <w:rsid w:val="00145123"/>
    <w:rsid w:val="001613AA"/>
    <w:rsid w:val="001678A6"/>
    <w:rsid w:val="001C34DC"/>
    <w:rsid w:val="001E5404"/>
    <w:rsid w:val="00247C99"/>
    <w:rsid w:val="002644DE"/>
    <w:rsid w:val="00290FDB"/>
    <w:rsid w:val="002E1978"/>
    <w:rsid w:val="00343338"/>
    <w:rsid w:val="003758A0"/>
    <w:rsid w:val="00382021"/>
    <w:rsid w:val="00397A7C"/>
    <w:rsid w:val="003D2463"/>
    <w:rsid w:val="003E4806"/>
    <w:rsid w:val="0040256B"/>
    <w:rsid w:val="00433C47"/>
    <w:rsid w:val="00440941"/>
    <w:rsid w:val="00443F29"/>
    <w:rsid w:val="0044476B"/>
    <w:rsid w:val="004636A3"/>
    <w:rsid w:val="0048739C"/>
    <w:rsid w:val="00497B83"/>
    <w:rsid w:val="004D0E16"/>
    <w:rsid w:val="0054287F"/>
    <w:rsid w:val="005A16C3"/>
    <w:rsid w:val="005C649C"/>
    <w:rsid w:val="005E106E"/>
    <w:rsid w:val="005E7D93"/>
    <w:rsid w:val="005F62E8"/>
    <w:rsid w:val="00624B9B"/>
    <w:rsid w:val="00636301"/>
    <w:rsid w:val="00636449"/>
    <w:rsid w:val="006611DA"/>
    <w:rsid w:val="006757C7"/>
    <w:rsid w:val="00691BB0"/>
    <w:rsid w:val="006B653A"/>
    <w:rsid w:val="006C3C2C"/>
    <w:rsid w:val="007426D9"/>
    <w:rsid w:val="007E0C11"/>
    <w:rsid w:val="007E57E7"/>
    <w:rsid w:val="007F58AE"/>
    <w:rsid w:val="007F6319"/>
    <w:rsid w:val="008149CF"/>
    <w:rsid w:val="00823CDD"/>
    <w:rsid w:val="008801B5"/>
    <w:rsid w:val="008A5EAA"/>
    <w:rsid w:val="008A7D22"/>
    <w:rsid w:val="008D0494"/>
    <w:rsid w:val="008F27AF"/>
    <w:rsid w:val="00911546"/>
    <w:rsid w:val="00922BC4"/>
    <w:rsid w:val="0095188C"/>
    <w:rsid w:val="00964B33"/>
    <w:rsid w:val="00974CBE"/>
    <w:rsid w:val="009831AF"/>
    <w:rsid w:val="009B04FB"/>
    <w:rsid w:val="009E09F7"/>
    <w:rsid w:val="00A31967"/>
    <w:rsid w:val="00A606B8"/>
    <w:rsid w:val="00A64E88"/>
    <w:rsid w:val="00A9062A"/>
    <w:rsid w:val="00A91FCE"/>
    <w:rsid w:val="00A96B57"/>
    <w:rsid w:val="00AA319E"/>
    <w:rsid w:val="00AC45EF"/>
    <w:rsid w:val="00AF3F43"/>
    <w:rsid w:val="00B70802"/>
    <w:rsid w:val="00B83734"/>
    <w:rsid w:val="00BC0320"/>
    <w:rsid w:val="00BD141A"/>
    <w:rsid w:val="00C13E8D"/>
    <w:rsid w:val="00C213EF"/>
    <w:rsid w:val="00C34A00"/>
    <w:rsid w:val="00C751A5"/>
    <w:rsid w:val="00CB6AA9"/>
    <w:rsid w:val="00CD1710"/>
    <w:rsid w:val="00CD4370"/>
    <w:rsid w:val="00D04063"/>
    <w:rsid w:val="00D46BFD"/>
    <w:rsid w:val="00DA2572"/>
    <w:rsid w:val="00DC214E"/>
    <w:rsid w:val="00DC4D68"/>
    <w:rsid w:val="00DD3CE8"/>
    <w:rsid w:val="00DF5E2F"/>
    <w:rsid w:val="00E0261A"/>
    <w:rsid w:val="00E077DF"/>
    <w:rsid w:val="00E24EDE"/>
    <w:rsid w:val="00E314AD"/>
    <w:rsid w:val="00E91F37"/>
    <w:rsid w:val="00EE0448"/>
    <w:rsid w:val="00EE51B3"/>
    <w:rsid w:val="00F2175F"/>
    <w:rsid w:val="00F52B21"/>
    <w:rsid w:val="00FA580E"/>
    <w:rsid w:val="00FB46AC"/>
    <w:rsid w:val="00FF2EC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2152B"/>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Revzia">
    <w:name w:val="Revision"/>
    <w:hidden/>
    <w:uiPriority w:val="99"/>
    <w:semiHidden/>
    <w:rsid w:val="007E0C11"/>
    <w:pPr>
      <w:spacing w:after="0" w:line="240" w:lineRule="auto"/>
    </w:pPr>
  </w:style>
  <w:style w:type="paragraph" w:styleId="Textbubliny">
    <w:name w:val="Balloon Text"/>
    <w:basedOn w:val="Normlny"/>
    <w:link w:val="TextbublinyChar"/>
    <w:uiPriority w:val="99"/>
    <w:semiHidden/>
    <w:unhideWhenUsed/>
    <w:rsid w:val="00AF3F4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AF3F43"/>
    <w:rPr>
      <w:rFonts w:ascii="Segoe UI" w:hAnsi="Segoe UI" w:cs="Segoe UI"/>
      <w:sz w:val="18"/>
      <w:szCs w:val="18"/>
    </w:rPr>
  </w:style>
  <w:style w:type="character" w:styleId="Odkaznakomentr">
    <w:name w:val="annotation reference"/>
    <w:basedOn w:val="Predvolenpsmoodseku"/>
    <w:uiPriority w:val="99"/>
    <w:semiHidden/>
    <w:unhideWhenUsed/>
    <w:rsid w:val="00AF3F43"/>
    <w:rPr>
      <w:sz w:val="16"/>
      <w:szCs w:val="16"/>
    </w:rPr>
  </w:style>
  <w:style w:type="paragraph" w:styleId="Textkomentra">
    <w:name w:val="annotation text"/>
    <w:basedOn w:val="Normlny"/>
    <w:link w:val="TextkomentraChar"/>
    <w:uiPriority w:val="99"/>
    <w:semiHidden/>
    <w:unhideWhenUsed/>
    <w:rsid w:val="00AF3F43"/>
    <w:pPr>
      <w:spacing w:line="240" w:lineRule="auto"/>
    </w:pPr>
    <w:rPr>
      <w:sz w:val="20"/>
      <w:szCs w:val="20"/>
    </w:rPr>
  </w:style>
  <w:style w:type="character" w:customStyle="1" w:styleId="TextkomentraChar">
    <w:name w:val="Text komentára Char"/>
    <w:basedOn w:val="Predvolenpsmoodseku"/>
    <w:link w:val="Textkomentra"/>
    <w:uiPriority w:val="99"/>
    <w:semiHidden/>
    <w:rsid w:val="00AF3F43"/>
    <w:rPr>
      <w:sz w:val="20"/>
      <w:szCs w:val="20"/>
    </w:rPr>
  </w:style>
  <w:style w:type="paragraph" w:styleId="Predmetkomentra">
    <w:name w:val="annotation subject"/>
    <w:basedOn w:val="Textkomentra"/>
    <w:next w:val="Textkomentra"/>
    <w:link w:val="PredmetkomentraChar"/>
    <w:uiPriority w:val="99"/>
    <w:semiHidden/>
    <w:unhideWhenUsed/>
    <w:rsid w:val="00AF3F43"/>
    <w:rPr>
      <w:b/>
      <w:bCs/>
    </w:rPr>
  </w:style>
  <w:style w:type="character" w:customStyle="1" w:styleId="PredmetkomentraChar">
    <w:name w:val="Predmet komentára Char"/>
    <w:basedOn w:val="TextkomentraChar"/>
    <w:link w:val="Predmetkomentra"/>
    <w:uiPriority w:val="99"/>
    <w:semiHidden/>
    <w:rsid w:val="00AF3F4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609</TotalTime>
  <Pages>8</Pages>
  <Words>2786</Words>
  <Characters>15884</Characters>
  <Application>Microsoft Office Word</Application>
  <DocSecurity>0</DocSecurity>
  <Lines>132</Lines>
  <Paragraphs>37</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UVZ SR</cp:lastModifiedBy>
  <cp:revision>36</cp:revision>
  <cp:lastPrinted>2026-09-04T07:59:00Z</cp:lastPrinted>
  <dcterms:created xsi:type="dcterms:W3CDTF">2024-07-19T06:53:00Z</dcterms:created>
  <dcterms:modified xsi:type="dcterms:W3CDTF">2026-09-04T08:43:00Z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ies>
</file>