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6290C" w14:textId="53073654" w:rsidR="001A41A2" w:rsidRPr="005C474B" w:rsidRDefault="001A41A2" w:rsidP="006874D5">
      <w:pPr>
        <w:autoSpaceDE w:val="0"/>
        <w:autoSpaceDN w:val="0"/>
        <w:adjustRightInd w:val="0"/>
        <w:jc w:val="center"/>
        <w:rPr>
          <w:rFonts w:ascii="Cambria" w:hAnsi="Cambria"/>
          <w:b/>
          <w:bCs/>
          <w:sz w:val="22"/>
          <w:szCs w:val="22"/>
        </w:rPr>
      </w:pPr>
      <w:r w:rsidRPr="005C474B">
        <w:rPr>
          <w:rFonts w:ascii="Cambria" w:hAnsi="Cambria"/>
          <w:b/>
          <w:bCs/>
          <w:sz w:val="22"/>
          <w:szCs w:val="22"/>
        </w:rPr>
        <w:t>O Z N Á M E N I E</w:t>
      </w:r>
    </w:p>
    <w:p w14:paraId="50B17984" w14:textId="77777777" w:rsidR="001A41A2" w:rsidRPr="005C474B" w:rsidRDefault="001A41A2" w:rsidP="001A41A2">
      <w:pPr>
        <w:autoSpaceDE w:val="0"/>
        <w:autoSpaceDN w:val="0"/>
        <w:adjustRightInd w:val="0"/>
        <w:jc w:val="center"/>
        <w:rPr>
          <w:rFonts w:ascii="Cambria" w:hAnsi="Cambria"/>
          <w:b/>
          <w:bCs/>
          <w:sz w:val="22"/>
          <w:szCs w:val="22"/>
        </w:rPr>
      </w:pPr>
      <w:r w:rsidRPr="005C474B">
        <w:rPr>
          <w:rFonts w:ascii="Cambria" w:hAnsi="Cambria"/>
          <w:b/>
          <w:bCs/>
          <w:sz w:val="22"/>
          <w:szCs w:val="22"/>
        </w:rPr>
        <w:t>Národnej banky Slovenska</w:t>
      </w:r>
    </w:p>
    <w:p w14:paraId="438F93B8" w14:textId="77777777" w:rsidR="001A41A2" w:rsidRPr="005C474B" w:rsidRDefault="001A41A2" w:rsidP="001A41A2">
      <w:pPr>
        <w:autoSpaceDE w:val="0"/>
        <w:autoSpaceDN w:val="0"/>
        <w:adjustRightInd w:val="0"/>
        <w:jc w:val="both"/>
        <w:rPr>
          <w:rFonts w:ascii="Cambria" w:hAnsi="Cambria"/>
          <w:bCs/>
          <w:color w:val="000000"/>
          <w:sz w:val="22"/>
          <w:szCs w:val="22"/>
          <w:lang w:eastAsia="sk-SK"/>
        </w:rPr>
      </w:pPr>
    </w:p>
    <w:p w14:paraId="3313DBBF" w14:textId="77777777" w:rsidR="001A41A2" w:rsidRPr="005C474B" w:rsidRDefault="001A41A2" w:rsidP="001A41A2">
      <w:pPr>
        <w:autoSpaceDE w:val="0"/>
        <w:autoSpaceDN w:val="0"/>
        <w:adjustRightInd w:val="0"/>
        <w:spacing w:line="276" w:lineRule="auto"/>
        <w:jc w:val="both"/>
        <w:rPr>
          <w:rFonts w:ascii="Cambria" w:eastAsiaTheme="minorEastAsia" w:hAnsi="Cambria"/>
          <w:color w:val="000000"/>
          <w:sz w:val="22"/>
          <w:szCs w:val="22"/>
          <w:lang w:eastAsia="zh-CN"/>
        </w:rPr>
      </w:pPr>
    </w:p>
    <w:p w14:paraId="5A7C4B85" w14:textId="48A2FE70" w:rsidR="006874D5" w:rsidRPr="005C474B" w:rsidRDefault="006874D5" w:rsidP="006874D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5C474B">
        <w:rPr>
          <w:rFonts w:ascii="Cambria" w:hAnsi="Cambria"/>
          <w:sz w:val="22"/>
          <w:szCs w:val="22"/>
        </w:rPr>
        <w:t xml:space="preserve">Národná banka Slovenska podľa § 38 ods. 5 a § 63 ods. 3 zákona č. 39/2015 Z. z. o poisťovníctve a o zmene a doplnení niektorých zákonov </w:t>
      </w:r>
      <w:r w:rsidR="007A2B38">
        <w:rPr>
          <w:rFonts w:ascii="Cambria" w:hAnsi="Cambria"/>
          <w:sz w:val="22"/>
          <w:szCs w:val="22"/>
        </w:rPr>
        <w:t xml:space="preserve">v znení zákona č. .../2026 Z. z. </w:t>
      </w:r>
      <w:r w:rsidRPr="005C474B">
        <w:rPr>
          <w:rFonts w:ascii="Cambria" w:hAnsi="Cambria"/>
          <w:sz w:val="22"/>
          <w:szCs w:val="22"/>
        </w:rPr>
        <w:t>vydala</w:t>
      </w:r>
    </w:p>
    <w:p w14:paraId="4CA0EBC6" w14:textId="77777777" w:rsidR="001A41A2" w:rsidRPr="005C474B" w:rsidRDefault="001A41A2" w:rsidP="001A41A2">
      <w:pPr>
        <w:spacing w:line="276" w:lineRule="auto"/>
        <w:jc w:val="both"/>
        <w:rPr>
          <w:rFonts w:ascii="Cambria" w:eastAsiaTheme="minorEastAsia" w:hAnsi="Cambria"/>
          <w:sz w:val="22"/>
          <w:szCs w:val="22"/>
          <w:lang w:eastAsia="zh-CN"/>
        </w:rPr>
      </w:pPr>
    </w:p>
    <w:p w14:paraId="48887F36" w14:textId="2F4E3A1C" w:rsidR="006874D5" w:rsidRPr="005C474B" w:rsidRDefault="006874D5" w:rsidP="00EB7A25">
      <w:pPr>
        <w:tabs>
          <w:tab w:val="left" w:pos="1800"/>
        </w:tabs>
        <w:autoSpaceDE w:val="0"/>
        <w:autoSpaceDN w:val="0"/>
        <w:adjustRightInd w:val="0"/>
        <w:jc w:val="both"/>
        <w:rPr>
          <w:rFonts w:ascii="Cambria" w:hAnsi="Cambria"/>
          <w:b/>
          <w:bCs/>
          <w:sz w:val="22"/>
          <w:szCs w:val="22"/>
        </w:rPr>
      </w:pPr>
      <w:r w:rsidRPr="005C474B">
        <w:rPr>
          <w:rFonts w:ascii="Cambria" w:hAnsi="Cambria"/>
          <w:b/>
          <w:bCs/>
          <w:sz w:val="22"/>
          <w:szCs w:val="22"/>
        </w:rPr>
        <w:t xml:space="preserve">opatrenie z ... 2026 o miere nákladov na držbu použiteľných vlastných zdrojov a o absolútnej spodnej hranici </w:t>
      </w:r>
      <w:r w:rsidRPr="005C474B">
        <w:rPr>
          <w:rFonts w:ascii="Cambria" w:hAnsi="Cambria"/>
          <w:b/>
          <w:bCs/>
          <w:color w:val="303030"/>
          <w:sz w:val="22"/>
          <w:szCs w:val="22"/>
        </w:rPr>
        <w:t>minimálnej kapitálovej požiadavky na solventnosť pre</w:t>
      </w:r>
      <w:r w:rsidRPr="005C474B">
        <w:rPr>
          <w:rFonts w:ascii="Cambria" w:hAnsi="Cambria"/>
          <w:b/>
          <w:bCs/>
          <w:sz w:val="22"/>
          <w:szCs w:val="22"/>
        </w:rPr>
        <w:t xml:space="preserve"> poisťovne, na ktoré sa neuplatňuje osobitný režim, a pre zaisťovne, pobočky zahraničných poisťovní a pobočky zahraničných zaisťovní.</w:t>
      </w:r>
    </w:p>
    <w:p w14:paraId="328D8C96" w14:textId="77777777" w:rsidR="006874D5" w:rsidRPr="005C474B" w:rsidRDefault="006874D5" w:rsidP="001A41A2">
      <w:pPr>
        <w:spacing w:line="276" w:lineRule="auto"/>
        <w:jc w:val="both"/>
        <w:rPr>
          <w:rFonts w:ascii="Cambria" w:eastAsiaTheme="minorEastAsia" w:hAnsi="Cambria"/>
          <w:sz w:val="22"/>
          <w:szCs w:val="22"/>
          <w:lang w:eastAsia="zh-CN"/>
        </w:rPr>
      </w:pPr>
    </w:p>
    <w:p w14:paraId="1F9EB829" w14:textId="0D94F02A" w:rsidR="006874D5" w:rsidRPr="005C474B" w:rsidRDefault="006874D5" w:rsidP="006874D5">
      <w:pPr>
        <w:spacing w:before="120"/>
        <w:jc w:val="both"/>
        <w:rPr>
          <w:rFonts w:ascii="Cambria" w:eastAsiaTheme="minorEastAsia" w:hAnsi="Cambria"/>
          <w:sz w:val="22"/>
          <w:szCs w:val="22"/>
          <w:lang w:eastAsia="zh-CN"/>
        </w:rPr>
      </w:pPr>
      <w:r w:rsidRPr="005C474B">
        <w:rPr>
          <w:rFonts w:ascii="Cambria" w:eastAsiaTheme="minorEastAsia" w:hAnsi="Cambria"/>
          <w:sz w:val="22"/>
          <w:szCs w:val="22"/>
          <w:lang w:eastAsia="zh-CN"/>
        </w:rPr>
        <w:tab/>
        <w:t xml:space="preserve">Opatrenie ustanovuje </w:t>
      </w:r>
      <w:r w:rsidRPr="005C474B">
        <w:rPr>
          <w:rFonts w:ascii="Cambria" w:hAnsi="Cambria"/>
          <w:color w:val="000000"/>
          <w:sz w:val="22"/>
          <w:szCs w:val="22"/>
        </w:rPr>
        <w:t>mieru nákladov na držbu použiteľných vlastných zdrojov</w:t>
      </w:r>
      <w:r w:rsidR="005C474B" w:rsidRPr="005C474B">
        <w:rPr>
          <w:rFonts w:ascii="Cambria" w:eastAsiaTheme="minorEastAsia" w:hAnsi="Cambria"/>
          <w:sz w:val="22"/>
          <w:szCs w:val="22"/>
          <w:lang w:eastAsia="zh-CN"/>
        </w:rPr>
        <w:t xml:space="preserve"> </w:t>
      </w:r>
      <w:r w:rsidR="00B578C1">
        <w:rPr>
          <w:rFonts w:ascii="Cambria" w:eastAsiaTheme="minorEastAsia" w:hAnsi="Cambria"/>
          <w:sz w:val="22"/>
          <w:szCs w:val="22"/>
          <w:lang w:eastAsia="zh-CN"/>
        </w:rPr>
        <w:t>t</w:t>
      </w:r>
      <w:r w:rsidR="00B578C1" w:rsidRPr="00B578C1">
        <w:rPr>
          <w:rFonts w:ascii="Cambria" w:eastAsiaTheme="minorEastAsia" w:hAnsi="Cambria"/>
          <w:sz w:val="22"/>
          <w:szCs w:val="22"/>
          <w:lang w:eastAsia="zh-CN"/>
        </w:rPr>
        <w:t xml:space="preserve">ak, ako to určuje smernica 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 w:rsidR="00B578C1" w:rsidRPr="00B578C1">
        <w:rPr>
          <w:rFonts w:ascii="Cambria" w:eastAsiaTheme="minorEastAsia" w:hAnsi="Cambria"/>
          <w:sz w:val="22"/>
          <w:szCs w:val="22"/>
          <w:lang w:eastAsia="zh-CN"/>
        </w:rPr>
        <w:t>makroprudenciálne</w:t>
      </w:r>
      <w:proofErr w:type="spellEnd"/>
      <w:r w:rsidR="00B578C1" w:rsidRPr="00B578C1">
        <w:rPr>
          <w:rFonts w:ascii="Cambria" w:eastAsiaTheme="minorEastAsia" w:hAnsi="Cambria"/>
          <w:sz w:val="22"/>
          <w:szCs w:val="22"/>
          <w:lang w:eastAsia="zh-CN"/>
        </w:rPr>
        <w:t xml:space="preserve"> nástroje, riziká ohrozujúce udržateľnosť a dohľad nad skupinou a cezhraničný dohľad, a ktorou sa menia smernice 2002/87/ES a 2013/34/EÚ (Ú. v. EÚ L, 2025/2, 8.1.2025)</w:t>
      </w:r>
      <w:r w:rsidR="00B578C1">
        <w:rPr>
          <w:rFonts w:ascii="Cambria" w:eastAsiaTheme="minorEastAsia" w:hAnsi="Cambria"/>
          <w:sz w:val="22"/>
          <w:szCs w:val="22"/>
          <w:lang w:eastAsia="zh-CN"/>
        </w:rPr>
        <w:t xml:space="preserve"> a </w:t>
      </w:r>
      <w:r w:rsidR="005C474B" w:rsidRPr="005C474B">
        <w:rPr>
          <w:rFonts w:ascii="Cambria" w:hAnsi="Cambria"/>
          <w:sz w:val="22"/>
          <w:szCs w:val="22"/>
        </w:rPr>
        <w:t xml:space="preserve">delegované </w:t>
      </w:r>
      <w:r w:rsidR="00B578C1" w:rsidRPr="005C474B">
        <w:rPr>
          <w:rFonts w:ascii="Cambria" w:hAnsi="Cambria"/>
          <w:sz w:val="22"/>
          <w:szCs w:val="22"/>
        </w:rPr>
        <w:t>nariadeni</w:t>
      </w:r>
      <w:r w:rsidR="00B578C1">
        <w:rPr>
          <w:rFonts w:ascii="Cambria" w:hAnsi="Cambria"/>
          <w:sz w:val="22"/>
          <w:szCs w:val="22"/>
        </w:rPr>
        <w:t>e</w:t>
      </w:r>
      <w:r w:rsidR="00B578C1" w:rsidRPr="005C474B">
        <w:rPr>
          <w:rFonts w:ascii="Cambria" w:hAnsi="Cambria"/>
          <w:sz w:val="22"/>
          <w:szCs w:val="22"/>
        </w:rPr>
        <w:t xml:space="preserve"> </w:t>
      </w:r>
      <w:r w:rsidR="005C474B" w:rsidRPr="005C474B">
        <w:rPr>
          <w:rFonts w:ascii="Cambria" w:hAnsi="Cambria"/>
          <w:sz w:val="22"/>
          <w:szCs w:val="22"/>
        </w:rPr>
        <w:t xml:space="preserve">Komisie (EÚ) 2026/269 z 29. októbra 2025, ktorým sa mení delegované nariadenie (EÚ) 2015/35, pokiaľ ide o technické rezervy, opatrenia týkajúce sa dlhodobých záruk, vlastné zdroje, akciové riziko, riziko úverového rozpätia pri </w:t>
      </w:r>
      <w:proofErr w:type="spellStart"/>
      <w:r w:rsidR="005C474B" w:rsidRPr="005C474B">
        <w:rPr>
          <w:rFonts w:ascii="Cambria" w:hAnsi="Cambria"/>
          <w:sz w:val="22"/>
          <w:szCs w:val="22"/>
        </w:rPr>
        <w:t>sekuritizačných</w:t>
      </w:r>
      <w:proofErr w:type="spellEnd"/>
      <w:r w:rsidR="005C474B" w:rsidRPr="005C474B">
        <w:rPr>
          <w:rFonts w:ascii="Cambria" w:hAnsi="Cambria"/>
          <w:sz w:val="22"/>
          <w:szCs w:val="22"/>
        </w:rPr>
        <w:t xml:space="preserve"> pozíciách, iné kapitálové požiadavky podľa štandardného vzorca, predkladanie informácií a zverejňovanie informácií, proporcionalitu a skupinovú solventnosť</w:t>
      </w:r>
      <w:r w:rsidR="00B578C1">
        <w:rPr>
          <w:rFonts w:ascii="Cambria" w:hAnsi="Cambria"/>
          <w:sz w:val="22"/>
          <w:szCs w:val="22"/>
        </w:rPr>
        <w:t xml:space="preserve"> </w:t>
      </w:r>
      <w:r w:rsidR="00B578C1" w:rsidRPr="00B578C1">
        <w:rPr>
          <w:rFonts w:ascii="Cambria" w:hAnsi="Cambria"/>
          <w:sz w:val="22"/>
          <w:szCs w:val="22"/>
        </w:rPr>
        <w:t>(Ú. v. EÚ L, 2026/269, 18.2.2026)</w:t>
      </w:r>
      <w:r w:rsidR="005C474B" w:rsidRPr="005C474B">
        <w:rPr>
          <w:rFonts w:ascii="Cambria" w:eastAsiaTheme="minorEastAsia" w:hAnsi="Cambria"/>
          <w:sz w:val="22"/>
          <w:szCs w:val="22"/>
          <w:lang w:eastAsia="zh-CN"/>
        </w:rPr>
        <w:t xml:space="preserve">. </w:t>
      </w:r>
      <w:r w:rsidRPr="005C474B">
        <w:rPr>
          <w:rFonts w:ascii="Cambria" w:eastAsiaTheme="minorEastAsia" w:hAnsi="Cambria"/>
          <w:sz w:val="22"/>
          <w:szCs w:val="22"/>
          <w:lang w:eastAsia="zh-CN"/>
        </w:rPr>
        <w:t xml:space="preserve">Opatrenie tiež určuje </w:t>
      </w:r>
      <w:r w:rsidRPr="005C474B">
        <w:rPr>
          <w:rFonts w:ascii="Cambria" w:hAnsi="Cambria"/>
          <w:color w:val="000000"/>
          <w:sz w:val="22"/>
          <w:szCs w:val="22"/>
        </w:rPr>
        <w:t xml:space="preserve">absolútnu spodnú hranicu minimálnej kapitálovej požiadavky na solventnosť poisťovne pre neživotné poistenie, poisťovne pre životné poistenie, </w:t>
      </w:r>
      <w:r w:rsidR="007E47BD" w:rsidRPr="005C474B">
        <w:rPr>
          <w:rFonts w:ascii="Cambria" w:hAnsi="Cambria"/>
          <w:color w:val="000000"/>
          <w:sz w:val="22"/>
          <w:szCs w:val="22"/>
        </w:rPr>
        <w:t xml:space="preserve">poisťovne, ktorá vykonáva súčasne životné poistenie a neživotné poistenie, zaisťovne a </w:t>
      </w:r>
      <w:proofErr w:type="spellStart"/>
      <w:r w:rsidRPr="005C474B">
        <w:rPr>
          <w:rFonts w:ascii="Cambria" w:hAnsi="Cambria"/>
          <w:color w:val="000000"/>
          <w:sz w:val="22"/>
          <w:szCs w:val="22"/>
        </w:rPr>
        <w:t>kaptívnej</w:t>
      </w:r>
      <w:proofErr w:type="spellEnd"/>
      <w:r w:rsidRPr="005C474B">
        <w:rPr>
          <w:rFonts w:ascii="Cambria" w:hAnsi="Cambria"/>
          <w:color w:val="000000"/>
          <w:sz w:val="22"/>
          <w:szCs w:val="22"/>
        </w:rPr>
        <w:t xml:space="preserve"> zaisťovne</w:t>
      </w:r>
      <w:r w:rsidR="00B578C1">
        <w:rPr>
          <w:rFonts w:ascii="Cambria" w:hAnsi="Cambria"/>
          <w:color w:val="000000"/>
          <w:sz w:val="22"/>
          <w:szCs w:val="22"/>
        </w:rPr>
        <w:t xml:space="preserve"> podľa </w:t>
      </w:r>
      <w:r w:rsidR="00B578C1" w:rsidRPr="00B578C1">
        <w:rPr>
          <w:rFonts w:ascii="Cambria" w:hAnsi="Cambria"/>
          <w:color w:val="000000"/>
          <w:sz w:val="22"/>
          <w:szCs w:val="22"/>
        </w:rPr>
        <w:t>smernice Európskeho parlamentu a Rady 2009/138/ES z 25. novembra 2009 o začatí a vykonávaní poistenia a zaistenia (Solventnosť II) (prepracované znenie) (Ú. v. EÚ L 335, 17.12.2009) v platnom znení</w:t>
      </w:r>
      <w:r w:rsidRPr="005C474B">
        <w:rPr>
          <w:rFonts w:ascii="Cambria" w:hAnsi="Cambria"/>
          <w:color w:val="000000"/>
          <w:sz w:val="22"/>
          <w:szCs w:val="22"/>
        </w:rPr>
        <w:t xml:space="preserve"> </w:t>
      </w:r>
      <w:r w:rsidR="005C474B" w:rsidRPr="005C474B">
        <w:rPr>
          <w:rFonts w:ascii="Cambria" w:hAnsi="Cambria"/>
          <w:sz w:val="22"/>
          <w:szCs w:val="22"/>
        </w:rPr>
        <w:t>v nadväznosti na o</w:t>
      </w:r>
      <w:r w:rsidR="005C474B" w:rsidRPr="005C474B">
        <w:rPr>
          <w:rFonts w:ascii="Cambria" w:eastAsiaTheme="minorHAnsi" w:hAnsi="Cambria"/>
          <w:color w:val="000000"/>
          <w:sz w:val="22"/>
          <w:szCs w:val="22"/>
        </w:rPr>
        <w:t>známenie o úprave súm stanovených v smernici Európskeho parlamentu a Rady 2009/138/ES o začatí a vykonávaní poistenia a zaistenia (Solventnosť II) podľa inflácie</w:t>
      </w:r>
      <w:r w:rsidR="00662838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r w:rsidR="00662838" w:rsidRPr="005C474B">
        <w:rPr>
          <w:rFonts w:ascii="Cambria" w:eastAsiaTheme="minorHAnsi" w:hAnsi="Cambria"/>
          <w:color w:val="000000"/>
          <w:sz w:val="22"/>
          <w:szCs w:val="22"/>
        </w:rPr>
        <w:t>(2021/C 423/12)</w:t>
      </w:r>
      <w:r w:rsidR="005C474B" w:rsidRPr="005C474B">
        <w:rPr>
          <w:rFonts w:ascii="Cambria" w:eastAsiaTheme="minorHAnsi" w:hAnsi="Cambria"/>
          <w:color w:val="000000"/>
          <w:sz w:val="22"/>
          <w:szCs w:val="22"/>
        </w:rPr>
        <w:t xml:space="preserve">, </w:t>
      </w:r>
      <w:bookmarkStart w:id="0" w:name="_Hlk107568006"/>
      <w:r w:rsidR="005C474B" w:rsidRPr="005C474B">
        <w:rPr>
          <w:rFonts w:ascii="Cambria" w:eastAsiaTheme="minorHAnsi" w:hAnsi="Cambria"/>
          <w:color w:val="000000"/>
          <w:sz w:val="22"/>
          <w:szCs w:val="22"/>
        </w:rPr>
        <w:t xml:space="preserve">uverejnené </w:t>
      </w:r>
      <w:r w:rsidR="005C474B" w:rsidRPr="005C474B">
        <w:rPr>
          <w:rFonts w:ascii="Cambria" w:hAnsi="Cambria"/>
          <w:sz w:val="22"/>
          <w:szCs w:val="22"/>
        </w:rPr>
        <w:t>Európskou komisiou v Úradnom vestníku Európskej únie</w:t>
      </w:r>
      <w:bookmarkEnd w:id="0"/>
      <w:r w:rsidR="005C474B" w:rsidRPr="005C474B">
        <w:rPr>
          <w:rFonts w:ascii="Cambria" w:eastAsiaTheme="minorHAnsi" w:hAnsi="Cambria"/>
          <w:color w:val="000000"/>
          <w:sz w:val="22"/>
          <w:szCs w:val="22"/>
        </w:rPr>
        <w:t>.</w:t>
      </w:r>
    </w:p>
    <w:p w14:paraId="173D7F37" w14:textId="77777777" w:rsidR="001A41A2" w:rsidRPr="005C474B" w:rsidRDefault="001A41A2" w:rsidP="006874D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theme="minorHAnsi"/>
          <w:sz w:val="22"/>
          <w:szCs w:val="22"/>
        </w:rPr>
      </w:pPr>
    </w:p>
    <w:p w14:paraId="2D461462" w14:textId="76B8EAD4" w:rsidR="001A41A2" w:rsidRPr="005C474B" w:rsidRDefault="001A41A2" w:rsidP="001A41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5C474B">
        <w:rPr>
          <w:rFonts w:ascii="Cambria" w:hAnsi="Cambria"/>
          <w:sz w:val="22"/>
          <w:szCs w:val="22"/>
        </w:rPr>
        <w:tab/>
        <w:t xml:space="preserve">Opatrenie nadobúda účinnosť </w:t>
      </w:r>
      <w:r w:rsidR="006874D5" w:rsidRPr="005C474B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>30</w:t>
      </w:r>
      <w:r w:rsidRPr="005C474B">
        <w:rPr>
          <w:rFonts w:ascii="Cambria" w:eastAsiaTheme="minorEastAsia" w:hAnsi="Cambria"/>
          <w:color w:val="000000" w:themeColor="text1"/>
          <w:sz w:val="22"/>
          <w:szCs w:val="22"/>
          <w:lang w:eastAsia="zh-CN"/>
        </w:rPr>
        <w:t>. januára 2027.</w:t>
      </w:r>
    </w:p>
    <w:p w14:paraId="7488BE4D" w14:textId="77777777" w:rsidR="001A41A2" w:rsidRPr="005C474B" w:rsidRDefault="001A41A2" w:rsidP="001A41A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CF993D9" w14:textId="77777777" w:rsidR="001A41A2" w:rsidRPr="005C474B" w:rsidRDefault="001A41A2" w:rsidP="001A41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5C474B">
        <w:rPr>
          <w:rFonts w:ascii="Cambria" w:hAnsi="Cambria"/>
          <w:sz w:val="22"/>
          <w:szCs w:val="22"/>
        </w:rPr>
        <w:tab/>
        <w:t>Opatrenie je uverejnené na webovom sídle Slov</w:t>
      </w:r>
      <w:r w:rsidRPr="005C474B">
        <w:rPr>
          <w:rFonts w:ascii="Cambria" w:hAnsi="Cambria"/>
          <w:sz w:val="22"/>
          <w:szCs w:val="22"/>
        </w:rPr>
        <w:noBreakHyphen/>
        <w:t>Lex v Registri opatrení (</w:t>
      </w:r>
      <w:hyperlink r:id="rId10" w:history="1">
        <w:r w:rsidRPr="005C474B">
          <w:rPr>
            <w:rFonts w:ascii="Cambria" w:hAnsi="Cambria"/>
            <w:color w:val="1C355E" w:themeColor="hyperlink"/>
            <w:sz w:val="22"/>
            <w:szCs w:val="22"/>
            <w:u w:val="single"/>
          </w:rPr>
          <w:t>www.slov-lex.sk</w:t>
        </w:r>
      </w:hyperlink>
      <w:r w:rsidRPr="005C474B">
        <w:rPr>
          <w:rFonts w:ascii="Cambria" w:hAnsi="Cambria"/>
          <w:sz w:val="22"/>
          <w:szCs w:val="22"/>
        </w:rPr>
        <w:t xml:space="preserve">), v čiastke .../... Vestníka Národnej banky Slovenska a možno doň nazrieť vo všetkých organizačných zložkách Národnej banky Slovenska. Opatrenie je uverejnené aj na webovom sídle Národnej banky Slovenska </w:t>
      </w:r>
      <w:hyperlink r:id="rId11" w:history="1">
        <w:r w:rsidRPr="005C474B">
          <w:rPr>
            <w:rFonts w:ascii="Cambria" w:hAnsi="Cambria"/>
            <w:color w:val="1C355E" w:themeColor="hyperlink"/>
            <w:sz w:val="22"/>
            <w:szCs w:val="22"/>
            <w:u w:val="single"/>
          </w:rPr>
          <w:t>www.nbs.sk</w:t>
        </w:r>
      </w:hyperlink>
      <w:r w:rsidRPr="005C474B">
        <w:rPr>
          <w:rFonts w:ascii="Cambria" w:hAnsi="Cambria"/>
          <w:sz w:val="22"/>
          <w:szCs w:val="22"/>
        </w:rPr>
        <w:t>.</w:t>
      </w:r>
    </w:p>
    <w:p w14:paraId="4DA9B9AF" w14:textId="77777777" w:rsidR="001A41A2" w:rsidRPr="005C474B" w:rsidRDefault="001A41A2" w:rsidP="001A41A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62E209D" w14:textId="77777777" w:rsidR="001A41A2" w:rsidRPr="005C474B" w:rsidRDefault="001A41A2" w:rsidP="00B42F36">
      <w:pPr>
        <w:rPr>
          <w:rFonts w:ascii="Cambria" w:hAnsi="Cambria"/>
          <w:sz w:val="22"/>
          <w:szCs w:val="22"/>
        </w:rPr>
      </w:pPr>
    </w:p>
    <w:sectPr w:rsidR="001A41A2" w:rsidRPr="005C474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E883" w14:textId="77777777" w:rsidR="009270C1" w:rsidRDefault="009270C1" w:rsidP="0009480D">
      <w:r>
        <w:separator/>
      </w:r>
    </w:p>
  </w:endnote>
  <w:endnote w:type="continuationSeparator" w:id="0">
    <w:p w14:paraId="1FB580D4" w14:textId="77777777" w:rsidR="009270C1" w:rsidRDefault="009270C1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AEE12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7177C" w14:textId="77777777" w:rsidR="009270C1" w:rsidRDefault="009270C1" w:rsidP="0009480D">
      <w:r>
        <w:separator/>
      </w:r>
    </w:p>
  </w:footnote>
  <w:footnote w:type="continuationSeparator" w:id="0">
    <w:p w14:paraId="51BA367B" w14:textId="77777777" w:rsidR="009270C1" w:rsidRDefault="009270C1" w:rsidP="0009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57C7C"/>
    <w:multiLevelType w:val="hybridMultilevel"/>
    <w:tmpl w:val="F8BCC76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52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1A2"/>
    <w:rsid w:val="00010136"/>
    <w:rsid w:val="0009480D"/>
    <w:rsid w:val="000E28C8"/>
    <w:rsid w:val="00130860"/>
    <w:rsid w:val="001624A5"/>
    <w:rsid w:val="001663B6"/>
    <w:rsid w:val="001A41A2"/>
    <w:rsid w:val="001A694C"/>
    <w:rsid w:val="001D01FE"/>
    <w:rsid w:val="001D5F9F"/>
    <w:rsid w:val="00225679"/>
    <w:rsid w:val="00296E0D"/>
    <w:rsid w:val="002B4CD0"/>
    <w:rsid w:val="003636B5"/>
    <w:rsid w:val="00392F01"/>
    <w:rsid w:val="003A6E45"/>
    <w:rsid w:val="003F3C00"/>
    <w:rsid w:val="004100B0"/>
    <w:rsid w:val="00445B18"/>
    <w:rsid w:val="004D7E2D"/>
    <w:rsid w:val="005316F2"/>
    <w:rsid w:val="00564381"/>
    <w:rsid w:val="005939CC"/>
    <w:rsid w:val="005A1CD3"/>
    <w:rsid w:val="005C474B"/>
    <w:rsid w:val="006209A7"/>
    <w:rsid w:val="006470E3"/>
    <w:rsid w:val="00662838"/>
    <w:rsid w:val="00671D61"/>
    <w:rsid w:val="006874D5"/>
    <w:rsid w:val="00782367"/>
    <w:rsid w:val="00787300"/>
    <w:rsid w:val="007A2B38"/>
    <w:rsid w:val="007E47BD"/>
    <w:rsid w:val="009270C1"/>
    <w:rsid w:val="009841D6"/>
    <w:rsid w:val="009A6FA0"/>
    <w:rsid w:val="009D4291"/>
    <w:rsid w:val="00A719D6"/>
    <w:rsid w:val="00AC193B"/>
    <w:rsid w:val="00B31C02"/>
    <w:rsid w:val="00B42F36"/>
    <w:rsid w:val="00B578C1"/>
    <w:rsid w:val="00BA4BE5"/>
    <w:rsid w:val="00C35E8A"/>
    <w:rsid w:val="00C61BC4"/>
    <w:rsid w:val="00CB7C08"/>
    <w:rsid w:val="00DB5105"/>
    <w:rsid w:val="00E77B0F"/>
    <w:rsid w:val="00EB7A25"/>
    <w:rsid w:val="00ED1637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092D3"/>
  <w15:chartTrackingRefBased/>
  <w15:docId w15:val="{2D7E2241-17ED-4C26-AEDC-330F34EC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A4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A41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A41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A41A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A41A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A41A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A41A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A41A2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A41A2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A41A2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A41A2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A41A2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A41A2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1A41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A4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A41A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A41A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A41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A41A2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1A41A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A41A2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A41A2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A41A2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1A41A2"/>
    <w:rPr>
      <w:b/>
      <w:bCs/>
      <w:smallCaps/>
      <w:color w:val="004C80" w:themeColor="accent1" w:themeShade="BF"/>
      <w:spacing w:val="5"/>
    </w:rPr>
  </w:style>
  <w:style w:type="paragraph" w:styleId="Revzia">
    <w:name w:val="Revision"/>
    <w:hidden/>
    <w:uiPriority w:val="99"/>
    <w:semiHidden/>
    <w:rsid w:val="00B57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1624A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624A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624A5"/>
    <w:rPr>
      <w:rFonts w:ascii="Times New Roman" w:eastAsia="Times New Roman" w:hAnsi="Times New Roman"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624A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624A5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bs.sk/dohlad-nad-financnym-trhom/legislativa/narodna-legislativa/?table_legislation_params=%7B%22offset%22%3A0%2C%22filter%22%3A%7B%22lang%22%3A%22sk%22%2C%22doctypes%22%3A%5B12076%5D%7D%7D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lov-lex.sk/ezbierky/vykonavacie-predpisy?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829982-98AB-495D-B29B-44FE2590F5E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3.xml><?xml version="1.0" encoding="utf-8"?>
<ds:datastoreItem xmlns:ds="http://schemas.openxmlformats.org/officeDocument/2006/customXml" ds:itemID="{40026C45-41C3-4704-93C4-697AD4B35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7</cp:revision>
  <dcterms:created xsi:type="dcterms:W3CDTF">2026-09-15T12:55:00Z</dcterms:created>
  <dcterms:modified xsi:type="dcterms:W3CDTF">2026-09-24T09:09:00Z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