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A5CA3" w14:textId="77777777" w:rsidR="00143E1F" w:rsidRPr="006C45AB" w:rsidRDefault="00143E1F" w:rsidP="00143E1F">
      <w:pPr>
        <w:pStyle w:val="Vchodzie"/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sk-SK"/>
        </w:rPr>
        <w:t xml:space="preserve">Predbežné stanovisko k návrhu aktu Európskej únie </w:t>
      </w:r>
    </w:p>
    <w:p w14:paraId="3140B48E" w14:textId="77777777" w:rsidR="00143E1F" w:rsidRPr="006C45AB" w:rsidRDefault="00143E1F" w:rsidP="00143E1F">
      <w:pPr>
        <w:pStyle w:val="Vchodzie"/>
        <w:spacing w:after="0" w:line="240" w:lineRule="auto"/>
        <w:ind w:left="1080" w:hanging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B6F2D" w14:textId="77777777" w:rsidR="00143E1F" w:rsidRPr="006C45AB" w:rsidRDefault="00143E1F" w:rsidP="00143E1F">
      <w:pPr>
        <w:pStyle w:val="Vchodzie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sk-SK"/>
        </w:rPr>
      </w:pPr>
      <w:r w:rsidRPr="006C45A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sk-SK"/>
        </w:rPr>
        <w:t xml:space="preserve">PREDBEŽNÉ STANOVISKO </w:t>
      </w:r>
    </w:p>
    <w:p w14:paraId="40C4BEAE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</w:pPr>
    </w:p>
    <w:p w14:paraId="56D3EEEE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B81F283" w14:textId="77777777" w:rsidR="00143E1F" w:rsidRPr="006C45AB" w:rsidRDefault="00143E1F" w:rsidP="00143E1F">
      <w:pPr>
        <w:pStyle w:val="Vchodzie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sk-SK"/>
        </w:rPr>
        <w:t>Názov</w:t>
      </w:r>
    </w:p>
    <w:p w14:paraId="63413B18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color w:val="000000" w:themeColor="text1"/>
          <w:sz w:val="24"/>
          <w:szCs w:val="24"/>
        </w:rPr>
        <w:t>Návrh nariadenia Európskeho parlamentu a Rady o postupe udeľovania povolení pre systémy zabezpečujúce mobilné satelitné služby, ktoré používajú harmonizované frekvenčné pásmo 2 GHz, a o zrušení rozhodnutia č. 626/2008/ES</w:t>
      </w:r>
    </w:p>
    <w:p w14:paraId="5884E7B3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B9B203" w14:textId="77777777" w:rsidR="00143E1F" w:rsidRPr="006C45AB" w:rsidRDefault="00143E1F" w:rsidP="00143E1F">
      <w:pPr>
        <w:pStyle w:val="Vchodzie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sk-SK"/>
        </w:rPr>
        <w:t>Číslo a dátum zverejnenia dokumentu Európskou komisiou</w:t>
      </w:r>
    </w:p>
    <w:p w14:paraId="57EF242F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color w:val="000000" w:themeColor="text1"/>
          <w:sz w:val="24"/>
          <w:szCs w:val="24"/>
          <w:lang w:eastAsia="sk-SK"/>
        </w:rPr>
        <w:t>COM(2026) 311, 27. 05. 2026</w:t>
      </w:r>
    </w:p>
    <w:p w14:paraId="0C4C0C19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78D992" w14:textId="77777777" w:rsidR="00143E1F" w:rsidRPr="006C45AB" w:rsidRDefault="00143E1F" w:rsidP="00143E1F">
      <w:pPr>
        <w:pStyle w:val="Vchodzie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sk-SK"/>
        </w:rPr>
        <w:t>Gestor</w:t>
      </w:r>
    </w:p>
    <w:p w14:paraId="233FA29D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6C45AB">
        <w:rPr>
          <w:rFonts w:ascii="Times New Roman" w:hAnsi="Times New Roman" w:cs="Times New Roman"/>
          <w:color w:val="000000" w:themeColor="text1"/>
          <w:sz w:val="24"/>
          <w:szCs w:val="24"/>
          <w:lang w:eastAsia="sk-SK"/>
        </w:rPr>
        <w:t>Ministerstvo dopravy Slovenskej republiky</w:t>
      </w:r>
    </w:p>
    <w:p w14:paraId="5B4E1C14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980A33" w14:textId="77777777" w:rsidR="00143E1F" w:rsidRPr="006C45AB" w:rsidRDefault="00143E1F" w:rsidP="00143E1F">
      <w:pPr>
        <w:pStyle w:val="Vchodzie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Spolugestor/i</w:t>
      </w:r>
    </w:p>
    <w:p w14:paraId="09CC25B1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color w:val="000000" w:themeColor="text1"/>
          <w:sz w:val="24"/>
          <w:szCs w:val="24"/>
        </w:rPr>
        <w:t>Ministerstvo školstva, výskumu, vývoja a mládeže Slovenskej republiky</w:t>
      </w:r>
    </w:p>
    <w:p w14:paraId="77CE9EA3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color w:val="000000" w:themeColor="text1"/>
          <w:sz w:val="24"/>
          <w:szCs w:val="24"/>
        </w:rPr>
        <w:t>Úrad pre reguláciu elektronických komunikácií a poštových služieb</w:t>
      </w:r>
    </w:p>
    <w:p w14:paraId="4CA8BAEA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0178BD6" w14:textId="77777777" w:rsidR="00143E1F" w:rsidRPr="006C45AB" w:rsidRDefault="00143E1F" w:rsidP="00143E1F">
      <w:pPr>
        <w:pStyle w:val="Vchodzie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sk-SK"/>
        </w:rPr>
        <w:t xml:space="preserve">Stupeň dôležitosti návrhu </w:t>
      </w:r>
    </w:p>
    <w:p w14:paraId="225C48A4" w14:textId="77777777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</w:p>
    <w:p w14:paraId="495B8263" w14:textId="77777777" w:rsidR="00143E1F" w:rsidRPr="006C45AB" w:rsidRDefault="00143E1F" w:rsidP="00143E1F">
      <w:pPr>
        <w:pStyle w:val="Vchodzie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A5EA07" w14:textId="77777777" w:rsidR="00143E1F" w:rsidRPr="006C45AB" w:rsidRDefault="00143E1F" w:rsidP="00143E1F">
      <w:pPr>
        <w:pStyle w:val="Vchodzie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sk-SK"/>
        </w:rPr>
        <w:t xml:space="preserve">Stručné zhrnutie obsahu a cieľa návrhu </w:t>
      </w:r>
    </w:p>
    <w:p w14:paraId="360FF51F" w14:textId="689D3852" w:rsidR="00206CF5" w:rsidRPr="006C45AB" w:rsidRDefault="003E01FC" w:rsidP="001F5EAE">
      <w:pPr>
        <w:autoSpaceDE w:val="0"/>
        <w:autoSpaceDN w:val="0"/>
        <w:adjustRightInd w:val="0"/>
        <w:spacing w:after="0" w:line="240" w:lineRule="auto"/>
        <w:ind w:left="284"/>
        <w:rPr>
          <w:rFonts w:cs="Times New Roman"/>
          <w:bCs/>
          <w:color w:val="000000" w:themeColor="text1"/>
          <w:szCs w:val="24"/>
        </w:rPr>
      </w:pPr>
      <w:r w:rsidRPr="006C45AB">
        <w:rPr>
          <w:rFonts w:eastAsiaTheme="minorHAnsi" w:cs="Times New Roman"/>
          <w:color w:val="auto"/>
          <w:szCs w:val="24"/>
        </w:rPr>
        <w:t xml:space="preserve">Navrhované nariadenie o výberovom konaní a udeľovaní povolenia na využívanie frekvenčného pásma </w:t>
      </w:r>
      <w:r w:rsidRPr="006C45AB">
        <w:rPr>
          <w:rFonts w:eastAsiaTheme="minorHAnsi" w:cs="Times New Roman"/>
          <w:color w:val="auto"/>
          <w:szCs w:val="24"/>
          <w:lang w:eastAsia="en-US"/>
        </w:rPr>
        <w:t xml:space="preserve">2 GHz pre </w:t>
      </w:r>
      <w:r w:rsidR="00654A00">
        <w:rPr>
          <w:rFonts w:cs="Times New Roman"/>
          <w:bCs/>
          <w:color w:val="000000" w:themeColor="text1"/>
          <w:szCs w:val="24"/>
        </w:rPr>
        <w:t>mobilné satelitné služby (MSS)</w:t>
      </w:r>
      <w:r w:rsidRPr="006C45AB">
        <w:rPr>
          <w:rFonts w:eastAsiaTheme="minorHAnsi" w:cs="Times New Roman"/>
          <w:color w:val="auto"/>
          <w:szCs w:val="24"/>
          <w:lang w:eastAsia="en-US"/>
        </w:rPr>
        <w:t xml:space="preserve"> nahrádza rozhodnutie z roku 2008. </w:t>
      </w:r>
      <w:r w:rsidR="00281348">
        <w:rPr>
          <w:rFonts w:cs="Times New Roman"/>
          <w:bCs/>
          <w:color w:val="000000" w:themeColor="text1"/>
          <w:szCs w:val="24"/>
        </w:rPr>
        <w:t>Rozhodnutím č. </w:t>
      </w:r>
      <w:r w:rsidR="00143E1F" w:rsidRPr="006C45AB">
        <w:rPr>
          <w:rFonts w:cs="Times New Roman"/>
          <w:bCs/>
          <w:color w:val="000000" w:themeColor="text1"/>
          <w:szCs w:val="24"/>
        </w:rPr>
        <w:t xml:space="preserve">626/2008/ES sa zaviedol režim udeľovania povolení </w:t>
      </w:r>
      <w:r w:rsidR="00143E1F" w:rsidRPr="006C45AB">
        <w:rPr>
          <w:rFonts w:cs="Times New Roman"/>
          <w:bCs/>
          <w:i/>
          <w:iCs/>
          <w:color w:val="000000" w:themeColor="text1"/>
          <w:szCs w:val="24"/>
        </w:rPr>
        <w:t>sui generis</w:t>
      </w:r>
      <w:r w:rsidR="00281348">
        <w:rPr>
          <w:rFonts w:cs="Times New Roman"/>
          <w:bCs/>
          <w:color w:val="000000" w:themeColor="text1"/>
          <w:szCs w:val="24"/>
        </w:rPr>
        <w:t xml:space="preserve"> pre pásmo 2 GHz pre </w:t>
      </w:r>
      <w:r w:rsidR="001F5EAE">
        <w:rPr>
          <w:rFonts w:cs="Times New Roman"/>
          <w:bCs/>
          <w:color w:val="000000" w:themeColor="text1"/>
          <w:szCs w:val="24"/>
        </w:rPr>
        <w:t>MSS</w:t>
      </w:r>
      <w:r w:rsidR="00143E1F" w:rsidRPr="006C45AB">
        <w:rPr>
          <w:rFonts w:cs="Times New Roman"/>
          <w:bCs/>
          <w:color w:val="000000" w:themeColor="text1"/>
          <w:szCs w:val="24"/>
        </w:rPr>
        <w:t xml:space="preserve">, rádiové frekvenčné spektrum od 1 980 do 2 010 MHz a od 2 170 do 2 200 MHz, na základe ktorého Komisia spolu s členskými štátmi vybrala </w:t>
      </w:r>
      <w:r w:rsidR="00D74FAE" w:rsidRPr="006C45AB">
        <w:rPr>
          <w:rFonts w:cs="Times New Roman"/>
          <w:bCs/>
          <w:color w:val="000000" w:themeColor="text1"/>
          <w:szCs w:val="24"/>
        </w:rPr>
        <w:t xml:space="preserve">dvoch </w:t>
      </w:r>
      <w:r w:rsidR="00143E1F" w:rsidRPr="006C45AB">
        <w:rPr>
          <w:rFonts w:cs="Times New Roman"/>
          <w:bCs/>
          <w:color w:val="000000" w:themeColor="text1"/>
          <w:szCs w:val="24"/>
        </w:rPr>
        <w:t xml:space="preserve">držiteľov </w:t>
      </w:r>
      <w:r w:rsidR="006469E5" w:rsidRPr="006C45AB">
        <w:rPr>
          <w:rFonts w:cs="Times New Roman"/>
          <w:bCs/>
          <w:color w:val="000000" w:themeColor="text1"/>
          <w:szCs w:val="24"/>
        </w:rPr>
        <w:t>povolení</w:t>
      </w:r>
      <w:r w:rsidR="00143E1F" w:rsidRPr="006C45AB">
        <w:rPr>
          <w:rFonts w:cs="Times New Roman"/>
          <w:bCs/>
          <w:color w:val="000000" w:themeColor="text1"/>
          <w:szCs w:val="24"/>
        </w:rPr>
        <w:t xml:space="preserve"> na poskytovanie MSS v celej Európe</w:t>
      </w:r>
      <w:r w:rsidR="00D74FAE" w:rsidRPr="006C45AB">
        <w:rPr>
          <w:rFonts w:cs="Times New Roman"/>
          <w:bCs/>
          <w:color w:val="000000" w:themeColor="text1"/>
          <w:szCs w:val="24"/>
        </w:rPr>
        <w:t xml:space="preserve"> </w:t>
      </w:r>
      <w:r w:rsidR="00281348" w:rsidRPr="006C45AB">
        <w:rPr>
          <w:rFonts w:cs="Times New Roman"/>
          <w:bCs/>
          <w:color w:val="000000" w:themeColor="text1"/>
          <w:szCs w:val="24"/>
        </w:rPr>
        <w:t>–</w:t>
      </w:r>
      <w:r w:rsidR="00D74FAE" w:rsidRPr="006C45AB">
        <w:rPr>
          <w:rFonts w:cs="Times New Roman"/>
          <w:bCs/>
          <w:color w:val="000000" w:themeColor="text1"/>
          <w:szCs w:val="24"/>
        </w:rPr>
        <w:t xml:space="preserve"> Inmarsat Ventures Limited a Solaris Mobile Limited – v súčasnosti známe ako Viasat a EchoStar</w:t>
      </w:r>
      <w:r w:rsidR="0062555F" w:rsidRPr="006C45AB">
        <w:rPr>
          <w:rFonts w:cs="Times New Roman"/>
          <w:bCs/>
          <w:color w:val="000000" w:themeColor="text1"/>
          <w:szCs w:val="24"/>
        </w:rPr>
        <w:t xml:space="preserve"> Mobile Limited</w:t>
      </w:r>
      <w:r w:rsidR="00143E1F" w:rsidRPr="006C45AB">
        <w:rPr>
          <w:rFonts w:cs="Times New Roman"/>
          <w:bCs/>
          <w:color w:val="000000" w:themeColor="text1"/>
          <w:szCs w:val="24"/>
        </w:rPr>
        <w:t xml:space="preserve">. </w:t>
      </w:r>
    </w:p>
    <w:p w14:paraId="1D3B734A" w14:textId="041BB5C6" w:rsidR="00D74FAE" w:rsidRPr="006C45AB" w:rsidRDefault="00D74FAE" w:rsidP="003E01FC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</w:pP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Spoločnosť Viasat </w:t>
      </w:r>
      <w:r w:rsidR="00E758B5"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poskytuje </w:t>
      </w: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vo väčšine členských š</w:t>
      </w:r>
      <w:r w:rsidR="00281348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tátov službu MSS na báze vzduch</w:t>
      </w: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-zem, známu ako European Aviation Network (EAN). Spoločnosť EchoStar poskytuje rôzne služby (technológie), konkrétne MSS Broadband, Satellite IoT a Air-to-Air/</w:t>
      </w:r>
      <w:r w:rsidR="0062555F"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Ground.</w:t>
      </w:r>
    </w:p>
    <w:p w14:paraId="0CC2AD3C" w14:textId="22D7423D" w:rsidR="00143E1F" w:rsidRPr="006C45AB" w:rsidRDefault="00143E1F" w:rsidP="003E01FC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</w:pP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Členské štáty vydali </w:t>
      </w:r>
      <w:r w:rsidR="0062555F"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týmto</w:t>
      </w: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 držiteľom </w:t>
      </w:r>
      <w:r w:rsidR="006469E5"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povolen</w:t>
      </w:r>
      <w:r w:rsidR="00E758B5"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ia</w:t>
      </w: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 na používanie frekvencií na svojom území </w:t>
      </w:r>
      <w:r w:rsidR="00E758B5" w:rsidRPr="006C45AB">
        <w:rPr>
          <w:rFonts w:ascii="Times New Roman" w:hAnsi="Times New Roman" w:cs="Times New Roman"/>
          <w:color w:val="000000" w:themeColor="text1"/>
          <w:sz w:val="24"/>
          <w:szCs w:val="24"/>
        </w:rPr>
        <w:t>na 18 rokov</w:t>
      </w:r>
      <w:r w:rsidR="00E758B5"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 </w:t>
      </w: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za spoločných podmienok stanovených v uvedenom rozhodnutí. Platnosť týchto </w:t>
      </w:r>
      <w:r w:rsidR="006469E5"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povolení</w:t>
      </w: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 sa skončí v máji 2027 a EÚ by preto mala prijať rozhodnutie o budúcom využívaní tohto pásma.</w:t>
      </w:r>
    </w:p>
    <w:p w14:paraId="31F0B24E" w14:textId="77777777" w:rsidR="00E758B5" w:rsidRPr="006C45AB" w:rsidRDefault="0059342B" w:rsidP="0035491E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</w:pP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Cieľom</w:t>
      </w:r>
      <w:r w:rsidR="00143E1F"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 návrhu nariadenia je a) vyvinúť spoločné kritériá pre výber systémov MSS v súlade so súčasnými cieľmi politiky EÚ, najmä konkurencieschopnosťou a strategickou autonómiou EÚ a b) odstrániť regulačnú fragmentáciu v pásme 2 GHz s cieľom podporiť rýchle zavádzanie inovatívnych celoeurópskych satelitných komunikačných služieb. </w:t>
      </w:r>
    </w:p>
    <w:p w14:paraId="0A336164" w14:textId="74170C49" w:rsidR="003E01FC" w:rsidRPr="006C45AB" w:rsidRDefault="003E01FC" w:rsidP="0035491E">
      <w:pPr>
        <w:autoSpaceDE w:val="0"/>
        <w:autoSpaceDN w:val="0"/>
        <w:adjustRightInd w:val="0"/>
        <w:spacing w:after="0" w:line="240" w:lineRule="auto"/>
        <w:ind w:left="284" w:hanging="1"/>
        <w:rPr>
          <w:rFonts w:cs="Times New Roman"/>
          <w:bCs/>
          <w:color w:val="000000" w:themeColor="text1"/>
          <w:szCs w:val="24"/>
        </w:rPr>
      </w:pPr>
      <w:r w:rsidRPr="006C45AB">
        <w:rPr>
          <w:rFonts w:eastAsiaTheme="minorHAnsi" w:cs="Times New Roman"/>
          <w:color w:val="auto"/>
          <w:szCs w:val="24"/>
          <w:lang w:eastAsia="en-US"/>
        </w:rPr>
        <w:t>Udeľovanie povolenia na úrovni EÚ na využívanie frekvenčného pásma 2 GHz pre mobilné satelitné služby vo všetkých členských štátoch EÚ zaručí regulačnú jednotnosť v celej EÚ a umožní prevádzkovateľom vyvíjať a poskytovať služby naprieč hranicami</w:t>
      </w:r>
      <w:r w:rsidR="00281348">
        <w:rPr>
          <w:rFonts w:eastAsiaTheme="minorHAnsi" w:cs="Times New Roman"/>
          <w:color w:val="auto"/>
          <w:szCs w:val="24"/>
          <w:lang w:eastAsia="en-US"/>
        </w:rPr>
        <w:t>.</w:t>
      </w:r>
    </w:p>
    <w:p w14:paraId="4D27A7CE" w14:textId="1E2117DF" w:rsidR="00E758B5" w:rsidRPr="006C45AB" w:rsidRDefault="001F2667" w:rsidP="003E01FC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</w:pP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Návrh nariadenia stanovuje nasledovné rozdelenie pásma 2 GHz:</w:t>
      </w:r>
    </w:p>
    <w:p w14:paraId="7A514D9D" w14:textId="64C254CA" w:rsidR="003E01FC" w:rsidRPr="006C45AB" w:rsidRDefault="00E758B5" w:rsidP="0035491E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color w:val="auto"/>
          <w:szCs w:val="24"/>
        </w:rPr>
      </w:pPr>
      <w:r w:rsidRPr="006C45AB">
        <w:rPr>
          <w:color w:val="auto"/>
          <w:szCs w:val="24"/>
        </w:rPr>
        <w:t>jedna tretina pásma 2 GHz pre MSS by sa vymedzila na štátne účely, teda napríklad kritické</w:t>
      </w:r>
      <w:r w:rsidR="001F2667" w:rsidRPr="006C45AB">
        <w:rPr>
          <w:color w:val="auto"/>
          <w:szCs w:val="24"/>
        </w:rPr>
        <w:t xml:space="preserve"> </w:t>
      </w:r>
      <w:r w:rsidRPr="006C45AB">
        <w:rPr>
          <w:color w:val="auto"/>
          <w:szCs w:val="24"/>
        </w:rPr>
        <w:t>komunikačné služby, ako aj na komunikáciu v bezpečnostnej a vojenskej oblasti, ktoré má</w:t>
      </w:r>
      <w:r w:rsidR="001F2667" w:rsidRPr="006C45AB">
        <w:rPr>
          <w:color w:val="auto"/>
          <w:szCs w:val="24"/>
        </w:rPr>
        <w:t xml:space="preserve"> </w:t>
      </w:r>
      <w:r w:rsidRPr="006C45AB">
        <w:rPr>
          <w:color w:val="auto"/>
          <w:szCs w:val="24"/>
        </w:rPr>
        <w:t xml:space="preserve">zabezpečiť prevádzkovateľ z EÚ. Prevádzkovateľ </w:t>
      </w:r>
      <w:r w:rsidR="001F2667" w:rsidRPr="006C45AB">
        <w:rPr>
          <w:color w:val="auto"/>
          <w:szCs w:val="24"/>
        </w:rPr>
        <w:t xml:space="preserve">má </w:t>
      </w:r>
      <w:r w:rsidRPr="006C45AB">
        <w:rPr>
          <w:color w:val="auto"/>
          <w:szCs w:val="24"/>
        </w:rPr>
        <w:t>zaruč</w:t>
      </w:r>
      <w:r w:rsidR="001F2667" w:rsidRPr="006C45AB">
        <w:rPr>
          <w:color w:val="auto"/>
          <w:szCs w:val="24"/>
        </w:rPr>
        <w:t>iť</w:t>
      </w:r>
      <w:r w:rsidR="00281348">
        <w:rPr>
          <w:color w:val="auto"/>
          <w:szCs w:val="24"/>
        </w:rPr>
        <w:t xml:space="preserve"> integráciu so </w:t>
      </w:r>
      <w:r w:rsidRPr="006C45AB">
        <w:rPr>
          <w:color w:val="auto"/>
          <w:szCs w:val="24"/>
        </w:rPr>
        <w:t>súčasnými a s</w:t>
      </w:r>
      <w:r w:rsidR="001F2667" w:rsidRPr="006C45AB">
        <w:rPr>
          <w:color w:val="auto"/>
          <w:szCs w:val="24"/>
        </w:rPr>
        <w:t> </w:t>
      </w:r>
      <w:r w:rsidRPr="006C45AB">
        <w:rPr>
          <w:color w:val="auto"/>
          <w:szCs w:val="24"/>
        </w:rPr>
        <w:t>budúcimi</w:t>
      </w:r>
      <w:r w:rsidR="001F2667" w:rsidRPr="006C45AB">
        <w:rPr>
          <w:color w:val="auto"/>
          <w:szCs w:val="24"/>
        </w:rPr>
        <w:t xml:space="preserve"> </w:t>
      </w:r>
      <w:r w:rsidRPr="006C45AB">
        <w:rPr>
          <w:color w:val="auto"/>
          <w:szCs w:val="24"/>
        </w:rPr>
        <w:t xml:space="preserve">spôsobilosťami infraštruktúry Programu Únie pre bezpečnú </w:t>
      </w:r>
      <w:r w:rsidRPr="006C45AB">
        <w:rPr>
          <w:color w:val="auto"/>
          <w:szCs w:val="24"/>
        </w:rPr>
        <w:lastRenderedPageBreak/>
        <w:t>konektivitu IRIS²</w:t>
      </w:r>
      <w:r w:rsidR="003E01FC" w:rsidRPr="006C45AB">
        <w:rPr>
          <w:color w:val="auto"/>
          <w:szCs w:val="24"/>
        </w:rPr>
        <w:t xml:space="preserve"> </w:t>
      </w:r>
      <w:r w:rsidR="003E01FC" w:rsidRPr="006C45AB">
        <w:rPr>
          <w:color w:val="000000" w:themeColor="text1"/>
          <w:szCs w:val="24"/>
        </w:rPr>
        <w:t>(Infrastructure for Resilience, Interconnecti</w:t>
      </w:r>
      <w:r w:rsidR="004047C2">
        <w:rPr>
          <w:color w:val="000000" w:themeColor="text1"/>
          <w:szCs w:val="24"/>
        </w:rPr>
        <w:t>vity and Security by Satellite);</w:t>
      </w:r>
    </w:p>
    <w:p w14:paraId="21944AEB" w14:textId="70E3A2BD" w:rsidR="00E758B5" w:rsidRPr="006C45AB" w:rsidRDefault="001F2667" w:rsidP="00791DA4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283"/>
        <w:rPr>
          <w:color w:val="auto"/>
          <w:szCs w:val="24"/>
        </w:rPr>
      </w:pPr>
      <w:r w:rsidRPr="006C45AB">
        <w:rPr>
          <w:color w:val="auto"/>
          <w:szCs w:val="24"/>
        </w:rPr>
        <w:t>dve</w:t>
      </w:r>
      <w:r w:rsidR="00E758B5" w:rsidRPr="006C45AB">
        <w:rPr>
          <w:color w:val="auto"/>
          <w:szCs w:val="24"/>
        </w:rPr>
        <w:t xml:space="preserve"> tretiny pásma 2 GHz pre MSS by boli určené na komerčné využívanie, ako sú služby D2D</w:t>
      </w:r>
      <w:r w:rsidRPr="006C45AB">
        <w:rPr>
          <w:color w:val="auto"/>
          <w:szCs w:val="24"/>
        </w:rPr>
        <w:t xml:space="preserve"> </w:t>
      </w:r>
      <w:r w:rsidR="00376491">
        <w:rPr>
          <w:color w:val="auto"/>
          <w:szCs w:val="24"/>
        </w:rPr>
        <w:t>(Direct-to-D</w:t>
      </w:r>
      <w:r w:rsidR="003E01FC" w:rsidRPr="006C45AB">
        <w:rPr>
          <w:color w:val="auto"/>
          <w:szCs w:val="24"/>
        </w:rPr>
        <w:t xml:space="preserve">evice) </w:t>
      </w:r>
      <w:r w:rsidR="00E758B5" w:rsidRPr="006C45AB">
        <w:rPr>
          <w:color w:val="auto"/>
          <w:szCs w:val="24"/>
        </w:rPr>
        <w:t xml:space="preserve">pre mobilné zariadenia. Snahou </w:t>
      </w:r>
      <w:r w:rsidR="00281348">
        <w:rPr>
          <w:color w:val="auto"/>
          <w:szCs w:val="24"/>
        </w:rPr>
        <w:t>je priniesť mobilné pokrytie do </w:t>
      </w:r>
      <w:r w:rsidR="00E758B5" w:rsidRPr="006C45AB">
        <w:rPr>
          <w:color w:val="auto"/>
          <w:szCs w:val="24"/>
        </w:rPr>
        <w:t>oblastí, kde nie sú dostupné</w:t>
      </w:r>
      <w:r w:rsidRPr="006C45AB">
        <w:rPr>
          <w:color w:val="auto"/>
          <w:szCs w:val="24"/>
        </w:rPr>
        <w:t xml:space="preserve"> </w:t>
      </w:r>
      <w:r w:rsidR="00AF7B1F">
        <w:rPr>
          <w:color w:val="auto"/>
          <w:szCs w:val="24"/>
        </w:rPr>
        <w:t>pozem</w:t>
      </w:r>
      <w:r w:rsidR="00791DA4">
        <w:rPr>
          <w:color w:val="auto"/>
          <w:szCs w:val="24"/>
        </w:rPr>
        <w:t>ské</w:t>
      </w:r>
      <w:r w:rsidR="00E758B5" w:rsidRPr="006C45AB">
        <w:rPr>
          <w:color w:val="auto"/>
          <w:szCs w:val="24"/>
        </w:rPr>
        <w:t xml:space="preserve"> siete. Tút</w:t>
      </w:r>
      <w:r w:rsidR="00281348">
        <w:rPr>
          <w:color w:val="auto"/>
          <w:szCs w:val="24"/>
        </w:rPr>
        <w:t>o časť pásma možno využiť aj na </w:t>
      </w:r>
      <w:r w:rsidR="00E758B5" w:rsidRPr="006C45AB">
        <w:rPr>
          <w:color w:val="auto"/>
          <w:szCs w:val="24"/>
        </w:rPr>
        <w:t>internet vecí, napr</w:t>
      </w:r>
      <w:r w:rsidR="00D517C3" w:rsidRPr="006C45AB">
        <w:rPr>
          <w:color w:val="auto"/>
          <w:szCs w:val="24"/>
        </w:rPr>
        <w:t>.</w:t>
      </w:r>
      <w:r w:rsidR="00E758B5" w:rsidRPr="006C45AB">
        <w:rPr>
          <w:color w:val="auto"/>
          <w:szCs w:val="24"/>
        </w:rPr>
        <w:t xml:space="preserve"> </w:t>
      </w:r>
      <w:r w:rsidRPr="006C45AB">
        <w:rPr>
          <w:color w:val="auto"/>
          <w:szCs w:val="24"/>
        </w:rPr>
        <w:t>na</w:t>
      </w:r>
      <w:r w:rsidR="00E758B5" w:rsidRPr="006C45AB">
        <w:rPr>
          <w:color w:val="auto"/>
          <w:szCs w:val="24"/>
        </w:rPr>
        <w:t xml:space="preserve"> monitorovanie energie</w:t>
      </w:r>
      <w:r w:rsidR="00D517C3" w:rsidRPr="006C45AB">
        <w:rPr>
          <w:color w:val="auto"/>
          <w:szCs w:val="24"/>
        </w:rPr>
        <w:t>,</w:t>
      </w:r>
      <w:r w:rsidR="00E758B5" w:rsidRPr="006C45AB">
        <w:rPr>
          <w:color w:val="auto"/>
          <w:szCs w:val="24"/>
        </w:rPr>
        <w:t xml:space="preserve"> zariadenia reakcie na</w:t>
      </w:r>
      <w:r w:rsidRPr="006C45AB">
        <w:rPr>
          <w:color w:val="auto"/>
          <w:szCs w:val="24"/>
        </w:rPr>
        <w:t xml:space="preserve"> </w:t>
      </w:r>
      <w:r w:rsidR="00E758B5" w:rsidRPr="006C45AB">
        <w:rPr>
          <w:color w:val="auto"/>
          <w:szCs w:val="24"/>
        </w:rPr>
        <w:t>núdzové situácie</w:t>
      </w:r>
      <w:r w:rsidR="00D517C3" w:rsidRPr="006C45AB">
        <w:rPr>
          <w:color w:val="auto"/>
          <w:szCs w:val="24"/>
        </w:rPr>
        <w:t xml:space="preserve"> a pod</w:t>
      </w:r>
      <w:r w:rsidR="00E758B5" w:rsidRPr="006C45AB">
        <w:rPr>
          <w:color w:val="auto"/>
          <w:szCs w:val="24"/>
        </w:rPr>
        <w:t>. Spektrum v tomto pásme by sa rovnomerne rozdelilo medzi:</w:t>
      </w:r>
    </w:p>
    <w:p w14:paraId="2838DD4C" w14:textId="0FA81CD7" w:rsidR="00E758B5" w:rsidRPr="006C45AB" w:rsidRDefault="00E758B5" w:rsidP="00281348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276" w:hanging="284"/>
        <w:rPr>
          <w:color w:val="auto"/>
          <w:szCs w:val="24"/>
        </w:rPr>
      </w:pPr>
      <w:r w:rsidRPr="006C45AB">
        <w:rPr>
          <w:color w:val="auto"/>
          <w:szCs w:val="24"/>
        </w:rPr>
        <w:t>prevádzkovateľov z EÚ vstupujúcich na trh, ako prejav úsilia podnietiť diverzifikáciu</w:t>
      </w:r>
      <w:r w:rsidR="001F2667" w:rsidRPr="006C45AB">
        <w:rPr>
          <w:color w:val="auto"/>
          <w:szCs w:val="24"/>
        </w:rPr>
        <w:t xml:space="preserve"> </w:t>
      </w:r>
      <w:r w:rsidRPr="006C45AB">
        <w:rPr>
          <w:color w:val="auto"/>
          <w:szCs w:val="24"/>
        </w:rPr>
        <w:t>dodávateľov a stimulovať vstup dodávateľov z EÚ na trh, a</w:t>
      </w:r>
    </w:p>
    <w:p w14:paraId="6D385953" w14:textId="288E6E53" w:rsidR="00E758B5" w:rsidRPr="006C45AB" w:rsidRDefault="00E758B5" w:rsidP="00281348">
      <w:pPr>
        <w:pStyle w:val="Vchodzie"/>
        <w:numPr>
          <w:ilvl w:val="0"/>
          <w:numId w:val="6"/>
        </w:numPr>
        <w:spacing w:after="0" w:line="240" w:lineRule="auto"/>
        <w:ind w:left="1276" w:hanging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</w:pPr>
      <w:r w:rsidRPr="006C45AB">
        <w:rPr>
          <w:rFonts w:ascii="Times New Roman" w:eastAsiaTheme="minorHAnsi" w:hAnsi="Times New Roman" w:cs="Times New Roman"/>
          <w:sz w:val="24"/>
          <w:szCs w:val="24"/>
          <w:lang w:eastAsia="en-US"/>
        </w:rPr>
        <w:t>prevádzkovateľov z EÚ a z krajín mimo nej.</w:t>
      </w:r>
    </w:p>
    <w:p w14:paraId="237C97FD" w14:textId="2229488D" w:rsidR="00143E1F" w:rsidRPr="006C45AB" w:rsidRDefault="00143E1F" w:rsidP="00143E1F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</w:pP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Na žiadosť súčasných držiteľov </w:t>
      </w:r>
      <w:r w:rsidR="006469E5"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povolení</w:t>
      </w: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 sa Komisia môže rozhodnúť predĺžiť ich práva na používanie spektra na obdobie potrebné na dokončenie výberového procesu, v súlade s týmto nariadením, čím sa zabezpečí aj určitý stupeň kontinuity služieb.</w:t>
      </w:r>
    </w:p>
    <w:p w14:paraId="7DDF796E" w14:textId="77777777" w:rsidR="00143E1F" w:rsidRPr="006C45AB" w:rsidRDefault="00143E1F" w:rsidP="00143E1F">
      <w:pPr>
        <w:pStyle w:val="Vchodzie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E1F412" w14:textId="4F483AE4" w:rsidR="00143E1F" w:rsidRPr="00281348" w:rsidRDefault="00143E1F" w:rsidP="00281348">
      <w:pPr>
        <w:pStyle w:val="Vchodzie"/>
        <w:numPr>
          <w:ilvl w:val="0"/>
          <w:numId w:val="2"/>
        </w:numPr>
        <w:spacing w:after="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Predbežná pozícia Slovenskej republiky</w:t>
      </w:r>
    </w:p>
    <w:p w14:paraId="3B95E037" w14:textId="3903AF56" w:rsidR="006A5B48" w:rsidRPr="006C45AB" w:rsidRDefault="00670F52" w:rsidP="00B82280">
      <w:pPr>
        <w:autoSpaceDE w:val="0"/>
        <w:autoSpaceDN w:val="0"/>
        <w:adjustRightInd w:val="0"/>
        <w:spacing w:after="0" w:line="240" w:lineRule="auto"/>
        <w:ind w:left="284"/>
        <w:rPr>
          <w:rFonts w:cs="Times New Roman"/>
          <w:color w:val="000000" w:themeColor="text1"/>
          <w:szCs w:val="24"/>
          <w:lang w:eastAsia="zh-CN"/>
        </w:rPr>
      </w:pPr>
      <w:r w:rsidRPr="006C45AB">
        <w:rPr>
          <w:rFonts w:cs="Times New Roman"/>
          <w:color w:val="000000" w:themeColor="text1"/>
          <w:szCs w:val="24"/>
        </w:rPr>
        <w:t xml:space="preserve">Slovenská republika podporuje zavedenie jednotného </w:t>
      </w:r>
      <w:r w:rsidR="00281348">
        <w:rPr>
          <w:rFonts w:cs="Times New Roman"/>
          <w:color w:val="000000" w:themeColor="text1"/>
          <w:szCs w:val="24"/>
        </w:rPr>
        <w:t>rámca na vydávanie povolení pre </w:t>
      </w:r>
      <w:r w:rsidRPr="006C45AB">
        <w:rPr>
          <w:rFonts w:cs="Times New Roman"/>
          <w:color w:val="000000" w:themeColor="text1"/>
          <w:szCs w:val="24"/>
        </w:rPr>
        <w:t>MSS</w:t>
      </w:r>
      <w:r w:rsidR="00B82280" w:rsidRPr="006C45AB">
        <w:rPr>
          <w:rFonts w:cs="Times New Roman"/>
          <w:color w:val="000000" w:themeColor="text1"/>
          <w:szCs w:val="24"/>
        </w:rPr>
        <w:t>.</w:t>
      </w:r>
      <w:r w:rsidRPr="006C45AB">
        <w:rPr>
          <w:rFonts w:cs="Times New Roman"/>
          <w:color w:val="000000" w:themeColor="text1"/>
          <w:szCs w:val="24"/>
        </w:rPr>
        <w:t xml:space="preserve"> </w:t>
      </w:r>
    </w:p>
    <w:p w14:paraId="4FAD33FA" w14:textId="4FEDAB25" w:rsidR="00B82280" w:rsidRPr="006C45AB" w:rsidRDefault="00281348" w:rsidP="00281348">
      <w:pPr>
        <w:autoSpaceDE w:val="0"/>
        <w:autoSpaceDN w:val="0"/>
        <w:adjustRightInd w:val="0"/>
        <w:spacing w:after="0" w:line="240" w:lineRule="auto"/>
        <w:ind w:left="284"/>
        <w:rPr>
          <w:rFonts w:eastAsiaTheme="minorHAnsi" w:cs="Times New Roman"/>
          <w:color w:val="auto"/>
          <w:szCs w:val="24"/>
          <w:lang w:eastAsia="en-US"/>
        </w:rPr>
      </w:pPr>
      <w:r>
        <w:rPr>
          <w:rFonts w:eastAsiaTheme="minorHAnsi" w:cs="Times New Roman"/>
          <w:color w:val="auto"/>
          <w:szCs w:val="24"/>
          <w:lang w:eastAsia="en-US"/>
        </w:rPr>
        <w:t>Slovenská republika považuje d</w:t>
      </w:r>
      <w:r w:rsidR="00B82280" w:rsidRPr="006C45AB">
        <w:rPr>
          <w:rFonts w:eastAsiaTheme="minorHAnsi" w:cs="Times New Roman"/>
          <w:color w:val="auto"/>
          <w:szCs w:val="24"/>
          <w:lang w:eastAsia="en-US"/>
        </w:rPr>
        <w:t>ostupnosť</w:t>
      </w:r>
      <w:r w:rsidR="00FC7935" w:rsidRPr="006C45AB">
        <w:rPr>
          <w:rFonts w:eastAsiaTheme="minorHAnsi" w:cs="Times New Roman"/>
          <w:color w:val="auto"/>
          <w:szCs w:val="24"/>
          <w:lang w:eastAsia="en-US"/>
        </w:rPr>
        <w:t xml:space="preserve"> bezpečných, odolných, výkonných a inovatívnych satelitných služieb </w:t>
      </w:r>
      <w:r w:rsidR="00B82280" w:rsidRPr="006C45AB">
        <w:rPr>
          <w:rFonts w:eastAsiaTheme="minorHAnsi" w:cs="Times New Roman"/>
          <w:color w:val="auto"/>
          <w:szCs w:val="24"/>
          <w:lang w:eastAsia="en-US"/>
        </w:rPr>
        <w:t>za kľúčový aspekt najmä z hľadiska bezpečnosti a obrany.</w:t>
      </w:r>
    </w:p>
    <w:p w14:paraId="614A8966" w14:textId="78F9FA01" w:rsidR="00AC0EA3" w:rsidRPr="006C45AB" w:rsidRDefault="00AC0EA3" w:rsidP="00B82280">
      <w:pPr>
        <w:autoSpaceDE w:val="0"/>
        <w:autoSpaceDN w:val="0"/>
        <w:adjustRightInd w:val="0"/>
        <w:spacing w:after="0" w:line="240" w:lineRule="auto"/>
        <w:ind w:left="284"/>
        <w:rPr>
          <w:rFonts w:eastAsiaTheme="minorHAnsi" w:cs="Times New Roman"/>
          <w:color w:val="auto"/>
          <w:szCs w:val="24"/>
          <w:lang w:eastAsia="en-US"/>
        </w:rPr>
      </w:pPr>
      <w:r w:rsidRPr="006C45AB">
        <w:rPr>
          <w:rFonts w:eastAsiaTheme="minorHAnsi" w:cs="Times New Roman"/>
          <w:color w:val="auto"/>
          <w:szCs w:val="24"/>
          <w:lang w:eastAsia="en-US"/>
        </w:rPr>
        <w:t xml:space="preserve">Pri rokovaniach bude za dôležitý aspekt </w:t>
      </w:r>
      <w:r w:rsidR="00AF7B1F" w:rsidRPr="006C45AB">
        <w:rPr>
          <w:rFonts w:eastAsiaTheme="minorHAnsi" w:cs="Times New Roman"/>
          <w:color w:val="auto"/>
          <w:szCs w:val="24"/>
          <w:lang w:eastAsia="en-US"/>
        </w:rPr>
        <w:t xml:space="preserve">považovať </w:t>
      </w:r>
      <w:r w:rsidRPr="006C45AB">
        <w:rPr>
          <w:rFonts w:eastAsiaTheme="minorHAnsi" w:cs="Times New Roman"/>
          <w:color w:val="auto"/>
          <w:szCs w:val="24"/>
          <w:lang w:eastAsia="en-US"/>
        </w:rPr>
        <w:t xml:space="preserve">medzinárodnú koordináciu </w:t>
      </w:r>
      <w:r w:rsidR="00AF7B1F">
        <w:rPr>
          <w:rFonts w:eastAsiaTheme="minorHAnsi" w:cs="Times New Roman"/>
          <w:color w:val="auto"/>
          <w:szCs w:val="24"/>
          <w:lang w:eastAsia="en-US"/>
        </w:rPr>
        <w:t>frekvencií s cieľom zabezpečiť</w:t>
      </w:r>
      <w:r w:rsidRPr="006C45AB">
        <w:rPr>
          <w:rFonts w:eastAsiaTheme="minorHAnsi" w:cs="Times New Roman"/>
          <w:color w:val="auto"/>
          <w:szCs w:val="24"/>
          <w:lang w:eastAsia="en-US"/>
        </w:rPr>
        <w:t xml:space="preserve"> nerušené poskytovanie</w:t>
      </w:r>
      <w:r w:rsidR="00AF7B1F">
        <w:rPr>
          <w:rFonts w:eastAsiaTheme="minorHAnsi" w:cs="Times New Roman"/>
          <w:color w:val="auto"/>
          <w:szCs w:val="24"/>
          <w:lang w:eastAsia="en-US"/>
        </w:rPr>
        <w:t xml:space="preserve"> existujúcich alebo budúcich služieb</w:t>
      </w:r>
      <w:r w:rsidRPr="006C45AB">
        <w:rPr>
          <w:rFonts w:eastAsiaTheme="minorHAnsi" w:cs="Times New Roman"/>
          <w:color w:val="auto"/>
          <w:szCs w:val="24"/>
          <w:lang w:eastAsia="en-US"/>
        </w:rPr>
        <w:t xml:space="preserve"> </w:t>
      </w:r>
      <w:r w:rsidR="00AF7B1F">
        <w:rPr>
          <w:rFonts w:eastAsiaTheme="minorHAnsi" w:cs="Times New Roman"/>
          <w:color w:val="auto"/>
          <w:szCs w:val="24"/>
          <w:lang w:eastAsia="en-US"/>
        </w:rPr>
        <w:t xml:space="preserve">najmä v pohraničných oblastiach. </w:t>
      </w:r>
      <w:r w:rsidRPr="006C45AB">
        <w:rPr>
          <w:rFonts w:eastAsiaTheme="minorHAnsi" w:cs="Times New Roman"/>
          <w:color w:val="auto"/>
          <w:szCs w:val="24"/>
          <w:lang w:eastAsia="en-US"/>
        </w:rPr>
        <w:t>Komisia</w:t>
      </w:r>
      <w:r w:rsidR="00AF7B1F">
        <w:rPr>
          <w:rFonts w:eastAsiaTheme="minorHAnsi" w:cs="Times New Roman"/>
          <w:color w:val="auto"/>
          <w:szCs w:val="24"/>
          <w:lang w:eastAsia="en-US"/>
        </w:rPr>
        <w:t xml:space="preserve"> by preto mala </w:t>
      </w:r>
      <w:r w:rsidRPr="006C45AB">
        <w:rPr>
          <w:noProof/>
        </w:rPr>
        <w:t>prijať potrebné opatrenia na</w:t>
      </w:r>
      <w:r w:rsidR="00AF7B1F">
        <w:rPr>
          <w:noProof/>
        </w:rPr>
        <w:t xml:space="preserve"> zabezpečenie </w:t>
      </w:r>
      <w:r w:rsidRPr="006C45AB">
        <w:rPr>
          <w:noProof/>
        </w:rPr>
        <w:t xml:space="preserve"> spoluprác</w:t>
      </w:r>
      <w:r w:rsidR="00AF7B1F">
        <w:rPr>
          <w:noProof/>
        </w:rPr>
        <w:t>e</w:t>
      </w:r>
      <w:r w:rsidR="002E000E">
        <w:rPr>
          <w:noProof/>
        </w:rPr>
        <w:t xml:space="preserve"> s krajinami susediacimi s EÚ</w:t>
      </w:r>
      <w:r w:rsidRPr="006C45AB">
        <w:rPr>
          <w:rFonts w:eastAsiaTheme="minorHAnsi" w:cs="Times New Roman"/>
          <w:color w:val="auto"/>
          <w:szCs w:val="24"/>
          <w:lang w:eastAsia="en-US"/>
        </w:rPr>
        <w:t>.</w:t>
      </w:r>
    </w:p>
    <w:p w14:paraId="6483CA4B" w14:textId="064EC788" w:rsidR="00FC7935" w:rsidRPr="006C45AB" w:rsidRDefault="00FC7935" w:rsidP="00143E1F">
      <w:pPr>
        <w:pStyle w:val="Vchodzie"/>
        <w:spacing w:after="0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437181" w14:textId="77777777" w:rsidR="00143E1F" w:rsidRPr="006C45AB" w:rsidRDefault="00143E1F" w:rsidP="00143E1F">
      <w:pPr>
        <w:pStyle w:val="Vchodzie"/>
        <w:numPr>
          <w:ilvl w:val="0"/>
          <w:numId w:val="2"/>
        </w:numPr>
        <w:spacing w:after="0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Súlad so zásadou subsidiarity</w:t>
      </w:r>
    </w:p>
    <w:p w14:paraId="09664F1D" w14:textId="22194A96" w:rsidR="000632E0" w:rsidRPr="006C45AB" w:rsidRDefault="000632E0" w:rsidP="004047C2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</w:pP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Vzhľadom na cezhraničný charakter satelitných sietí a služieb predstavuje satelitná konektivita oblasť, v ktorej sú opatrenia na úrovni Ú</w:t>
      </w:r>
      <w:r w:rsidR="00A42886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nie</w:t>
      </w: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 účinnejšie ako opatrenia prijaté výlučne na vnútroštátnej úrovni. Zavedením celoeurópskeho povolenia na po</w:t>
      </w:r>
      <w:r w:rsidR="00AF7B1F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užívanie pásma 2 GHz pre MSS by sa malo </w:t>
      </w: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zjednoduš</w:t>
      </w:r>
      <w:r w:rsidR="00AF7B1F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iť</w:t>
      </w: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 súčasné zložité rozdelenie vnútroštátnych regulačných povinností v kľúčovom pásme satelitného frekvenčného spektra a umožn</w:t>
      </w:r>
      <w:r w:rsidR="00AF7B1F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iť</w:t>
      </w:r>
      <w:r w:rsidRPr="006C45A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 xml:space="preserve"> včasná dostupnosť a zavedenie satelitných služieb.</w:t>
      </w:r>
    </w:p>
    <w:p w14:paraId="3BEEFE6A" w14:textId="0B4C43E7" w:rsidR="00143E1F" w:rsidRPr="00A42886" w:rsidRDefault="007F0A49" w:rsidP="00A42886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/>
        <w:ind w:left="344"/>
        <w:rPr>
          <w:noProof/>
          <w:color w:val="000000" w:themeColor="text1"/>
          <w:lang w:eastAsia="en-US"/>
        </w:rPr>
      </w:pPr>
      <w:r w:rsidRPr="00267DB5">
        <w:rPr>
          <w:bCs/>
          <w:i/>
          <w:iCs/>
          <w:color w:val="000000" w:themeColor="text1"/>
          <w:szCs w:val="24"/>
        </w:rPr>
        <w:t>Pozícia SR: návrh nariadenia je z pohľadu Slovenskej republiky v súlade so zásadou subsidiarity</w:t>
      </w:r>
      <w:r w:rsidRPr="00267DB5">
        <w:rPr>
          <w:bCs/>
          <w:color w:val="000000" w:themeColor="text1"/>
          <w:szCs w:val="24"/>
        </w:rPr>
        <w:t>.</w:t>
      </w:r>
    </w:p>
    <w:p w14:paraId="5AA2FDA0" w14:textId="77777777" w:rsidR="00143E1F" w:rsidRPr="006C45AB" w:rsidRDefault="00143E1F" w:rsidP="00143E1F">
      <w:pPr>
        <w:pStyle w:val="Normlnywebov"/>
        <w:numPr>
          <w:ilvl w:val="0"/>
          <w:numId w:val="1"/>
        </w:numPr>
        <w:spacing w:before="0" w:beforeAutospacing="0" w:after="0" w:afterAutospacing="0"/>
        <w:ind w:left="284" w:hanging="426"/>
        <w:rPr>
          <w:rFonts w:cs="Calibri"/>
          <w:b/>
          <w:bCs/>
          <w:color w:val="000000" w:themeColor="text1"/>
          <w:u w:val="single"/>
        </w:rPr>
      </w:pPr>
      <w:r w:rsidRPr="006C45AB">
        <w:rPr>
          <w:b/>
          <w:bCs/>
          <w:color w:val="000000" w:themeColor="text1"/>
          <w:u w:val="single"/>
        </w:rPr>
        <w:t>DOPLNENÉ PREDBEŽNÉ STANOVISKO</w:t>
      </w:r>
      <w:r w:rsidRPr="006C45AB">
        <w:rPr>
          <w:b/>
          <w:bCs/>
          <w:color w:val="000000" w:themeColor="text1"/>
        </w:rPr>
        <w:t xml:space="preserve"> </w:t>
      </w:r>
    </w:p>
    <w:p w14:paraId="39E8CA27" w14:textId="77777777" w:rsidR="00143E1F" w:rsidRPr="006C45AB" w:rsidRDefault="00143E1F" w:rsidP="00143E1F">
      <w:pPr>
        <w:pStyle w:val="Normlnywebov"/>
        <w:spacing w:before="0" w:beforeAutospacing="0" w:after="0" w:afterAutospacing="0"/>
        <w:ind w:left="284"/>
        <w:rPr>
          <w:b/>
          <w:bCs/>
          <w:color w:val="000000" w:themeColor="text1"/>
          <w:u w:val="single"/>
        </w:rPr>
      </w:pPr>
    </w:p>
    <w:p w14:paraId="32A00AA4" w14:textId="77777777" w:rsidR="00143E1F" w:rsidRPr="006C45AB" w:rsidRDefault="00143E1F" w:rsidP="00143E1F">
      <w:pPr>
        <w:pStyle w:val="Odsekzoznamu"/>
        <w:numPr>
          <w:ilvl w:val="0"/>
          <w:numId w:val="2"/>
        </w:numPr>
        <w:spacing w:after="0" w:line="276" w:lineRule="auto"/>
        <w:ind w:left="170"/>
        <w:rPr>
          <w:b/>
          <w:bCs/>
          <w:color w:val="000000" w:themeColor="text1"/>
          <w:szCs w:val="24"/>
        </w:rPr>
      </w:pPr>
      <w:r w:rsidRPr="006C45AB">
        <w:rPr>
          <w:b/>
          <w:bCs/>
          <w:color w:val="000000" w:themeColor="text1"/>
          <w:szCs w:val="24"/>
        </w:rPr>
        <w:t>Hodnotenie obsahu a cieľov návrhu z pohľadu priorít a záujmov Slovenskej republiky</w:t>
      </w:r>
    </w:p>
    <w:p w14:paraId="45583C4C" w14:textId="370F1FBB" w:rsidR="00DD08C3" w:rsidRPr="006C45AB" w:rsidRDefault="00AF7B1F" w:rsidP="00DD08C3">
      <w:pPr>
        <w:pStyle w:val="Odsekzoznamu"/>
        <w:ind w:left="17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Návrh zavádza</w:t>
      </w:r>
      <w:r w:rsidR="00243718" w:rsidRPr="006C45AB">
        <w:rPr>
          <w:color w:val="000000" w:themeColor="text1"/>
          <w:szCs w:val="24"/>
        </w:rPr>
        <w:t xml:space="preserve"> poskytovanie bezpečných, odolných a vysoko výkonných komunikačných satelitných služieb pre Úniu a jej členské štáty s cieľom prepojiť komunikačné siete Únie na posilnenie bezproblémovej kritickej komunikácie v oblasti </w:t>
      </w:r>
      <w:r w:rsidR="00376491">
        <w:rPr>
          <w:color w:val="000000" w:themeColor="text1"/>
          <w:szCs w:val="24"/>
        </w:rPr>
        <w:t xml:space="preserve">bezpečnosti, </w:t>
      </w:r>
      <w:r w:rsidR="00243718" w:rsidRPr="006C45AB">
        <w:rPr>
          <w:color w:val="000000" w:themeColor="text1"/>
          <w:szCs w:val="24"/>
        </w:rPr>
        <w:t>obrany a ochrany obyvateľstva</w:t>
      </w:r>
      <w:r w:rsidR="00DD08C3" w:rsidRPr="006C45AB">
        <w:rPr>
          <w:color w:val="000000" w:themeColor="text1"/>
          <w:szCs w:val="24"/>
        </w:rPr>
        <w:t xml:space="preserve">. </w:t>
      </w:r>
      <w:r w:rsidR="00DD08C3" w:rsidRPr="006C45AB">
        <w:rPr>
          <w:noProof/>
        </w:rPr>
        <w:t>Pásmo 2 GHz</w:t>
      </w:r>
      <w:r w:rsidR="00376491">
        <w:rPr>
          <w:noProof/>
        </w:rPr>
        <w:t xml:space="preserve"> pre MSS má osobitný význam pre </w:t>
      </w:r>
      <w:r w:rsidR="00DD08C3" w:rsidRPr="006C45AB">
        <w:rPr>
          <w:noProof/>
        </w:rPr>
        <w:t xml:space="preserve">rýchly rozvoj satelitnej konektivity D2D a širokopásmovej konektivity. Okrem toho umožní konvergenciu medzi pozemskými sieťami a nepozemskými sieťami do hybridného systému, </w:t>
      </w:r>
      <w:r>
        <w:rPr>
          <w:noProof/>
        </w:rPr>
        <w:t>s cieľom zabezpečiť</w:t>
      </w:r>
      <w:r w:rsidR="00DD08C3" w:rsidRPr="006C45AB">
        <w:rPr>
          <w:noProof/>
        </w:rPr>
        <w:t xml:space="preserve"> interoperabilit</w:t>
      </w:r>
      <w:r>
        <w:rPr>
          <w:noProof/>
        </w:rPr>
        <w:t>u</w:t>
      </w:r>
      <w:r w:rsidR="00DD08C3" w:rsidRPr="006C45AB">
        <w:rPr>
          <w:noProof/>
        </w:rPr>
        <w:t xml:space="preserve"> a bezproblémové poskytovanie služieb medzi pozemskou infraštruktúrou – ako sú optické siete a siete 5G alebo 6G – a vesmírnou infraštruktúrou, čím sa podporia inovácie a efektívne využívanie frekvenčného spektra</w:t>
      </w:r>
      <w:r w:rsidR="00DD08C3" w:rsidRPr="006C45AB">
        <w:rPr>
          <w:color w:val="000000" w:themeColor="text1"/>
          <w:szCs w:val="24"/>
        </w:rPr>
        <w:t xml:space="preserve">. </w:t>
      </w:r>
      <w:r w:rsidR="00243718" w:rsidRPr="006C45AB">
        <w:rPr>
          <w:color w:val="000000" w:themeColor="text1"/>
          <w:szCs w:val="24"/>
        </w:rPr>
        <w:t xml:space="preserve"> </w:t>
      </w:r>
    </w:p>
    <w:p w14:paraId="35F8A721" w14:textId="05A115F3" w:rsidR="003B413C" w:rsidRPr="006C45AB" w:rsidRDefault="00AF7B1F" w:rsidP="00D961CE">
      <w:pPr>
        <w:pStyle w:val="Odsekzoznamu"/>
        <w:ind w:left="170"/>
        <w:rPr>
          <w:noProof/>
        </w:rPr>
      </w:pPr>
      <w:r>
        <w:rPr>
          <w:noProof/>
        </w:rPr>
        <w:t xml:space="preserve">Zároveň by sa časť </w:t>
      </w:r>
      <w:r w:rsidR="00013D90" w:rsidRPr="006C45AB">
        <w:rPr>
          <w:noProof/>
        </w:rPr>
        <w:t>časť frekvenčného spektra 2 GHz mala využiť najmä v oblasti zabezpečenej vládnej satelitnej komunikácie v kontexte cieľov programu IRIS</w:t>
      </w:r>
      <w:r w:rsidR="00013D90" w:rsidRPr="006C45AB">
        <w:rPr>
          <w:noProof/>
          <w:vertAlign w:val="superscript"/>
        </w:rPr>
        <w:t>2</w:t>
      </w:r>
      <w:r w:rsidR="00013D90" w:rsidRPr="006C45AB">
        <w:rPr>
          <w:noProof/>
        </w:rPr>
        <w:t>.</w:t>
      </w:r>
    </w:p>
    <w:p w14:paraId="55A0B251" w14:textId="33218DF0" w:rsidR="003B413C" w:rsidRPr="00FE2946" w:rsidRDefault="00E37471" w:rsidP="00FE2946">
      <w:pPr>
        <w:pStyle w:val="Odsekzoznamu"/>
        <w:ind w:left="170"/>
        <w:rPr>
          <w:noProof/>
          <w:color w:val="auto"/>
        </w:rPr>
      </w:pPr>
      <w:r w:rsidRPr="003B413C">
        <w:rPr>
          <w:noProof/>
          <w:color w:val="auto"/>
        </w:rPr>
        <w:lastRenderedPageBreak/>
        <w:t xml:space="preserve">Slovenská republika </w:t>
      </w:r>
      <w:r w:rsidR="00FE2946">
        <w:rPr>
          <w:noProof/>
          <w:color w:val="auto"/>
        </w:rPr>
        <w:t>zastáva názor</w:t>
      </w:r>
      <w:r w:rsidR="002E63B3" w:rsidRPr="003B413C">
        <w:rPr>
          <w:noProof/>
          <w:color w:val="auto"/>
        </w:rPr>
        <w:t xml:space="preserve">, </w:t>
      </w:r>
      <w:r w:rsidR="00351F36" w:rsidRPr="003B413C">
        <w:rPr>
          <w:noProof/>
          <w:color w:val="auto"/>
        </w:rPr>
        <w:t>že m</w:t>
      </w:r>
      <w:r w:rsidR="0010563C" w:rsidRPr="003B413C">
        <w:rPr>
          <w:noProof/>
          <w:color w:val="auto"/>
        </w:rPr>
        <w:t>iera zapojenia členských štátov do procesu výberovéh</w:t>
      </w:r>
      <w:r w:rsidR="00D961CE">
        <w:rPr>
          <w:noProof/>
          <w:color w:val="auto"/>
        </w:rPr>
        <w:t>o konania je nejasná. K</w:t>
      </w:r>
      <w:r w:rsidR="0010563C" w:rsidRPr="003B413C">
        <w:rPr>
          <w:noProof/>
          <w:color w:val="auto"/>
        </w:rPr>
        <w:t xml:space="preserve">onštatovaná </w:t>
      </w:r>
      <w:r w:rsidR="00D961CE">
        <w:rPr>
          <w:noProof/>
          <w:color w:val="auto"/>
        </w:rPr>
        <w:t xml:space="preserve">je </w:t>
      </w:r>
      <w:r w:rsidR="0010563C" w:rsidRPr="003B413C">
        <w:rPr>
          <w:noProof/>
          <w:color w:val="auto"/>
        </w:rPr>
        <w:t xml:space="preserve">len spolupráca </w:t>
      </w:r>
      <w:r w:rsidR="002E63B3" w:rsidRPr="003B413C">
        <w:rPr>
          <w:noProof/>
          <w:color w:val="auto"/>
        </w:rPr>
        <w:t>Komisie s</w:t>
      </w:r>
      <w:r w:rsidR="0010563C" w:rsidRPr="003B413C">
        <w:rPr>
          <w:noProof/>
          <w:color w:val="auto"/>
        </w:rPr>
        <w:t xml:space="preserve"> Komunikačným </w:t>
      </w:r>
      <w:r w:rsidR="00A75156" w:rsidRPr="003B413C">
        <w:rPr>
          <w:noProof/>
          <w:color w:val="auto"/>
        </w:rPr>
        <w:t>výborom, a</w:t>
      </w:r>
      <w:r w:rsidR="002E63B3" w:rsidRPr="003B413C">
        <w:rPr>
          <w:noProof/>
          <w:color w:val="auto"/>
        </w:rPr>
        <w:t>le nie s členskými štátmi.</w:t>
      </w:r>
      <w:r w:rsidR="0010563C" w:rsidRPr="003B413C">
        <w:rPr>
          <w:noProof/>
          <w:color w:val="auto"/>
        </w:rPr>
        <w:t xml:space="preserve"> </w:t>
      </w:r>
      <w:r w:rsidR="00D961CE">
        <w:t xml:space="preserve">Podrobnejšie podmienky výberového konania sa navrhuje upraviť vo vykonávacích aktoch Komisie, čo vedie k príliš všeobecnému a neurčitému zneniu ustanovení návrhu nariadenia. </w:t>
      </w:r>
      <w:r w:rsidR="002E63B3" w:rsidRPr="003B413C">
        <w:rPr>
          <w:noProof/>
          <w:color w:val="auto"/>
        </w:rPr>
        <w:t>Slovenská republika bude presadzovať</w:t>
      </w:r>
      <w:r w:rsidR="009850B1" w:rsidRPr="003B413C">
        <w:rPr>
          <w:noProof/>
          <w:color w:val="auto"/>
        </w:rPr>
        <w:t xml:space="preserve">, </w:t>
      </w:r>
      <w:r w:rsidR="002E63B3" w:rsidRPr="003B413C">
        <w:rPr>
          <w:noProof/>
          <w:color w:val="auto"/>
        </w:rPr>
        <w:t>aby niektoré podmienky boli zapr</w:t>
      </w:r>
      <w:r w:rsidR="00D961CE">
        <w:rPr>
          <w:noProof/>
          <w:color w:val="auto"/>
        </w:rPr>
        <w:t>acované priamo do navrhovaného n</w:t>
      </w:r>
      <w:r w:rsidR="002E63B3" w:rsidRPr="003B413C">
        <w:rPr>
          <w:noProof/>
          <w:color w:val="auto"/>
        </w:rPr>
        <w:t>ariadenia. Ide napríklad o</w:t>
      </w:r>
      <w:r w:rsidR="009850B1" w:rsidRPr="003B413C">
        <w:rPr>
          <w:noProof/>
          <w:color w:val="auto"/>
        </w:rPr>
        <w:t> podmienky</w:t>
      </w:r>
      <w:r w:rsidR="003B413C">
        <w:rPr>
          <w:noProof/>
          <w:color w:val="auto"/>
        </w:rPr>
        <w:t xml:space="preserve"> žiadosti na predkladanie ponúk alebo</w:t>
      </w:r>
      <w:r w:rsidR="009850B1" w:rsidRPr="003B413C">
        <w:rPr>
          <w:noProof/>
          <w:color w:val="auto"/>
        </w:rPr>
        <w:t xml:space="preserve"> podmienky týkajúce </w:t>
      </w:r>
      <w:r w:rsidR="003B413C">
        <w:rPr>
          <w:noProof/>
          <w:color w:val="auto"/>
        </w:rPr>
        <w:t>sa členov hodnotiacej komisie.</w:t>
      </w:r>
    </w:p>
    <w:p w14:paraId="15683E00" w14:textId="4BD97C2C" w:rsidR="00FE2946" w:rsidRDefault="007B379B" w:rsidP="00FE2946">
      <w:pPr>
        <w:pStyle w:val="Odsekzoznamu"/>
        <w:ind w:left="170"/>
        <w:rPr>
          <w:noProof/>
          <w:color w:val="auto"/>
        </w:rPr>
      </w:pPr>
      <w:r w:rsidRPr="003B413C">
        <w:rPr>
          <w:noProof/>
          <w:color w:val="auto"/>
        </w:rPr>
        <w:t xml:space="preserve">V súvislosti s monitoringom plnenia </w:t>
      </w:r>
      <w:r w:rsidR="003A0E00" w:rsidRPr="003B413C">
        <w:rPr>
          <w:noProof/>
          <w:color w:val="auto"/>
        </w:rPr>
        <w:t xml:space="preserve">predpisov, </w:t>
      </w:r>
      <w:r w:rsidRPr="003B413C">
        <w:rPr>
          <w:noProof/>
          <w:color w:val="auto"/>
        </w:rPr>
        <w:t xml:space="preserve">povinností a výkonom dohľadu je nejasné postavenie </w:t>
      </w:r>
      <w:r w:rsidR="00A75156" w:rsidRPr="003B413C">
        <w:rPr>
          <w:noProof/>
          <w:color w:val="auto"/>
        </w:rPr>
        <w:t>národných kompetentných autorít, rovnako</w:t>
      </w:r>
      <w:r w:rsidR="00FE2946">
        <w:rPr>
          <w:noProof/>
          <w:color w:val="auto"/>
        </w:rPr>
        <w:t xml:space="preserve"> ako aj</w:t>
      </w:r>
      <w:r w:rsidR="00A75156" w:rsidRPr="003B413C">
        <w:rPr>
          <w:noProof/>
          <w:color w:val="auto"/>
        </w:rPr>
        <w:t xml:space="preserve"> vo vzťahu k monitoringu škodlivého rušenia na území členského štátu.</w:t>
      </w:r>
      <w:r w:rsidR="00A75156" w:rsidRPr="003B413C">
        <w:rPr>
          <w:color w:val="auto"/>
        </w:rPr>
        <w:t xml:space="preserve"> Ustanovenia </w:t>
      </w:r>
      <w:r w:rsidR="00A75156" w:rsidRPr="003B413C">
        <w:rPr>
          <w:noProof/>
          <w:color w:val="auto"/>
        </w:rPr>
        <w:t xml:space="preserve">odkazujú na výkon opatrení a následne iba na postúpenie podania na kompetentné orgány (Komisiu a RSPG). Na druhej strane predmetné ustanovenie identifikuje Komisiu ako rozhodovací orgán, kde národná kompetentná autorita iba vykoná opatrenie Komisie v rozsahu a lehote určenej Komisiou. Takýto postup považujeme aj s ohľadom na národné procesné úpravy za nevodný. Nie je jasná ani štruktúra a spôsobilosti Komisie pre výkon predmetných kompetencií v rámci celej EÚ, </w:t>
      </w:r>
      <w:r w:rsidR="00B12E33">
        <w:rPr>
          <w:noProof/>
          <w:color w:val="auto"/>
        </w:rPr>
        <w:t xml:space="preserve">ani </w:t>
      </w:r>
      <w:r w:rsidR="00A75156" w:rsidRPr="003B413C">
        <w:rPr>
          <w:noProof/>
          <w:color w:val="auto"/>
        </w:rPr>
        <w:t>rozdelenie kompetencií a právomocí medzi dotknutými subjektami</w:t>
      </w:r>
      <w:r w:rsidR="00FE2946">
        <w:rPr>
          <w:noProof/>
          <w:color w:val="auto"/>
        </w:rPr>
        <w:t>. N</w:t>
      </w:r>
      <w:r w:rsidR="00FE2946" w:rsidRPr="003B413C">
        <w:rPr>
          <w:noProof/>
          <w:color w:val="auto"/>
        </w:rPr>
        <w:t>avrhovanú úpravu</w:t>
      </w:r>
      <w:r w:rsidR="00A75156" w:rsidRPr="003B413C">
        <w:rPr>
          <w:noProof/>
          <w:color w:val="auto"/>
        </w:rPr>
        <w:t xml:space="preserve"> je potrebné spresniť.</w:t>
      </w:r>
    </w:p>
    <w:p w14:paraId="5C52064B" w14:textId="6A75DC69" w:rsidR="00143E1F" w:rsidRPr="00FE2946" w:rsidRDefault="00FE2946" w:rsidP="00FE2946">
      <w:pPr>
        <w:pStyle w:val="Odsekzoznamu"/>
        <w:ind w:left="170"/>
        <w:rPr>
          <w:noProof/>
          <w:color w:val="auto"/>
        </w:rPr>
      </w:pPr>
      <w:r>
        <w:rPr>
          <w:noProof/>
          <w:color w:val="auto"/>
        </w:rPr>
        <w:t>Z pohľadu Slovenskej republiky v</w:t>
      </w:r>
      <w:r w:rsidR="003A0E00" w:rsidRPr="00FE2946">
        <w:rPr>
          <w:noProof/>
          <w:color w:val="auto"/>
        </w:rPr>
        <w:t xml:space="preserve">o vzťahu k navrhovanému systému poplatkov za právo používať pridelené frekvencie nie je možné podporiť myšlienku, aby </w:t>
      </w:r>
      <w:r w:rsidR="006C45AB" w:rsidRPr="00FE2946">
        <w:rPr>
          <w:noProof/>
          <w:color w:val="auto"/>
        </w:rPr>
        <w:t xml:space="preserve">pravidelné </w:t>
      </w:r>
      <w:r w:rsidR="003A0E00" w:rsidRPr="00FE2946">
        <w:rPr>
          <w:noProof/>
          <w:color w:val="auto"/>
        </w:rPr>
        <w:t>ročné poplatky stanovené Komisiou pokrývali iba administratívne n</w:t>
      </w:r>
      <w:r w:rsidR="006C45AB" w:rsidRPr="00FE2946">
        <w:rPr>
          <w:noProof/>
          <w:color w:val="auto"/>
        </w:rPr>
        <w:t>á</w:t>
      </w:r>
      <w:r w:rsidR="003A0E00" w:rsidRPr="00FE2946">
        <w:rPr>
          <w:noProof/>
          <w:color w:val="auto"/>
        </w:rPr>
        <w:t>klady Komisie a jej orgánov na udelenia povolenia, monitorovanie a dodržiavanie predpisov</w:t>
      </w:r>
      <w:r w:rsidR="00351F36" w:rsidRPr="00FE2946">
        <w:rPr>
          <w:noProof/>
          <w:color w:val="auto"/>
        </w:rPr>
        <w:t xml:space="preserve">. Slovenská republika </w:t>
      </w:r>
      <w:r w:rsidR="00B12E33">
        <w:rPr>
          <w:noProof/>
          <w:color w:val="auto"/>
        </w:rPr>
        <w:t xml:space="preserve">bude </w:t>
      </w:r>
      <w:r w:rsidR="003A0E00" w:rsidRPr="00FE2946">
        <w:rPr>
          <w:noProof/>
          <w:color w:val="auto"/>
        </w:rPr>
        <w:t>s ohľadom na už uvedenené nejasné rozdelenie kompetencií pri výkone dohľadu medzi Komisiou a členskými štátmi</w:t>
      </w:r>
      <w:r w:rsidR="00351F36" w:rsidRPr="00FE2946">
        <w:rPr>
          <w:noProof/>
          <w:color w:val="auto"/>
        </w:rPr>
        <w:t xml:space="preserve"> presadzovať</w:t>
      </w:r>
      <w:r w:rsidR="00B77D16" w:rsidRPr="00FE2946">
        <w:rPr>
          <w:noProof/>
          <w:color w:val="auto"/>
        </w:rPr>
        <w:t>, aby ročné poplatky boli určené aj pre národné kompetentné autority, ktoré reálne vykonávajú dohľad a monitoring nad svojím územím</w:t>
      </w:r>
      <w:r w:rsidR="003A0E00" w:rsidRPr="00FE2946">
        <w:rPr>
          <w:noProof/>
          <w:color w:val="auto"/>
        </w:rPr>
        <w:t>.</w:t>
      </w:r>
    </w:p>
    <w:p w14:paraId="51C84935" w14:textId="77777777" w:rsidR="00143E1F" w:rsidRPr="006C45AB" w:rsidRDefault="00143E1F" w:rsidP="00143E1F">
      <w:pPr>
        <w:pStyle w:val="Vchodzie"/>
        <w:numPr>
          <w:ilvl w:val="0"/>
          <w:numId w:val="2"/>
        </w:numPr>
        <w:spacing w:after="0" w:line="240" w:lineRule="auto"/>
        <w:ind w:left="17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Druh rozhodovacieho procesu v Európskej únii </w:t>
      </w:r>
    </w:p>
    <w:p w14:paraId="0BAD478E" w14:textId="77777777" w:rsidR="00272851" w:rsidRPr="006C45AB" w:rsidRDefault="00143E1F" w:rsidP="00081E69">
      <w:pPr>
        <w:ind w:firstLine="170"/>
        <w:rPr>
          <w:rFonts w:cs="Times New Roman"/>
          <w:color w:val="000000" w:themeColor="text1"/>
          <w:szCs w:val="24"/>
        </w:rPr>
      </w:pPr>
      <w:r w:rsidRPr="006C45AB">
        <w:rPr>
          <w:rFonts w:cs="Times New Roman"/>
          <w:color w:val="000000" w:themeColor="text1"/>
          <w:szCs w:val="24"/>
        </w:rPr>
        <w:t>Riadny legislatívny postup</w:t>
      </w:r>
    </w:p>
    <w:p w14:paraId="677180B2" w14:textId="77777777" w:rsidR="004144AF" w:rsidRDefault="00143E1F" w:rsidP="004144AF">
      <w:pPr>
        <w:pStyle w:val="Vchodzie"/>
        <w:numPr>
          <w:ilvl w:val="0"/>
          <w:numId w:val="2"/>
        </w:numPr>
        <w:spacing w:after="0" w:line="240" w:lineRule="auto"/>
        <w:ind w:left="17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C45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Časový priebeh rozhodovacieho procesu v Európskej únii</w:t>
      </w:r>
    </w:p>
    <w:p w14:paraId="1397002F" w14:textId="5325AD2D" w:rsidR="00081E69" w:rsidRPr="004144AF" w:rsidRDefault="00081E69" w:rsidP="004144AF">
      <w:pPr>
        <w:pStyle w:val="Vchodzie"/>
        <w:spacing w:after="0" w:line="240" w:lineRule="auto"/>
        <w:ind w:left="17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Rokovania o návrhu prebiehajú na úrovni Rady v pracovnej skupine pre telekomunikácie a informačnú spoločnosť, ktorá je prípravnou skupinou Rady pre dopravu, telekomunikácie a energetiku (TTE). Cieľom IE PRES je </w:t>
      </w:r>
      <w:r w:rsidR="00EB5461"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predložiť </w:t>
      </w:r>
      <w:r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zasadnutie Rady TTE </w:t>
      </w:r>
      <w:r w:rsidR="00EB5461"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 novembri 2026 </w:t>
      </w:r>
      <w:r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>všeobecné smerovanie. Ukončenie rokovaní sa predpokladá pred uplynutím</w:t>
      </w:r>
      <w:r w:rsidR="002F7EA1"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platnosti</w:t>
      </w:r>
      <w:r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69E5"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>povolení</w:t>
      </w:r>
      <w:r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používanie frekvencií (máj 2027)</w:t>
      </w:r>
      <w:r w:rsidR="00A83DEB"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udelených na základe </w:t>
      </w:r>
      <w:r w:rsidR="006A5B48"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>rozhodnutia č. </w:t>
      </w:r>
      <w:r w:rsidR="00A83DEB"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>626/2008/ES</w:t>
      </w:r>
      <w:r w:rsidRPr="004144A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E66EFE4" w14:textId="729A5482" w:rsidR="00143E1F" w:rsidRPr="00FE2946" w:rsidRDefault="00143E1F" w:rsidP="00FE2946">
      <w:pPr>
        <w:pStyle w:val="Odsekzoznamu"/>
        <w:numPr>
          <w:ilvl w:val="0"/>
          <w:numId w:val="2"/>
        </w:numPr>
        <w:spacing w:before="240" w:after="0" w:line="240" w:lineRule="auto"/>
        <w:ind w:left="164" w:hanging="357"/>
        <w:contextualSpacing w:val="0"/>
        <w:rPr>
          <w:b/>
          <w:bCs/>
          <w:color w:val="000000" w:themeColor="text1"/>
          <w:szCs w:val="24"/>
        </w:rPr>
      </w:pPr>
      <w:r w:rsidRPr="006C45AB">
        <w:rPr>
          <w:b/>
          <w:bCs/>
          <w:color w:val="000000" w:themeColor="text1"/>
          <w:szCs w:val="24"/>
        </w:rPr>
        <w:t xml:space="preserve">Hodnotenie vplyvu a dosahu návrhu na Slovenskú republiku </w:t>
      </w:r>
    </w:p>
    <w:p w14:paraId="0E0DC8FC" w14:textId="0B8B346A" w:rsidR="00A818C7" w:rsidRPr="006C45AB" w:rsidRDefault="00A818C7" w:rsidP="00165289">
      <w:pPr>
        <w:pStyle w:val="Odsekzoznamu"/>
        <w:ind w:left="170"/>
        <w:rPr>
          <w:color w:val="000000" w:themeColor="text1"/>
          <w:szCs w:val="24"/>
        </w:rPr>
      </w:pPr>
      <w:r w:rsidRPr="006C45AB">
        <w:rPr>
          <w:color w:val="000000" w:themeColor="text1"/>
          <w:szCs w:val="24"/>
        </w:rPr>
        <w:t xml:space="preserve">Vzhľadom na charakter legislatívneho návrhu vo forme nariadenia </w:t>
      </w:r>
      <w:r w:rsidR="00165289">
        <w:rPr>
          <w:color w:val="000000" w:themeColor="text1"/>
          <w:szCs w:val="24"/>
        </w:rPr>
        <w:t xml:space="preserve">sa </w:t>
      </w:r>
      <w:r w:rsidRPr="006C45AB">
        <w:rPr>
          <w:color w:val="000000" w:themeColor="text1"/>
          <w:szCs w:val="24"/>
        </w:rPr>
        <w:t xml:space="preserve">nepredpokladá potreba legislatívnych zmien </w:t>
      </w:r>
      <w:r w:rsidR="00B12E33">
        <w:rPr>
          <w:color w:val="000000" w:themeColor="text1"/>
          <w:szCs w:val="24"/>
        </w:rPr>
        <w:t xml:space="preserve">vnútroštátnej právnej úpravy. </w:t>
      </w:r>
    </w:p>
    <w:p w14:paraId="41E42624" w14:textId="1FADB1AB" w:rsidR="00414913" w:rsidRPr="006C45AB" w:rsidRDefault="00A818C7" w:rsidP="0027145D">
      <w:pPr>
        <w:pStyle w:val="Odsekzoznamu"/>
        <w:ind w:left="170"/>
        <w:rPr>
          <w:color w:val="000000" w:themeColor="text1"/>
          <w:szCs w:val="24"/>
        </w:rPr>
      </w:pPr>
      <w:r w:rsidRPr="006C45AB">
        <w:rPr>
          <w:color w:val="000000" w:themeColor="text1"/>
          <w:szCs w:val="24"/>
        </w:rPr>
        <w:t xml:space="preserve">Je možné predpokladať, že </w:t>
      </w:r>
      <w:r w:rsidR="00414F32">
        <w:rPr>
          <w:color w:val="000000" w:themeColor="text1"/>
          <w:szCs w:val="24"/>
        </w:rPr>
        <w:t>dôjde</w:t>
      </w:r>
      <w:r w:rsidRPr="006C45AB">
        <w:rPr>
          <w:color w:val="000000" w:themeColor="text1"/>
          <w:szCs w:val="24"/>
        </w:rPr>
        <w:t xml:space="preserve"> k</w:t>
      </w:r>
      <w:r w:rsidR="00414913" w:rsidRPr="006C45AB">
        <w:rPr>
          <w:color w:val="000000" w:themeColor="text1"/>
          <w:szCs w:val="24"/>
        </w:rPr>
        <w:t> zjednodušeniu procesov autorizácie MSS bez nadbytočnej administratívnej záťaže žiadateľov v</w:t>
      </w:r>
      <w:r w:rsidR="000A241E" w:rsidRPr="006C45AB">
        <w:rPr>
          <w:color w:val="000000" w:themeColor="text1"/>
          <w:szCs w:val="24"/>
        </w:rPr>
        <w:t>oči regulačným orgánom členských</w:t>
      </w:r>
      <w:r w:rsidR="00414913" w:rsidRPr="006C45AB">
        <w:rPr>
          <w:color w:val="000000" w:themeColor="text1"/>
          <w:szCs w:val="24"/>
        </w:rPr>
        <w:t xml:space="preserve"> štát</w:t>
      </w:r>
      <w:r w:rsidR="000A241E" w:rsidRPr="006C45AB">
        <w:rPr>
          <w:color w:val="000000" w:themeColor="text1"/>
          <w:szCs w:val="24"/>
        </w:rPr>
        <w:t xml:space="preserve">ov a </w:t>
      </w:r>
      <w:r w:rsidR="00414913" w:rsidRPr="006C45AB">
        <w:rPr>
          <w:color w:val="000000" w:themeColor="text1"/>
          <w:szCs w:val="24"/>
        </w:rPr>
        <w:t>K</w:t>
      </w:r>
      <w:r w:rsidR="000A241E" w:rsidRPr="006C45AB">
        <w:rPr>
          <w:color w:val="000000" w:themeColor="text1"/>
          <w:szCs w:val="24"/>
        </w:rPr>
        <w:t>omisii</w:t>
      </w:r>
      <w:r w:rsidR="00414913" w:rsidRPr="006C45AB">
        <w:rPr>
          <w:color w:val="000000" w:themeColor="text1"/>
          <w:szCs w:val="24"/>
        </w:rPr>
        <w:t xml:space="preserve">. V konečnom dôsledku by </w:t>
      </w:r>
      <w:r w:rsidR="00671041">
        <w:rPr>
          <w:color w:val="000000" w:themeColor="text1"/>
          <w:szCs w:val="24"/>
        </w:rPr>
        <w:t xml:space="preserve">sa </w:t>
      </w:r>
      <w:r w:rsidR="0027145D">
        <w:rPr>
          <w:color w:val="000000" w:themeColor="text1"/>
          <w:szCs w:val="24"/>
        </w:rPr>
        <w:t xml:space="preserve">zjednodušil a unifikoval </w:t>
      </w:r>
      <w:r w:rsidR="00414913" w:rsidRPr="006C45AB">
        <w:rPr>
          <w:color w:val="000000" w:themeColor="text1"/>
          <w:szCs w:val="24"/>
        </w:rPr>
        <w:t xml:space="preserve">prístup k prideleniu </w:t>
      </w:r>
      <w:r w:rsidR="006469E5" w:rsidRPr="006C45AB">
        <w:rPr>
          <w:color w:val="000000" w:themeColor="text1"/>
          <w:szCs w:val="24"/>
        </w:rPr>
        <w:t xml:space="preserve">povolení </w:t>
      </w:r>
      <w:r w:rsidR="0027145D">
        <w:rPr>
          <w:color w:val="000000" w:themeColor="text1"/>
          <w:szCs w:val="24"/>
        </w:rPr>
        <w:t>na </w:t>
      </w:r>
      <w:bookmarkStart w:id="0" w:name="_GoBack"/>
      <w:bookmarkEnd w:id="0"/>
      <w:r w:rsidR="00414913" w:rsidRPr="006C45AB">
        <w:rPr>
          <w:color w:val="000000" w:themeColor="text1"/>
          <w:szCs w:val="24"/>
        </w:rPr>
        <w:t xml:space="preserve">prevádzku MSS pre európskych operátorov alebo operátorov z tretích krajín.  </w:t>
      </w:r>
    </w:p>
    <w:p w14:paraId="68980E90" w14:textId="77777777" w:rsidR="000565D8" w:rsidRPr="006C45AB" w:rsidRDefault="000565D8" w:rsidP="00414913">
      <w:pPr>
        <w:pStyle w:val="Odsekzoznamu"/>
        <w:ind w:left="170"/>
        <w:rPr>
          <w:color w:val="000000" w:themeColor="text1"/>
          <w:szCs w:val="24"/>
        </w:rPr>
      </w:pPr>
      <w:r w:rsidRPr="006C45AB">
        <w:rPr>
          <w:color w:val="000000" w:themeColor="text1"/>
          <w:szCs w:val="24"/>
        </w:rPr>
        <w:t>Návrh podporuje zavádzanie Satelitnej infraštruktúry Únie pre odolnosť, prepojenosť a bezpečnosť (IRIS²), ktorá je určená na poskytovanie bezpečných, odolných a vysoko výkonných komunikačných služieb pre Úniu a jej členské štáty a zároveň umožňuje komerčné širokopásmové služby.</w:t>
      </w:r>
    </w:p>
    <w:p w14:paraId="2C73A233" w14:textId="77777777" w:rsidR="00143E1F" w:rsidRPr="006C45AB" w:rsidRDefault="00143E1F" w:rsidP="00143E1F">
      <w:pPr>
        <w:pStyle w:val="Odsekzoznamu"/>
        <w:ind w:left="170"/>
        <w:rPr>
          <w:color w:val="000000" w:themeColor="text1"/>
          <w:szCs w:val="24"/>
        </w:rPr>
      </w:pPr>
    </w:p>
    <w:p w14:paraId="6B2249FA" w14:textId="77777777" w:rsidR="00143E1F" w:rsidRPr="006C45AB" w:rsidRDefault="00143E1F" w:rsidP="00143E1F">
      <w:pPr>
        <w:pStyle w:val="Odsekzoznamu"/>
        <w:numPr>
          <w:ilvl w:val="0"/>
          <w:numId w:val="2"/>
        </w:numPr>
        <w:spacing w:after="0" w:line="240" w:lineRule="auto"/>
        <w:ind w:left="170"/>
        <w:rPr>
          <w:color w:val="000000" w:themeColor="text1"/>
          <w:szCs w:val="24"/>
        </w:rPr>
      </w:pPr>
      <w:r w:rsidRPr="006C45AB">
        <w:rPr>
          <w:b/>
          <w:bCs/>
          <w:color w:val="000000" w:themeColor="text1"/>
          <w:szCs w:val="24"/>
        </w:rPr>
        <w:lastRenderedPageBreak/>
        <w:t>Vplyvy na vybrané oblasti</w:t>
      </w:r>
    </w:p>
    <w:p w14:paraId="1D7CF8A7" w14:textId="77777777" w:rsidR="00143E1F" w:rsidRPr="006C45AB" w:rsidRDefault="00143E1F" w:rsidP="00143E1F">
      <w:pPr>
        <w:pStyle w:val="Odsekzoznamu"/>
        <w:spacing w:after="0" w:line="240" w:lineRule="auto"/>
        <w:ind w:left="170"/>
        <w:rPr>
          <w:color w:val="000000" w:themeColor="text1"/>
          <w:szCs w:val="24"/>
        </w:rPr>
      </w:pPr>
    </w:p>
    <w:tbl>
      <w:tblPr>
        <w:tblStyle w:val="Mriekatabuky1"/>
        <w:tblW w:w="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284"/>
        <w:gridCol w:w="254"/>
        <w:gridCol w:w="1133"/>
        <w:gridCol w:w="547"/>
        <w:gridCol w:w="1297"/>
      </w:tblGrid>
      <w:tr w:rsidR="00143E1F" w:rsidRPr="006C45AB" w14:paraId="0725FE40" w14:textId="77777777" w:rsidTr="00561249">
        <w:trPr>
          <w:trHeight w:val="283"/>
        </w:trPr>
        <w:tc>
          <w:tcPr>
            <w:tcW w:w="9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  <w:hideMark/>
          </w:tcPr>
          <w:p w14:paraId="5E5BE9D2" w14:textId="77777777" w:rsidR="00143E1F" w:rsidRPr="006C45AB" w:rsidRDefault="00143E1F" w:rsidP="00561249">
            <w:pPr>
              <w:spacing w:line="240" w:lineRule="auto"/>
              <w:ind w:left="426"/>
              <w:contextualSpacing/>
              <w:jc w:val="left"/>
              <w:rPr>
                <w:rFonts w:eastAsia="Calibri"/>
                <w:b/>
              </w:rPr>
            </w:pPr>
            <w:r w:rsidRPr="006C45AB">
              <w:rPr>
                <w:rFonts w:eastAsia="Calibri"/>
                <w:b/>
              </w:rPr>
              <w:t>Vybrané vplyvy  materiálu</w:t>
            </w:r>
          </w:p>
        </w:tc>
      </w:tr>
      <w:tr w:rsidR="00143E1F" w:rsidRPr="006C45AB" w14:paraId="70022657" w14:textId="77777777" w:rsidTr="0056124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57979260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Vplyvy na rozpočet verejnej správy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hideMark/>
              </w:tcPr>
              <w:p w14:paraId="6CD73E65" w14:textId="02FDCECC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hideMark/>
          </w:tcPr>
          <w:p w14:paraId="18819A83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3F1143C5" w14:textId="4AED3BA7" w:rsidR="00143E1F" w:rsidRPr="006C45AB" w:rsidRDefault="00615C00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en-US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hideMark/>
          </w:tcPr>
          <w:p w14:paraId="1461AE8A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0271B309" w14:textId="7F29EFCF" w:rsidR="00143E1F" w:rsidRPr="006C45AB" w:rsidRDefault="00143E1F" w:rsidP="00561249">
                <w:pPr>
                  <w:ind w:left="-107" w:right="-108"/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hideMark/>
          </w:tcPr>
          <w:p w14:paraId="5EEE1E02" w14:textId="77777777" w:rsidR="00143E1F" w:rsidRPr="006C45AB" w:rsidRDefault="00143E1F" w:rsidP="00561249">
            <w:pPr>
              <w:ind w:left="34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Negatívne</w:t>
            </w:r>
          </w:p>
        </w:tc>
      </w:tr>
      <w:tr w:rsidR="00143E1F" w:rsidRPr="006C45AB" w14:paraId="6AD90E13" w14:textId="77777777" w:rsidTr="00561249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1D85D2DD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 xml:space="preserve">    z toho rozpočtovo zabezpečené vplyvy,         </w:t>
            </w:r>
          </w:p>
          <w:p w14:paraId="31F73A7C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 xml:space="preserve">    v prípade identifikovaného negatívneho </w:t>
            </w:r>
          </w:p>
          <w:p w14:paraId="748B647C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 xml:space="preserve">    vplyvu</w:t>
            </w:r>
          </w:p>
        </w:tc>
        <w:sdt>
          <w:sdtPr>
            <w:rPr>
              <w:rFonts w:cs="Times New Roman"/>
              <w:sz w:val="20"/>
              <w:szCs w:val="20"/>
              <w:lang w:eastAsia="en-US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229AE727" w14:textId="14C32880" w:rsidR="00143E1F" w:rsidRPr="006C45AB" w:rsidRDefault="00143E1F" w:rsidP="00561249">
                <w:pPr>
                  <w:jc w:val="center"/>
                  <w:rPr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2BA2919F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Áno</w:t>
            </w:r>
          </w:p>
        </w:tc>
        <w:sdt>
          <w:sdtPr>
            <w:rPr>
              <w:rFonts w:cs="Times New Roman"/>
              <w:sz w:val="20"/>
              <w:szCs w:val="20"/>
              <w:lang w:eastAsia="en-US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16B93B0F" w14:textId="174B7AB4" w:rsidR="00143E1F" w:rsidRPr="006C45AB" w:rsidRDefault="00143E1F" w:rsidP="00561249">
                <w:pPr>
                  <w:jc w:val="center"/>
                  <w:rPr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5B1B6E10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Nie</w:t>
            </w:r>
          </w:p>
        </w:tc>
        <w:sdt>
          <w:sdtPr>
            <w:rPr>
              <w:rFonts w:cs="Times New Roman"/>
              <w:sz w:val="20"/>
              <w:szCs w:val="20"/>
              <w:lang w:eastAsia="en-US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465A3DD2" w14:textId="746DA6C3" w:rsidR="00143E1F" w:rsidRPr="006C45AB" w:rsidRDefault="00143E1F" w:rsidP="00561249">
                <w:pPr>
                  <w:ind w:left="-107" w:right="-108"/>
                  <w:jc w:val="center"/>
                  <w:rPr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0F026B3F" w14:textId="77777777" w:rsidR="00143E1F" w:rsidRPr="006C45AB" w:rsidRDefault="00143E1F" w:rsidP="00561249">
            <w:pPr>
              <w:ind w:left="34"/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Čiastočne</w:t>
            </w:r>
          </w:p>
        </w:tc>
      </w:tr>
      <w:tr w:rsidR="00143E1F" w:rsidRPr="006C45AB" w14:paraId="43F6D2DC" w14:textId="77777777" w:rsidTr="00561249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23FDE5F7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v tom vplyvy na rozpočty obcí a vyšších územných celkov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hideMark/>
              </w:tcPr>
              <w:p w14:paraId="5E6C0055" w14:textId="5699627A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14:paraId="7055A148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20193048" w14:textId="385A7C96" w:rsidR="00143E1F" w:rsidRPr="006C45AB" w:rsidRDefault="00615C00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en-US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14:paraId="015E0E01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104BF9A8" w14:textId="09323F16" w:rsidR="00143E1F" w:rsidRPr="006C45AB" w:rsidRDefault="00143E1F" w:rsidP="00561249">
                <w:pPr>
                  <w:ind w:left="-107" w:right="-108"/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hideMark/>
          </w:tcPr>
          <w:p w14:paraId="4DB56BD6" w14:textId="77777777" w:rsidR="00143E1F" w:rsidRPr="006C45AB" w:rsidRDefault="00143E1F" w:rsidP="00561249">
            <w:pPr>
              <w:ind w:left="34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Negatívne</w:t>
            </w:r>
          </w:p>
        </w:tc>
      </w:tr>
      <w:tr w:rsidR="00143E1F" w:rsidRPr="006C45AB" w14:paraId="6054C737" w14:textId="77777777" w:rsidTr="00561249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6F042978" w14:textId="77777777" w:rsidR="00143E1F" w:rsidRPr="006C45AB" w:rsidRDefault="00143E1F" w:rsidP="00561249">
            <w:pPr>
              <w:ind w:left="171"/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z toho rozpočtovo zabezpečené vplyvy,</w:t>
            </w:r>
          </w:p>
          <w:p w14:paraId="0DB7E1D9" w14:textId="77777777" w:rsidR="00143E1F" w:rsidRPr="006C45AB" w:rsidRDefault="00143E1F" w:rsidP="00561249">
            <w:pPr>
              <w:ind w:left="171"/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v prípade identifikovaného negatívneho vplyvu</w:t>
            </w:r>
          </w:p>
        </w:tc>
        <w:sdt>
          <w:sdtPr>
            <w:rPr>
              <w:rFonts w:cs="Times New Roman"/>
              <w:sz w:val="20"/>
              <w:szCs w:val="20"/>
              <w:lang w:eastAsia="en-US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6260020B" w14:textId="0BCBADA9" w:rsidR="00143E1F" w:rsidRPr="006C45AB" w:rsidRDefault="00143E1F" w:rsidP="00561249">
                <w:pPr>
                  <w:jc w:val="center"/>
                  <w:rPr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3B5363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Áno</w:t>
            </w:r>
          </w:p>
        </w:tc>
        <w:sdt>
          <w:sdtPr>
            <w:rPr>
              <w:rFonts w:cs="Times New Roman"/>
              <w:sz w:val="20"/>
              <w:szCs w:val="20"/>
              <w:lang w:eastAsia="en-US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36FACC51" w14:textId="143B6CF3" w:rsidR="00143E1F" w:rsidRPr="006C45AB" w:rsidRDefault="00143E1F" w:rsidP="00561249">
                <w:pPr>
                  <w:jc w:val="center"/>
                  <w:rPr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E7D009D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Nie</w:t>
            </w:r>
          </w:p>
        </w:tc>
        <w:sdt>
          <w:sdtPr>
            <w:rPr>
              <w:rFonts w:cs="Times New Roman"/>
              <w:sz w:val="20"/>
              <w:szCs w:val="20"/>
              <w:lang w:eastAsia="en-US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2C8D61ED" w14:textId="3C408BB5" w:rsidR="00143E1F" w:rsidRPr="006C45AB" w:rsidRDefault="00143E1F" w:rsidP="00561249">
                <w:pPr>
                  <w:ind w:left="-107" w:right="-108"/>
                  <w:jc w:val="center"/>
                  <w:rPr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813C" w14:textId="77777777" w:rsidR="00143E1F" w:rsidRPr="006C45AB" w:rsidRDefault="00143E1F" w:rsidP="00561249">
            <w:pPr>
              <w:ind w:left="34"/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Čiastočne</w:t>
            </w:r>
          </w:p>
        </w:tc>
      </w:tr>
      <w:tr w:rsidR="00143E1F" w:rsidRPr="006C45AB" w14:paraId="7BF05893" w14:textId="77777777" w:rsidTr="0056124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2F6B82D1" w14:textId="77777777" w:rsidR="00143E1F" w:rsidRPr="006C45AB" w:rsidRDefault="00143E1F" w:rsidP="00561249">
            <w:pPr>
              <w:ind w:left="171"/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Vplyv na dlhodobú udržateľnosť verejných financií v prípade vybraných opatrení ***</w:t>
            </w:r>
          </w:p>
        </w:tc>
        <w:sdt>
          <w:sdtPr>
            <w:rPr>
              <w:rFonts w:cs="Times New Roman"/>
              <w:sz w:val="20"/>
              <w:szCs w:val="20"/>
              <w:lang w:eastAsia="en-US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4A864CBD" w14:textId="51062452" w:rsidR="00143E1F" w:rsidRPr="006C45AB" w:rsidRDefault="00143E1F" w:rsidP="00561249">
                <w:pPr>
                  <w:jc w:val="center"/>
                  <w:rPr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3ACD12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DA0048" w14:textId="77777777" w:rsidR="00143E1F" w:rsidRPr="006C45AB" w:rsidRDefault="00143E1F" w:rsidP="00561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49B4B5" w14:textId="77777777" w:rsidR="00143E1F" w:rsidRPr="006C45AB" w:rsidRDefault="00143E1F" w:rsidP="00561249">
            <w:pPr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sdt>
          <w:sdtPr>
            <w:rPr>
              <w:rFonts w:cs="Times New Roman"/>
              <w:sz w:val="20"/>
              <w:szCs w:val="20"/>
              <w:lang w:eastAsia="en-US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5FA6429E" w14:textId="579A2ECB" w:rsidR="00143E1F" w:rsidRPr="006C45AB" w:rsidRDefault="00143E1F" w:rsidP="00561249">
                <w:pPr>
                  <w:ind w:left="-107" w:right="-108"/>
                  <w:jc w:val="center"/>
                  <w:rPr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69074" w14:textId="77777777" w:rsidR="00143E1F" w:rsidRPr="006C45AB" w:rsidRDefault="00143E1F" w:rsidP="00561249">
            <w:pPr>
              <w:ind w:left="34"/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Nie</w:t>
            </w:r>
          </w:p>
        </w:tc>
      </w:tr>
      <w:tr w:rsidR="00143E1F" w:rsidRPr="006C45AB" w14:paraId="200E1C2D" w14:textId="77777777" w:rsidTr="0056124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4E830693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Vplyvy na limit verejných výdavkov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13A002F5" w14:textId="406CF2C4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9E2467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59E7747C" w14:textId="793B197C" w:rsidR="00143E1F" w:rsidRPr="006C45AB" w:rsidRDefault="00615C00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en-US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6C96A2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23DB99AC" w14:textId="68ADA99B" w:rsidR="00143E1F" w:rsidRPr="006C45AB" w:rsidRDefault="00143E1F" w:rsidP="00561249">
                <w:pPr>
                  <w:ind w:left="-107" w:right="-108"/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26A3" w14:textId="77777777" w:rsidR="00143E1F" w:rsidRPr="006C45AB" w:rsidRDefault="00143E1F" w:rsidP="00561249">
            <w:pPr>
              <w:ind w:left="34"/>
              <w:rPr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Negatívne</w:t>
            </w:r>
          </w:p>
        </w:tc>
      </w:tr>
      <w:tr w:rsidR="00143E1F" w:rsidRPr="006C45AB" w14:paraId="07011907" w14:textId="77777777" w:rsidTr="0056124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585B9F78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Vplyvy na podnikateľské prostredie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4E01B67A" w14:textId="0FCBEB69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32C25823" w14:textId="77777777" w:rsidR="00143E1F" w:rsidRPr="006C45AB" w:rsidRDefault="00143E1F" w:rsidP="00561249">
            <w:pPr>
              <w:ind w:right="-108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64BC0D2E" w14:textId="3E3652AE" w:rsidR="00143E1F" w:rsidRPr="006C45AB" w:rsidRDefault="00615C00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en-US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1D528F14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0347C54A" w14:textId="01FBFC84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368653F" w14:textId="77777777" w:rsidR="00143E1F" w:rsidRPr="006C45AB" w:rsidRDefault="00143E1F" w:rsidP="00561249">
            <w:pPr>
              <w:ind w:left="54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Negatívne</w:t>
            </w:r>
          </w:p>
        </w:tc>
      </w:tr>
      <w:tr w:rsidR="00143E1F" w:rsidRPr="006C45AB" w14:paraId="00B422EA" w14:textId="77777777" w:rsidTr="00561249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029E4C1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 xml:space="preserve">    z toho vplyvy na MSP</w:t>
            </w:r>
          </w:p>
          <w:p w14:paraId="72399754" w14:textId="77777777" w:rsidR="00143E1F" w:rsidRPr="006C45AB" w:rsidRDefault="00143E1F" w:rsidP="00561249">
            <w:pPr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sdt>
          <w:sdtPr>
            <w:rPr>
              <w:rFonts w:cs="Times New Roman"/>
              <w:sz w:val="20"/>
              <w:szCs w:val="20"/>
              <w:lang w:eastAsia="en-US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266F5BD7" w14:textId="397539B1" w:rsidR="00143E1F" w:rsidRPr="006C45AB" w:rsidRDefault="00143E1F" w:rsidP="00561249">
                <w:pPr>
                  <w:jc w:val="center"/>
                  <w:rPr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1923175B" w14:textId="77777777" w:rsidR="00143E1F" w:rsidRPr="006C45AB" w:rsidRDefault="00143E1F" w:rsidP="00561249">
            <w:pPr>
              <w:ind w:right="-108"/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Pozitívne</w:t>
            </w:r>
          </w:p>
        </w:tc>
        <w:sdt>
          <w:sdtPr>
            <w:rPr>
              <w:rFonts w:cs="Times New Roman"/>
              <w:sz w:val="20"/>
              <w:szCs w:val="20"/>
              <w:lang w:eastAsia="en-US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7243C623" w14:textId="6E48B866" w:rsidR="00143E1F" w:rsidRPr="006C45AB" w:rsidRDefault="00143E1F" w:rsidP="00561249">
                <w:pPr>
                  <w:jc w:val="center"/>
                  <w:rPr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2D1522E1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Žiadne</w:t>
            </w:r>
          </w:p>
        </w:tc>
        <w:sdt>
          <w:sdtPr>
            <w:rPr>
              <w:rFonts w:cs="Times New Roman"/>
              <w:sz w:val="20"/>
              <w:szCs w:val="20"/>
              <w:lang w:eastAsia="en-US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1EE7D673" w14:textId="2F5F8185" w:rsidR="00143E1F" w:rsidRPr="006C45AB" w:rsidRDefault="00143E1F" w:rsidP="00561249">
                <w:pPr>
                  <w:jc w:val="center"/>
                  <w:rPr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3F1AC2E8" w14:textId="77777777" w:rsidR="00143E1F" w:rsidRPr="006C45AB" w:rsidRDefault="00143E1F" w:rsidP="00561249">
            <w:pPr>
              <w:ind w:left="54"/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Negatívne</w:t>
            </w:r>
          </w:p>
        </w:tc>
      </w:tr>
      <w:tr w:rsidR="00143E1F" w:rsidRPr="006C45AB" w14:paraId="18BCE183" w14:textId="77777777" w:rsidTr="00561249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19AC1C50" w14:textId="77777777" w:rsidR="00143E1F" w:rsidRPr="006C45AB" w:rsidRDefault="00143E1F" w:rsidP="00561249">
            <w:pPr>
              <w:rPr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 xml:space="preserve">    Mechanizmus znižovania byrokracie    </w:t>
            </w:r>
          </w:p>
          <w:p w14:paraId="7AC6F078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 xml:space="preserve">    a nákladov sa uplatňuje: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3D0414E8" w14:textId="598321F4" w:rsidR="00143E1F" w:rsidRPr="006C45AB" w:rsidRDefault="007E5F7B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A2DA53" w14:textId="77777777" w:rsidR="00143E1F" w:rsidRPr="006C45AB" w:rsidRDefault="00143E1F" w:rsidP="00561249">
            <w:pPr>
              <w:ind w:right="-108"/>
              <w:rPr>
                <w:b/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9E9E62" w14:textId="77777777" w:rsidR="00143E1F" w:rsidRPr="006C45AB" w:rsidRDefault="00143E1F" w:rsidP="0056124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2EF595" w14:textId="77777777" w:rsidR="00143E1F" w:rsidRPr="006C45AB" w:rsidRDefault="00143E1F" w:rsidP="00561249">
            <w:pPr>
              <w:jc w:val="center"/>
              <w:rPr>
                <w:b/>
                <w:sz w:val="20"/>
                <w:szCs w:val="20"/>
              </w:rPr>
            </w:pP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7690491D" w14:textId="1418F2EC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1E4A2" w14:textId="77777777" w:rsidR="00143E1F" w:rsidRPr="006C45AB" w:rsidRDefault="00143E1F" w:rsidP="00561249">
            <w:pPr>
              <w:ind w:left="54"/>
              <w:rPr>
                <w:b/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Nie</w:t>
            </w:r>
          </w:p>
        </w:tc>
      </w:tr>
      <w:tr w:rsidR="00143E1F" w:rsidRPr="006C45AB" w14:paraId="121815AE" w14:textId="77777777" w:rsidTr="00561249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21241D15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Sociálne vplyvy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hideMark/>
              </w:tcPr>
              <w:p w14:paraId="017C74D7" w14:textId="686BFC35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9B1727" w14:textId="77777777" w:rsidR="00143E1F" w:rsidRPr="006C45AB" w:rsidRDefault="00143E1F" w:rsidP="00561249">
            <w:pPr>
              <w:ind w:right="-108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3ED3EBBE" w14:textId="21508B75" w:rsidR="00143E1F" w:rsidRPr="006C45AB" w:rsidRDefault="00615C00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en-US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079C52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3604D21A" w14:textId="526D4B9C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D00E4" w14:textId="77777777" w:rsidR="00143E1F" w:rsidRPr="006C45AB" w:rsidRDefault="00143E1F" w:rsidP="00561249">
            <w:pPr>
              <w:ind w:left="54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Negatívne</w:t>
            </w:r>
          </w:p>
        </w:tc>
      </w:tr>
      <w:tr w:rsidR="00143E1F" w:rsidRPr="006C45AB" w14:paraId="180819EC" w14:textId="77777777" w:rsidTr="0056124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41046896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Vplyvy na životné prostredie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hideMark/>
              </w:tcPr>
              <w:p w14:paraId="612D1B0E" w14:textId="1CDB2A3D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73DCC0" w14:textId="77777777" w:rsidR="00143E1F" w:rsidRPr="006C45AB" w:rsidRDefault="00143E1F" w:rsidP="00561249">
            <w:pPr>
              <w:ind w:right="-108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69E88478" w14:textId="38C9D99C" w:rsidR="00143E1F" w:rsidRPr="006C45AB" w:rsidRDefault="00615C00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en-US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2EDDD1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590055D1" w14:textId="4BBCC9B1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92A48" w14:textId="77777777" w:rsidR="00143E1F" w:rsidRPr="006C45AB" w:rsidRDefault="00143E1F" w:rsidP="00561249">
            <w:pPr>
              <w:ind w:left="54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Negatívne</w:t>
            </w:r>
          </w:p>
        </w:tc>
      </w:tr>
      <w:tr w:rsidR="00143E1F" w:rsidRPr="006C45AB" w14:paraId="314B636E" w14:textId="77777777" w:rsidTr="00561249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9D73FB0" w14:textId="77777777" w:rsidR="00143E1F" w:rsidRPr="006C45AB" w:rsidRDefault="00143E1F" w:rsidP="00561249">
            <w:pPr>
              <w:rPr>
                <w:rFonts w:cs="Times New Roman"/>
                <w:sz w:val="20"/>
                <w:szCs w:val="20"/>
                <w:lang w:eastAsia="en-US"/>
              </w:rPr>
            </w:pPr>
          </w:p>
          <w:p w14:paraId="21B30B52" w14:textId="77777777" w:rsidR="00143E1F" w:rsidRPr="006C45AB" w:rsidRDefault="00143E1F" w:rsidP="00561249">
            <w:pPr>
              <w:ind w:left="164"/>
              <w:rPr>
                <w:b/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6CC60E18" w14:textId="6FE99BD8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17AF99" w14:textId="77777777" w:rsidR="00143E1F" w:rsidRPr="006C45AB" w:rsidRDefault="00143E1F" w:rsidP="00561249">
            <w:pPr>
              <w:ind w:right="-108"/>
              <w:rPr>
                <w:b/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B8443D" w14:textId="77777777" w:rsidR="00143E1F" w:rsidRPr="006C45AB" w:rsidRDefault="00143E1F" w:rsidP="0056124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1ED930" w14:textId="77777777" w:rsidR="00143E1F" w:rsidRPr="006C45AB" w:rsidRDefault="00143E1F" w:rsidP="00561249">
            <w:pPr>
              <w:jc w:val="center"/>
              <w:rPr>
                <w:b/>
                <w:sz w:val="20"/>
                <w:szCs w:val="20"/>
              </w:rPr>
            </w:pP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4A7ED82F" w14:textId="3CA4298C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8636E" w14:textId="77777777" w:rsidR="00143E1F" w:rsidRPr="006C45AB" w:rsidRDefault="00143E1F" w:rsidP="00561249">
            <w:pPr>
              <w:ind w:left="54"/>
              <w:rPr>
                <w:b/>
                <w:sz w:val="20"/>
                <w:szCs w:val="20"/>
              </w:rPr>
            </w:pPr>
            <w:r w:rsidRPr="006C45AB">
              <w:rPr>
                <w:sz w:val="20"/>
                <w:szCs w:val="20"/>
              </w:rPr>
              <w:t>Nie</w:t>
            </w:r>
          </w:p>
        </w:tc>
      </w:tr>
      <w:tr w:rsidR="00143E1F" w:rsidRPr="006C45AB" w14:paraId="061ECD39" w14:textId="77777777" w:rsidTr="0056124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34323F2A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Vplyvy na informatizáciu spoločnosti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hideMark/>
              </w:tcPr>
              <w:p w14:paraId="06ADFDB0" w14:textId="0812DE46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E9EABB" w14:textId="77777777" w:rsidR="00143E1F" w:rsidRPr="006C45AB" w:rsidRDefault="00143E1F" w:rsidP="00561249">
            <w:pPr>
              <w:ind w:right="-108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37DEDEB4" w14:textId="7C18DC4E" w:rsidR="00143E1F" w:rsidRPr="006C45AB" w:rsidRDefault="00615C00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en-US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125FE7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67F609D1" w14:textId="3D1C25E9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37C27" w14:textId="77777777" w:rsidR="00143E1F" w:rsidRPr="006C45AB" w:rsidRDefault="00143E1F" w:rsidP="00561249">
            <w:pPr>
              <w:ind w:left="54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Negatívne</w:t>
            </w:r>
          </w:p>
        </w:tc>
      </w:tr>
    </w:tbl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143E1F" w:rsidRPr="006C45AB" w14:paraId="560E2CA4" w14:textId="77777777" w:rsidTr="0056124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66B3AA25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rFonts w:eastAsia="Calibri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5932E40" w14:textId="77777777" w:rsidR="00143E1F" w:rsidRPr="006C45AB" w:rsidRDefault="00143E1F" w:rsidP="00561249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621ACD" w14:textId="77777777" w:rsidR="00143E1F" w:rsidRPr="006C45AB" w:rsidRDefault="00143E1F" w:rsidP="00561249">
            <w:pPr>
              <w:ind w:right="-108"/>
              <w:rPr>
                <w:b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AB043D" w14:textId="77777777" w:rsidR="00143E1F" w:rsidRPr="006C45AB" w:rsidRDefault="00143E1F" w:rsidP="00561249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CE62DD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B395CC" w14:textId="77777777" w:rsidR="00143E1F" w:rsidRPr="006C45AB" w:rsidRDefault="00143E1F" w:rsidP="00561249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F8680F6" w14:textId="77777777" w:rsidR="00143E1F" w:rsidRPr="006C45AB" w:rsidRDefault="00143E1F" w:rsidP="00561249">
            <w:pPr>
              <w:ind w:left="54"/>
              <w:rPr>
                <w:b/>
                <w:sz w:val="20"/>
                <w:szCs w:val="20"/>
              </w:rPr>
            </w:pPr>
          </w:p>
        </w:tc>
      </w:tr>
      <w:tr w:rsidR="00143E1F" w:rsidRPr="006C45AB" w14:paraId="2B190D28" w14:textId="77777777" w:rsidTr="00561249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78D37028" w14:textId="77777777" w:rsidR="00143E1F" w:rsidRPr="006C45AB" w:rsidRDefault="00143E1F" w:rsidP="00561249">
            <w:pPr>
              <w:ind w:left="196" w:hanging="196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C45AB">
              <w:rPr>
                <w:rFonts w:eastAsia="Calibri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b/>
              <w:sz w:val="20"/>
              <w:szCs w:val="20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hideMark/>
              </w:tcPr>
              <w:p w14:paraId="6282B3E7" w14:textId="4FE9DF48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14:paraId="4B3C8B0B" w14:textId="77777777" w:rsidR="00143E1F" w:rsidRPr="006C45AB" w:rsidRDefault="00143E1F" w:rsidP="00561249">
            <w:pPr>
              <w:ind w:right="-108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6CAF14F0" w14:textId="4BF2A0B3" w:rsidR="00143E1F" w:rsidRPr="006C45AB" w:rsidRDefault="00615C00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MS Gothic" w:eastAsia="MS Gothic" w:hAnsi="MS Gothic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14:paraId="13C32344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402CA6B8" w14:textId="54BF4AD5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hideMark/>
          </w:tcPr>
          <w:p w14:paraId="0C04B178" w14:textId="77777777" w:rsidR="00143E1F" w:rsidRPr="006C45AB" w:rsidRDefault="00143E1F" w:rsidP="00561249">
            <w:pPr>
              <w:ind w:left="54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Negatívne</w:t>
            </w:r>
          </w:p>
        </w:tc>
      </w:tr>
      <w:tr w:rsidR="00143E1F" w:rsidRPr="006C45AB" w14:paraId="571EB251" w14:textId="77777777" w:rsidTr="00561249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7B1A72B9" w14:textId="77777777" w:rsidR="00143E1F" w:rsidRPr="006C45AB" w:rsidRDefault="00143E1F" w:rsidP="00561249">
            <w:pPr>
              <w:ind w:left="168" w:hanging="168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C45AB">
              <w:rPr>
                <w:rFonts w:eastAsia="Calibri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b/>
              <w:sz w:val="20"/>
              <w:szCs w:val="20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40B01014" w14:textId="0210014D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3D65A642" w14:textId="77777777" w:rsidR="00143E1F" w:rsidRPr="006C45AB" w:rsidRDefault="00143E1F" w:rsidP="00561249">
            <w:pPr>
              <w:ind w:right="-108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7FA80764" w14:textId="1B9BFFF6" w:rsidR="00143E1F" w:rsidRPr="006C45AB" w:rsidRDefault="00615C00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MS Gothic" w:eastAsia="MS Gothic" w:hAnsi="MS Gothic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6C308A3A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1D33B980" w14:textId="09B54246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646022AA" w14:textId="77777777" w:rsidR="00143E1F" w:rsidRPr="006C45AB" w:rsidRDefault="00143E1F" w:rsidP="00561249">
            <w:pPr>
              <w:ind w:left="54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Negatívne</w:t>
            </w:r>
          </w:p>
        </w:tc>
      </w:tr>
    </w:tbl>
    <w:tbl>
      <w:tblPr>
        <w:tblStyle w:val="Mriekatabuky1"/>
        <w:tblW w:w="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143E1F" w:rsidRPr="006C45AB" w14:paraId="7ADC96E8" w14:textId="77777777" w:rsidTr="00561249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4FABB01B" w14:textId="77777777" w:rsidR="00143E1F" w:rsidRPr="006C45AB" w:rsidRDefault="00143E1F" w:rsidP="00561249">
            <w:pPr>
              <w:rPr>
                <w:rFonts w:cs="Times New Roman"/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088FDE1E" w14:textId="43B6AA68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48E45E" w14:textId="77777777" w:rsidR="00143E1F" w:rsidRPr="006C45AB" w:rsidRDefault="00143E1F" w:rsidP="00561249">
            <w:pPr>
              <w:ind w:right="-108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116D97DC" w14:textId="05734270" w:rsidR="00143E1F" w:rsidRPr="006C45AB" w:rsidRDefault="00615C00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MS Gothic" w:eastAsia="MS Gothic" w:hAnsi="MS Gothic" w:cs="Times New Roman"/>
                    <w:b/>
                    <w:sz w:val="20"/>
                    <w:szCs w:val="20"/>
                    <w:lang w:eastAsia="en-US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677EC2" w14:textId="77777777" w:rsidR="00143E1F" w:rsidRPr="006C45AB" w:rsidRDefault="00143E1F" w:rsidP="00561249">
            <w:pPr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cs="Times New Roman"/>
              <w:b/>
              <w:sz w:val="20"/>
              <w:szCs w:val="20"/>
              <w:lang w:eastAsia="en-US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017695EC" w14:textId="7386A509" w:rsidR="00143E1F" w:rsidRPr="006C45AB" w:rsidRDefault="00143E1F" w:rsidP="00561249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6C45A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2301D" w14:textId="77777777" w:rsidR="00143E1F" w:rsidRPr="006C45AB" w:rsidRDefault="00143E1F" w:rsidP="00561249">
            <w:pPr>
              <w:ind w:left="54"/>
              <w:rPr>
                <w:b/>
                <w:sz w:val="20"/>
                <w:szCs w:val="20"/>
              </w:rPr>
            </w:pPr>
            <w:r w:rsidRPr="006C45AB">
              <w:rPr>
                <w:b/>
                <w:sz w:val="20"/>
                <w:szCs w:val="20"/>
              </w:rPr>
              <w:t>Negatívne</w:t>
            </w:r>
          </w:p>
        </w:tc>
      </w:tr>
    </w:tbl>
    <w:p w14:paraId="0D740609" w14:textId="5A2CD0BD" w:rsidR="002A1065" w:rsidRPr="006C45AB" w:rsidRDefault="002A1065" w:rsidP="006A5B48">
      <w:pPr>
        <w:rPr>
          <w:color w:val="000000" w:themeColor="text1"/>
          <w:szCs w:val="24"/>
        </w:rPr>
      </w:pPr>
    </w:p>
    <w:sectPr w:rsidR="002A1065" w:rsidRPr="006C4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Ansi="Times New Roman" w:cs="Times New Roman"/>
        <w:b/>
        <w:bCs/>
        <w:sz w:val="24"/>
        <w:szCs w:val="24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0A702B1A"/>
    <w:multiLevelType w:val="hybridMultilevel"/>
    <w:tmpl w:val="6A4C60D2"/>
    <w:lvl w:ilvl="0" w:tplc="A50C3DDC">
      <w:start w:val="1"/>
      <w:numFmt w:val="lowerRoman"/>
      <w:lvlText w:val="%1)"/>
      <w:lvlJc w:val="left"/>
      <w:pPr>
        <w:ind w:left="1064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4" w:hanging="360"/>
      </w:pPr>
    </w:lvl>
    <w:lvl w:ilvl="2" w:tplc="041B001B" w:tentative="1">
      <w:start w:val="1"/>
      <w:numFmt w:val="lowerRoman"/>
      <w:lvlText w:val="%3."/>
      <w:lvlJc w:val="right"/>
      <w:pPr>
        <w:ind w:left="2144" w:hanging="180"/>
      </w:pPr>
    </w:lvl>
    <w:lvl w:ilvl="3" w:tplc="041B000F" w:tentative="1">
      <w:start w:val="1"/>
      <w:numFmt w:val="decimal"/>
      <w:lvlText w:val="%4."/>
      <w:lvlJc w:val="left"/>
      <w:pPr>
        <w:ind w:left="2864" w:hanging="360"/>
      </w:pPr>
    </w:lvl>
    <w:lvl w:ilvl="4" w:tplc="041B0019" w:tentative="1">
      <w:start w:val="1"/>
      <w:numFmt w:val="lowerLetter"/>
      <w:lvlText w:val="%5."/>
      <w:lvlJc w:val="left"/>
      <w:pPr>
        <w:ind w:left="3584" w:hanging="360"/>
      </w:pPr>
    </w:lvl>
    <w:lvl w:ilvl="5" w:tplc="041B001B" w:tentative="1">
      <w:start w:val="1"/>
      <w:numFmt w:val="lowerRoman"/>
      <w:lvlText w:val="%6."/>
      <w:lvlJc w:val="right"/>
      <w:pPr>
        <w:ind w:left="4304" w:hanging="180"/>
      </w:pPr>
    </w:lvl>
    <w:lvl w:ilvl="6" w:tplc="041B000F" w:tentative="1">
      <w:start w:val="1"/>
      <w:numFmt w:val="decimal"/>
      <w:lvlText w:val="%7."/>
      <w:lvlJc w:val="left"/>
      <w:pPr>
        <w:ind w:left="5024" w:hanging="360"/>
      </w:pPr>
    </w:lvl>
    <w:lvl w:ilvl="7" w:tplc="041B0019" w:tentative="1">
      <w:start w:val="1"/>
      <w:numFmt w:val="lowerLetter"/>
      <w:lvlText w:val="%8."/>
      <w:lvlJc w:val="left"/>
      <w:pPr>
        <w:ind w:left="5744" w:hanging="360"/>
      </w:pPr>
    </w:lvl>
    <w:lvl w:ilvl="8" w:tplc="041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2" w15:restartNumberingAfterBreak="0">
    <w:nsid w:val="302A7ED7"/>
    <w:multiLevelType w:val="hybridMultilevel"/>
    <w:tmpl w:val="CCF69E7E"/>
    <w:lvl w:ilvl="0" w:tplc="11CAB12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C9438CE"/>
    <w:multiLevelType w:val="hybridMultilevel"/>
    <w:tmpl w:val="13E83206"/>
    <w:lvl w:ilvl="0" w:tplc="86DADF1E">
      <w:start w:val="1"/>
      <w:numFmt w:val="upperRoman"/>
      <w:lvlText w:val="%1."/>
      <w:lvlJc w:val="left"/>
      <w:pPr>
        <w:ind w:left="1080" w:hanging="720"/>
      </w:pPr>
      <w:rPr>
        <w:strike w:val="0"/>
        <w:dstrike w:val="0"/>
        <w:u w:val="none"/>
        <w:effect w:val="none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9C1116"/>
    <w:multiLevelType w:val="hybridMultilevel"/>
    <w:tmpl w:val="682275E2"/>
    <w:lvl w:ilvl="0" w:tplc="E4F4E0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7F35D8"/>
    <w:multiLevelType w:val="hybridMultilevel"/>
    <w:tmpl w:val="3D78B12E"/>
    <w:lvl w:ilvl="0" w:tplc="041B0001">
      <w:start w:val="1"/>
      <w:numFmt w:val="bullet"/>
      <w:lvlText w:val=""/>
      <w:lvlJc w:val="left"/>
      <w:pPr>
        <w:ind w:left="185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6" w15:restartNumberingAfterBreak="0">
    <w:nsid w:val="740C3850"/>
    <w:multiLevelType w:val="hybridMultilevel"/>
    <w:tmpl w:val="CCF69E7E"/>
    <w:lvl w:ilvl="0" w:tplc="11CAB12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E1F"/>
    <w:rsid w:val="00013D90"/>
    <w:rsid w:val="000565D8"/>
    <w:rsid w:val="000632E0"/>
    <w:rsid w:val="00081E69"/>
    <w:rsid w:val="000A241E"/>
    <w:rsid w:val="0010563C"/>
    <w:rsid w:val="00143E1F"/>
    <w:rsid w:val="00165289"/>
    <w:rsid w:val="001D5BCD"/>
    <w:rsid w:val="001F2667"/>
    <w:rsid w:val="001F5EAE"/>
    <w:rsid w:val="00206CF5"/>
    <w:rsid w:val="00243718"/>
    <w:rsid w:val="00262428"/>
    <w:rsid w:val="00267DB5"/>
    <w:rsid w:val="0027145D"/>
    <w:rsid w:val="00272851"/>
    <w:rsid w:val="00281348"/>
    <w:rsid w:val="002A1065"/>
    <w:rsid w:val="002A399F"/>
    <w:rsid w:val="002B14E2"/>
    <w:rsid w:val="002B74DB"/>
    <w:rsid w:val="002E000E"/>
    <w:rsid w:val="002E63B3"/>
    <w:rsid w:val="002F7EA1"/>
    <w:rsid w:val="00344516"/>
    <w:rsid w:val="00351F36"/>
    <w:rsid w:val="0035491E"/>
    <w:rsid w:val="00376491"/>
    <w:rsid w:val="003A0E00"/>
    <w:rsid w:val="003B413C"/>
    <w:rsid w:val="003E01FC"/>
    <w:rsid w:val="004047C2"/>
    <w:rsid w:val="004144AF"/>
    <w:rsid w:val="00414913"/>
    <w:rsid w:val="00414F32"/>
    <w:rsid w:val="004A588B"/>
    <w:rsid w:val="004D6261"/>
    <w:rsid w:val="004E2316"/>
    <w:rsid w:val="0059342B"/>
    <w:rsid w:val="00615C00"/>
    <w:rsid w:val="006239DC"/>
    <w:rsid w:val="0062555F"/>
    <w:rsid w:val="006469E5"/>
    <w:rsid w:val="00654A00"/>
    <w:rsid w:val="00670F52"/>
    <w:rsid w:val="00671041"/>
    <w:rsid w:val="00687786"/>
    <w:rsid w:val="006A5B48"/>
    <w:rsid w:val="006C45AB"/>
    <w:rsid w:val="00791DA4"/>
    <w:rsid w:val="007A5BEC"/>
    <w:rsid w:val="007B379B"/>
    <w:rsid w:val="007E5F7B"/>
    <w:rsid w:val="007F0A49"/>
    <w:rsid w:val="00865F90"/>
    <w:rsid w:val="009850B1"/>
    <w:rsid w:val="00A1799F"/>
    <w:rsid w:val="00A42886"/>
    <w:rsid w:val="00A75156"/>
    <w:rsid w:val="00A818C7"/>
    <w:rsid w:val="00A83DEB"/>
    <w:rsid w:val="00AC0EA3"/>
    <w:rsid w:val="00AF7B1F"/>
    <w:rsid w:val="00B12E33"/>
    <w:rsid w:val="00B72FB8"/>
    <w:rsid w:val="00B77D16"/>
    <w:rsid w:val="00B82280"/>
    <w:rsid w:val="00BB44AC"/>
    <w:rsid w:val="00CA48B3"/>
    <w:rsid w:val="00CF16BA"/>
    <w:rsid w:val="00D433B0"/>
    <w:rsid w:val="00D517C3"/>
    <w:rsid w:val="00D74FAE"/>
    <w:rsid w:val="00D961CE"/>
    <w:rsid w:val="00DD08C3"/>
    <w:rsid w:val="00E04561"/>
    <w:rsid w:val="00E2424E"/>
    <w:rsid w:val="00E37471"/>
    <w:rsid w:val="00E758B5"/>
    <w:rsid w:val="00E82848"/>
    <w:rsid w:val="00EB5461"/>
    <w:rsid w:val="00F36F57"/>
    <w:rsid w:val="00F750B5"/>
    <w:rsid w:val="00FC7935"/>
    <w:rsid w:val="00FE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B13DA"/>
  <w15:chartTrackingRefBased/>
  <w15:docId w15:val="{AFC765B6-99D6-433A-9FD7-196C6A58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43E1F"/>
    <w:pPr>
      <w:spacing w:line="252" w:lineRule="auto"/>
      <w:jc w:val="both"/>
    </w:pPr>
    <w:rPr>
      <w:rFonts w:ascii="Times New Roman" w:eastAsia="Times New Roman" w:hAnsi="Times New Roman" w:cs="Calibri"/>
      <w:color w:val="000000"/>
      <w:sz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ormlnywebovChar">
    <w:name w:val="Normálny (webový) Char"/>
    <w:aliases w:val="webb Char,Normálny (WWW) Char"/>
    <w:link w:val="Normlnywebov"/>
    <w:uiPriority w:val="99"/>
    <w:semiHidden/>
    <w:locked/>
    <w:rsid w:val="00143E1F"/>
    <w:rPr>
      <w:rFonts w:ascii="Times New Roman" w:hAnsi="Times New Roman" w:cs="Times New Roman"/>
      <w:color w:val="000000"/>
      <w:sz w:val="24"/>
      <w:szCs w:val="24"/>
    </w:rPr>
  </w:style>
  <w:style w:type="paragraph" w:styleId="Normlnywebov">
    <w:name w:val="Normal (Web)"/>
    <w:aliases w:val="webb,Normálny (WWW)"/>
    <w:basedOn w:val="Normlny"/>
    <w:link w:val="NormlnywebovChar"/>
    <w:uiPriority w:val="99"/>
    <w:semiHidden/>
    <w:unhideWhenUsed/>
    <w:qFormat/>
    <w:rsid w:val="00143E1F"/>
    <w:pPr>
      <w:spacing w:before="100" w:beforeAutospacing="1" w:after="100" w:afterAutospacing="1" w:line="240" w:lineRule="auto"/>
    </w:pPr>
    <w:rPr>
      <w:rFonts w:eastAsiaTheme="minorHAnsi" w:cs="Times New Roman"/>
      <w:szCs w:val="24"/>
      <w:lang w:eastAsia="en-US"/>
    </w:rPr>
  </w:style>
  <w:style w:type="character" w:customStyle="1" w:styleId="OdsekzoznamuChar">
    <w:name w:val="Odsek zoznamu Char"/>
    <w:aliases w:val="Dot pt Char,No Spacing1 Char,List Paragraph Char Char Char Char,Indicator Text Char,Numbered Para 1 Char,List Paragraph à moi Char,Odsek zoznamu4 Char,LISTA Char,List Paragraph1 Char,Listaszerû bekezdés2 Char,Listaszerû bekezdés3 Char"/>
    <w:link w:val="Odsekzoznamu"/>
    <w:uiPriority w:val="34"/>
    <w:qFormat/>
    <w:locked/>
    <w:rsid w:val="00143E1F"/>
    <w:rPr>
      <w:rFonts w:ascii="Times New Roman" w:hAnsi="Times New Roman" w:cs="Times New Roman"/>
      <w:color w:val="000000"/>
      <w:sz w:val="24"/>
    </w:rPr>
  </w:style>
  <w:style w:type="paragraph" w:styleId="Odsekzoznamu">
    <w:name w:val="List Paragraph"/>
    <w:aliases w:val="Dot pt,No Spacing1,List Paragraph Char Char Char,Indicator Text,Numbered Para 1,List Paragraph à moi,Odsek zoznamu4,LISTA,List Paragraph1,Listaszerû bekezdés2,Listaszerû bekezdés3,Listaszerû bekezdés1,Bullet 1,Bullet Points,MAIN CONTENT,3"/>
    <w:basedOn w:val="Normlny"/>
    <w:link w:val="OdsekzoznamuChar"/>
    <w:uiPriority w:val="34"/>
    <w:qFormat/>
    <w:rsid w:val="00143E1F"/>
    <w:pPr>
      <w:spacing w:line="256" w:lineRule="auto"/>
      <w:ind w:left="720"/>
      <w:contextualSpacing/>
    </w:pPr>
    <w:rPr>
      <w:rFonts w:eastAsiaTheme="minorHAnsi" w:cs="Times New Roman"/>
      <w:lang w:eastAsia="en-US"/>
    </w:rPr>
  </w:style>
  <w:style w:type="paragraph" w:customStyle="1" w:styleId="Vchodzie">
    <w:name w:val="Vchodzie"/>
    <w:uiPriority w:val="99"/>
    <w:qFormat/>
    <w:rsid w:val="00143E1F"/>
    <w:pPr>
      <w:autoSpaceDE w:val="0"/>
      <w:autoSpaceDN w:val="0"/>
      <w:adjustRightInd w:val="0"/>
      <w:spacing w:after="200" w:line="276" w:lineRule="auto"/>
    </w:pPr>
    <w:rPr>
      <w:rFonts w:ascii="Calibri" w:eastAsia="Times New Roman" w:hAnsi="Calibri" w:cs="Calibri"/>
      <w:lang w:eastAsia="zh-CN"/>
    </w:rPr>
  </w:style>
  <w:style w:type="table" w:customStyle="1" w:styleId="Mriekatabuky1">
    <w:name w:val="Mriežka tabuľky1"/>
    <w:basedOn w:val="Normlnatabuka"/>
    <w:uiPriority w:val="59"/>
    <w:rsid w:val="00143E1F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74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74FAE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6469E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469E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469E5"/>
    <w:rPr>
      <w:rFonts w:ascii="Times New Roman" w:eastAsia="Times New Roman" w:hAnsi="Times New Roman" w:cs="Calibri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469E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469E5"/>
    <w:rPr>
      <w:rFonts w:ascii="Times New Roman" w:eastAsia="Times New Roman" w:hAnsi="Times New Roman" w:cs="Calibri"/>
      <w:b/>
      <w:bCs/>
      <w:color w:val="000000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A7EDF-411E-4795-9BCE-F58641B78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1619</Words>
  <Characters>9233</Characters>
  <Application>Microsoft Office Word</Application>
  <DocSecurity>0</DocSecurity>
  <Lines>76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Jakobyová, Viera</cp:lastModifiedBy>
  <cp:revision>22</cp:revision>
  <dcterms:created xsi:type="dcterms:W3CDTF">2026-08-07T10:45:00Z</dcterms:created>
  <dcterms:modified xsi:type="dcterms:W3CDTF">2026-08-24T07:12:00Z</dcterms:modified>
</cp:coreProperties>
</file>