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C28E0" w14:textId="77777777" w:rsidR="00E72B3F" w:rsidRDefault="00E33759">
      <w:pPr>
        <w:spacing w:after="200"/>
        <w:jc w:val="center"/>
      </w:pPr>
      <w:r>
        <w:rPr>
          <w:b/>
          <w:bCs/>
          <w:sz w:val="28"/>
          <w:szCs w:val="28"/>
        </w:rPr>
        <w:t>Dôvodová správa</w:t>
      </w:r>
    </w:p>
    <w:p w14:paraId="64B8C415" w14:textId="77777777" w:rsidR="00E72B3F" w:rsidRDefault="00E33759">
      <w:pPr>
        <w:spacing w:after="360"/>
        <w:jc w:val="center"/>
      </w:pPr>
      <w:r>
        <w:rPr>
          <w:b/>
          <w:bCs/>
          <w:sz w:val="26"/>
          <w:szCs w:val="26"/>
        </w:rPr>
        <w:t>Všeobecná časť</w:t>
      </w:r>
    </w:p>
    <w:p w14:paraId="1F474800" w14:textId="77777777" w:rsidR="00E72B3F" w:rsidRDefault="00E33759" w:rsidP="000A3677">
      <w:pPr>
        <w:spacing w:after="240" w:line="276" w:lineRule="auto"/>
        <w:ind w:firstLine="708"/>
        <w:jc w:val="both"/>
      </w:pPr>
      <w:r>
        <w:t>Návrh vyhlášky Ministerstva zdravotníctva Slovenskej republiky, ktorou sa mení a dopĺňa vyhláška Ministerstva zdravotníctva Slovenskej republiky č. 422/2011 Z. z. o podrobnostiach farmako-ekonomického rozboru lieku v znení vyhlášky č. 177/2021 Z. z. (ďalej len „návrh vyhlášky“), sa predkladá ako iniciatívny materiál v súvislosti s pripravovanou novelou zákona č. 363/2011 Z. z. o rozsahu a podmienkach úhrady liekov, zdravotníckych pomôcok a dietetických potravín na základe verejného zdravotného poistenia a o zmene a doplnení niektorých zákonov v znení neskorších predpisov (ďalej len „zákon č. 363/2011 Z. z.“) a so skúsenosťami z aplikačnej praxe po vzniku Národného inštitútu pre hodnotu a technológie v zdravotníctve (ďalej len „NIHO“).</w:t>
      </w:r>
    </w:p>
    <w:p w14:paraId="0CA1FC4C" w14:textId="77777777" w:rsidR="00E72B3F" w:rsidRDefault="00E33759" w:rsidP="000A3677">
      <w:pPr>
        <w:spacing w:after="240" w:line="276" w:lineRule="auto"/>
        <w:ind w:firstLine="708"/>
        <w:jc w:val="both"/>
      </w:pPr>
      <w:r>
        <w:t>Platná vyhláška č. 422/2011 Z. z. upravuje obsahové a metodické náležitosti farmako-ekonomického rozboru lieku predkladaného v procese kategorizácie liekov. Zo spoločenského a ekonomického hľadiska ide o kľúčový podklad na posúdenie nákladovej efektívnosti lieku a vplyvu na rozpočet verejného zdravotného poistenia. Z právneho hľadiska vyhláška po nadobudnutí účinnosti pripravovanej novely zákona č. 363/2011 Z. z. nebude v niektorých častiach zodpovedať novej zákonnej úprave, najmä pokiaľ ide o pojem relevantný komparátor a spôsoby preukázania nákladovej efektívnosti. V aplikačnej praxi sa zároveň ukázala potreba spresniť požiadavky na preukázanie klinického prínosu, na analýzu citlivosti a na posúdenie štrukturálnej a metodickej neistoty.</w:t>
      </w:r>
    </w:p>
    <w:p w14:paraId="3D58B059" w14:textId="77777777" w:rsidR="00E72B3F" w:rsidRDefault="00E33759" w:rsidP="000A3677">
      <w:pPr>
        <w:spacing w:after="240" w:line="276" w:lineRule="auto"/>
        <w:ind w:firstLine="708"/>
        <w:jc w:val="both"/>
      </w:pPr>
      <w:r>
        <w:t>Cieľom návrhu vyhlášky je zabezpečiť terminologický a vecný súlad s zákonom č. 363/2011 Z. z. a vytvoriť primeraný legislatívny rámec pre aktuálne metodické požiadavky na farmako-ekonomické hodnotenie. Návrh premieta skúsenosti z hodnotiacej a rozhodovacej praxe NIHO a medzinárodne uznávané metodické štandardy. Zásah do práv adresátov spočíva predovšetkým v spresnení povinností držiteľa registrácie pri príprave farmako-ekonomického rozboru; tento zásah je primeraný účelu úpravy, ktorým je predvídateľné, overiteľné a jednotné posudzovanie liekov hradených z verejného zdravotného poistenia.</w:t>
      </w:r>
    </w:p>
    <w:p w14:paraId="0E721DC7" w14:textId="77777777" w:rsidR="00E72B3F" w:rsidRDefault="00E33759" w:rsidP="000A3677">
      <w:pPr>
        <w:spacing w:after="240" w:line="276" w:lineRule="auto"/>
        <w:ind w:firstLine="708"/>
        <w:jc w:val="both"/>
      </w:pPr>
      <w:r>
        <w:t>Predmetom návrhu vyhlášky je najmä úprava preukazovania klinického prínosu liečby aj na základe sekundárnych ukazovateľov účinnosti a ukazovateľov bezpečnosti, zosúladenie úpravy porovnania nákladov s pojmom relevantný komparátor, zníženie diskontnej sadzby z 5 % na 3,5 % ročne, zavedenie povinnosti vykonať analýzu scenárov, spresnenie analýzy citlivosti o pravdepodobnostnú analýzu citlivosti, umožnenie preukázania účinnosti a bezpečnosti aj nepriamymi porovnaniami a vypustenie požiadavky na uvádzanie výšky úhrady lieku v iných členských štátoch Európskej únie. Návrh bližšie upravuje určenie relevantného komparátora, vrátane lieku hradeného na základe výnimky, lieku kategorizovaného podľa § 7 ods. 5 zákona č. 363/2011 Z. z. a očakávaného relevantného komparátora. Súčasťou návrhu je zaradenie metodickej príručky a šablóny farmako-ekonomického rozboru ako príloh vyhlášky.</w:t>
      </w:r>
    </w:p>
    <w:p w14:paraId="4AED0DCB" w14:textId="77777777" w:rsidR="00E72B3F" w:rsidRDefault="00E33759" w:rsidP="000A3677">
      <w:pPr>
        <w:spacing w:after="240" w:line="276" w:lineRule="auto"/>
        <w:ind w:firstLine="708"/>
        <w:jc w:val="both"/>
      </w:pPr>
      <w:r>
        <w:t xml:space="preserve">Navrhované zmeny prispejú k vyššej transparentnosti a predvídateľnosti požiadaviek na farmako-ekonomické hodnotenie, k zvýšeniu kvality predkladaných farmako-ekonomických </w:t>
      </w:r>
      <w:r>
        <w:lastRenderedPageBreak/>
        <w:t>rozborov a k jednotnejšiemu uplatňovaniu metodických požiadaviek v procese hodnotenia liekov. Návrh sa vykoná jeho vyhlásením v Zbierke zákonov Slovenskej republiky a následným uplatňovaním v konaniach o kategorizácii liekov.</w:t>
      </w:r>
    </w:p>
    <w:p w14:paraId="03370EEC" w14:textId="77777777" w:rsidR="00E72B3F" w:rsidRDefault="00E33759" w:rsidP="000A3677">
      <w:pPr>
        <w:spacing w:after="240" w:line="276" w:lineRule="auto"/>
        <w:ind w:firstLine="708"/>
        <w:jc w:val="both"/>
      </w:pPr>
      <w:r>
        <w:t>Návrh vyhlášky je v súlade s Ústavou Slovenskej republiky, ústavnými zákonmi a nálezmi Ústavného súdu Slovenskej republiky, inými zákonmi a ostatnými všeobecne záväznými právnymi predpismi Slovenskej republiky, s právom Európskej únie a s medzinárodnými zmluvami, ktorými je Slovenská republika viazaná. Návrh vyhlášky osobitne nadväzuje na zákon č. 363/2011 Z. z. a nie je v rozpore s medzinárodnými dokumentmi, ktorými je Slovenská republika viazaná v oblasti verejného zdravotného poistenia a hodnotenia zdravotníckych technológií.</w:t>
      </w:r>
    </w:p>
    <w:p w14:paraId="724435F8" w14:textId="77777777" w:rsidR="00E72B3F" w:rsidRDefault="00E33759" w:rsidP="000A3677">
      <w:pPr>
        <w:spacing w:after="240" w:line="276" w:lineRule="auto"/>
        <w:ind w:firstLine="708"/>
        <w:jc w:val="both"/>
      </w:pPr>
      <w:r>
        <w:t>Návrh vyhlášky nie je predmetom vnútrokomunitárneho pripomienkového konania, keďže nejde o technický predpis podľa osobitného predpisu upravujúceho poskytovanie informácií v oblasti technických predpisov a predpisov o normách.</w:t>
      </w:r>
    </w:p>
    <w:p w14:paraId="3DD75AD1" w14:textId="00D225D2" w:rsidR="00E72B3F" w:rsidRDefault="00E33759" w:rsidP="000A3677">
      <w:pPr>
        <w:spacing w:after="240" w:line="276" w:lineRule="auto"/>
        <w:ind w:firstLine="708"/>
        <w:jc w:val="both"/>
      </w:pPr>
      <w:r>
        <w:t>Návrh vyhlášky nemá vplyv na rozpočet verejnej správy</w:t>
      </w:r>
      <w:r w:rsidR="000544D3">
        <w:t>,</w:t>
      </w:r>
      <w:r>
        <w:t xml:space="preserve"> životné prostredie, informatizáciu spoločnosti, služby verejnej správy pre občana, manželstvo, rodičovstvo a rodinu.</w:t>
      </w:r>
      <w:r w:rsidR="007E07C5">
        <w:t xml:space="preserve"> </w:t>
      </w:r>
      <w:r w:rsidR="007E07C5" w:rsidRPr="007E07C5">
        <w:t>Návrh vyhlášky má pozitívne a negatívne vplyvy na podnikateľské prostredie</w:t>
      </w:r>
      <w:r w:rsidR="007E07C5">
        <w:t xml:space="preserve"> a pozitívne sociálne vplyvy.</w:t>
      </w:r>
    </w:p>
    <w:p w14:paraId="09C3C7BD" w14:textId="489709DC" w:rsidR="00E72B3F" w:rsidRDefault="00E33759" w:rsidP="000A3677">
      <w:pPr>
        <w:spacing w:after="240" w:line="276" w:lineRule="auto"/>
        <w:ind w:firstLine="708"/>
        <w:jc w:val="both"/>
      </w:pPr>
      <w:r>
        <w:t>Dátum nadobudnutia účinnosti sa navrhuje na 1. decembra 2026 tak, aby sa zabezpečila legisvakancia</w:t>
      </w:r>
      <w:r w:rsidR="000A3677">
        <w:t xml:space="preserve"> a čo najskoršie</w:t>
      </w:r>
      <w:r>
        <w:t xml:space="preserve"> zosúladenie s novelou zákona č. 363/2011 Z. z.</w:t>
      </w:r>
    </w:p>
    <w:sectPr w:rsidR="00E72B3F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4E06F5"/>
    <w:multiLevelType w:val="hybridMultilevel"/>
    <w:tmpl w:val="41B4E746"/>
    <w:lvl w:ilvl="0" w:tplc="0F8CBF76">
      <w:start w:val="1"/>
      <w:numFmt w:val="bullet"/>
      <w:lvlText w:val="●"/>
      <w:lvlJc w:val="left"/>
      <w:pPr>
        <w:ind w:left="720" w:hanging="360"/>
      </w:pPr>
    </w:lvl>
    <w:lvl w:ilvl="1" w:tplc="B12EC720">
      <w:start w:val="1"/>
      <w:numFmt w:val="bullet"/>
      <w:lvlText w:val="○"/>
      <w:lvlJc w:val="left"/>
      <w:pPr>
        <w:ind w:left="1440" w:hanging="360"/>
      </w:pPr>
    </w:lvl>
    <w:lvl w:ilvl="2" w:tplc="C89A39A6">
      <w:start w:val="1"/>
      <w:numFmt w:val="bullet"/>
      <w:lvlText w:val="■"/>
      <w:lvlJc w:val="left"/>
      <w:pPr>
        <w:ind w:left="2160" w:hanging="360"/>
      </w:pPr>
    </w:lvl>
    <w:lvl w:ilvl="3" w:tplc="F168A66E">
      <w:start w:val="1"/>
      <w:numFmt w:val="bullet"/>
      <w:lvlText w:val="●"/>
      <w:lvlJc w:val="left"/>
      <w:pPr>
        <w:ind w:left="2880" w:hanging="360"/>
      </w:pPr>
    </w:lvl>
    <w:lvl w:ilvl="4" w:tplc="601EDFA0">
      <w:start w:val="1"/>
      <w:numFmt w:val="bullet"/>
      <w:lvlText w:val="○"/>
      <w:lvlJc w:val="left"/>
      <w:pPr>
        <w:ind w:left="3600" w:hanging="360"/>
      </w:pPr>
    </w:lvl>
    <w:lvl w:ilvl="5" w:tplc="85709738">
      <w:start w:val="1"/>
      <w:numFmt w:val="bullet"/>
      <w:lvlText w:val="■"/>
      <w:lvlJc w:val="left"/>
      <w:pPr>
        <w:ind w:left="4320" w:hanging="360"/>
      </w:pPr>
    </w:lvl>
    <w:lvl w:ilvl="6" w:tplc="DD9645EC">
      <w:start w:val="1"/>
      <w:numFmt w:val="bullet"/>
      <w:lvlText w:val="●"/>
      <w:lvlJc w:val="left"/>
      <w:pPr>
        <w:ind w:left="5040" w:hanging="360"/>
      </w:pPr>
    </w:lvl>
    <w:lvl w:ilvl="7" w:tplc="CB700C14">
      <w:start w:val="1"/>
      <w:numFmt w:val="bullet"/>
      <w:lvlText w:val="●"/>
      <w:lvlJc w:val="left"/>
      <w:pPr>
        <w:ind w:left="5760" w:hanging="360"/>
      </w:pPr>
    </w:lvl>
    <w:lvl w:ilvl="8" w:tplc="B4907AE6">
      <w:start w:val="1"/>
      <w:numFmt w:val="bullet"/>
      <w:lvlText w:val="●"/>
      <w:lvlJc w:val="left"/>
      <w:pPr>
        <w:ind w:left="6480" w:hanging="360"/>
      </w:pPr>
    </w:lvl>
  </w:abstractNum>
  <w:num w:numId="1" w16cid:durableId="57088722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B3F"/>
    <w:rsid w:val="000544D3"/>
    <w:rsid w:val="000A3677"/>
    <w:rsid w:val="0020003C"/>
    <w:rsid w:val="007E07C5"/>
    <w:rsid w:val="00812A7C"/>
    <w:rsid w:val="00992276"/>
    <w:rsid w:val="00E33759"/>
    <w:rsid w:val="00E7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242FA"/>
  <w15:docId w15:val="{32F1ECC5-28C2-4FFD-A4CD-92FA4F5DA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dpis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dpis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Nadpis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dpis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dpis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uiPriority w:val="10"/>
    <w:qFormat/>
    <w:rPr>
      <w:sz w:val="56"/>
      <w:szCs w:val="56"/>
    </w:rPr>
  </w:style>
  <w:style w:type="paragraph" w:customStyle="1" w:styleId="Vrazn1">
    <w:name w:val="Výrazný1"/>
    <w:qFormat/>
    <w:rPr>
      <w:b/>
      <w:bCs/>
    </w:rPr>
  </w:style>
  <w:style w:type="paragraph" w:styleId="Odsekzoznamu">
    <w:name w:val="List Paragraph"/>
    <w:qFormat/>
  </w:style>
  <w:style w:type="character" w:styleId="Hypertextovprepojenie">
    <w:name w:val="Hyperlink"/>
    <w:uiPriority w:val="99"/>
    <w:unhideWhenUsed/>
    <w:rPr>
      <w:color w:val="0563C1"/>
      <w:u w:val="single"/>
    </w:rPr>
  </w:style>
  <w:style w:type="character" w:styleId="Odkaznapoznmkupodiarou">
    <w:name w:val="footnote reference"/>
    <w:uiPriority w:val="99"/>
    <w:semiHidden/>
    <w:unhideWhenUsed/>
    <w:rPr>
      <w:vertAlign w:val="superscript"/>
    </w:rPr>
  </w:style>
  <w:style w:type="paragraph" w:styleId="Textpoznmkypodiarou">
    <w:name w:val="footnote text"/>
    <w:link w:val="TextpoznmkypodiarouChar"/>
    <w:uiPriority w:val="99"/>
    <w:semiHidden/>
    <w:unhideWhenUsed/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semiHidden/>
    <w:unhideWhenUsed/>
    <w:rPr>
      <w:sz w:val="20"/>
      <w:szCs w:val="20"/>
    </w:rPr>
  </w:style>
  <w:style w:type="character" w:styleId="Odkaznavysvetlivku">
    <w:name w:val="endnote reference"/>
    <w:uiPriority w:val="99"/>
    <w:semiHidden/>
    <w:unhideWhenUsed/>
    <w:rPr>
      <w:vertAlign w:val="superscript"/>
    </w:rPr>
  </w:style>
  <w:style w:type="paragraph" w:styleId="Textvysvetlivky">
    <w:name w:val="endnote text"/>
    <w:link w:val="TextvysvetlivkyChar"/>
    <w:uiPriority w:val="99"/>
    <w:semiHidden/>
    <w:unhideWhenUsed/>
    <w:rPr>
      <w:sz w:val="20"/>
      <w:szCs w:val="20"/>
    </w:rPr>
  </w:style>
  <w:style w:type="character" w:customStyle="1" w:styleId="TextvysvetlivkyChar">
    <w:name w:val="Text vysvetlivky Char"/>
    <w:link w:val="Textvysvetlivky"/>
    <w:uiPriority w:val="99"/>
    <w:semiHidden/>
    <w:unhideWhenUsed/>
    <w:rPr>
      <w:sz w:val="20"/>
      <w:szCs w:val="20"/>
    </w:rPr>
  </w:style>
  <w:style w:type="paragraph" w:styleId="Revzia">
    <w:name w:val="Revision"/>
    <w:hidden/>
    <w:uiPriority w:val="99"/>
    <w:semiHidden/>
    <w:rsid w:val="000A3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3_Dovodova_sprava_vseobecna_422_2011"/>
    <f:field ref="objname" text="03_Dovodova_sprava_vseobecna_422_2011" edit="true"/>
    <f:field ref="objsubject" text="" edit="true"/>
    <f:field ref="objcreatedby" text="Bohácseková, Soňa, Mgr."/>
    <f:field ref="objcreatedat" date="2026-10-07T12:54:39" text="7.10.2026 12:54:39"/>
    <f:field ref="objchangedby" text="Kidala, Viktor, Mgr. "/>
    <f:field ref="objmodifiedat" date="2026-10-07T13:44:24" text="7.10.2026 13:44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686</Words>
  <Characters>3915</Characters>
  <Application>Microsoft Office Word</Application>
  <DocSecurity>0</DocSecurity>
  <Lines>32</Lines>
  <Paragraphs>9</Paragraphs>
  <ScaleCrop>false</ScaleCrop>
  <Company>MZSR</Company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Melich</dc:creator>
  <cp:lastModifiedBy>Kidala Viktor</cp:lastModifiedBy>
  <cp:revision>4</cp:revision>
  <dcterms:created xsi:type="dcterms:W3CDTF">2026-09-15T14:32:00Z</dcterms:created>
  <dcterms:modified xsi:type="dcterms:W3CDTF">2026-10-07T12:31:00Z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Mário Fraňo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7. 10. 2026, 12:54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Mgr.  Viktor Kidala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Mário Fraňo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OL (Odbor legislatívny)</vt:lpwstr>
  </property>
  <property fmtid="{D5CDD505-2E9C-101B-9397-08002B2CF9AE}" pid="346" name="FSC#COOELAK@1.1001:CreatedAt">
    <vt:lpwstr>07.10.2026</vt:lpwstr>
  </property>
  <property fmtid="{D5CDD505-2E9C-101B-9397-08002B2CF9AE}" pid="347" name="FSC#COOELAK@1.1001:OU">
    <vt:lpwstr>OL (Odbor legislatívny)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*COO.2289.100.3.5085937*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7</vt:lpwstr>
  </property>
  <property fmtid="{D5CDD505-2E9C-101B-9397-08002B2CF9AE}" pid="366" name="FSC#COOELAK@1.1001:CurrentUserEmail">
    <vt:lpwstr>viktor.kidala@health.gov.sk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COO.2289.100.3.5085937</vt:lpwstr>
  </property>
  <property fmtid="{D5CDD505-2E9C-101B-9397-08002B2CF9AE}" pid="402" name="FSC#FSCFOLIO@1.1001:docpropproject">
    <vt:lpwstr/>
  </property>
</Properties>
</file>