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36355" w14:textId="77777777" w:rsidR="00156D45" w:rsidRPr="006D569F" w:rsidRDefault="00156D45" w:rsidP="00156D45">
      <w:pPr>
        <w:spacing w:before="120" w:after="160"/>
        <w:jc w:val="both"/>
        <w:rPr>
          <w:rFonts w:eastAsia="Calibri"/>
          <w:b/>
          <w:lang w:eastAsia="en-US"/>
        </w:rPr>
      </w:pPr>
      <w:r w:rsidRPr="006D569F">
        <w:rPr>
          <w:rFonts w:eastAsia="Calibri"/>
          <w:b/>
          <w:lang w:eastAsia="en-US"/>
        </w:rPr>
        <w:t>B. Osobitná časť</w:t>
      </w:r>
    </w:p>
    <w:p w14:paraId="7F4C0488" w14:textId="77777777" w:rsidR="00D67570" w:rsidRDefault="00D67570" w:rsidP="001C5C19">
      <w:pPr>
        <w:spacing w:before="120" w:after="160"/>
        <w:jc w:val="both"/>
        <w:rPr>
          <w:rFonts w:eastAsia="Calibri"/>
          <w:lang w:eastAsia="en-US"/>
        </w:rPr>
      </w:pPr>
    </w:p>
    <w:p w14:paraId="19784FCF" w14:textId="781957D8" w:rsidR="001C5C19" w:rsidRDefault="001C5C19" w:rsidP="001C5C19">
      <w:pPr>
        <w:spacing w:before="120" w:after="160"/>
        <w:jc w:val="both"/>
        <w:rPr>
          <w:rFonts w:eastAsia="Calibri"/>
          <w:lang w:eastAsia="en-US"/>
        </w:rPr>
      </w:pPr>
      <w:r w:rsidRPr="001C5C19">
        <w:rPr>
          <w:rFonts w:eastAsia="Calibri"/>
          <w:lang w:eastAsia="en-US"/>
        </w:rPr>
        <w:t xml:space="preserve">K </w:t>
      </w:r>
      <w:r w:rsidR="00D67570">
        <w:rPr>
          <w:rFonts w:eastAsia="Calibri"/>
          <w:lang w:eastAsia="en-US"/>
        </w:rPr>
        <w:t>§</w:t>
      </w:r>
      <w:r w:rsidR="00D67570" w:rsidRPr="001C5C19">
        <w:rPr>
          <w:rFonts w:eastAsia="Calibri"/>
          <w:lang w:eastAsia="en-US"/>
        </w:rPr>
        <w:t xml:space="preserve"> </w:t>
      </w:r>
      <w:r w:rsidRPr="001C5C19">
        <w:rPr>
          <w:rFonts w:eastAsia="Calibri"/>
          <w:lang w:eastAsia="en-US"/>
        </w:rPr>
        <w:t>1</w:t>
      </w:r>
    </w:p>
    <w:p w14:paraId="635C3707" w14:textId="1A4B5F2A" w:rsidR="00BC2954" w:rsidRDefault="00D67570" w:rsidP="00346BD2">
      <w:pPr>
        <w:spacing w:before="120" w:after="160"/>
        <w:jc w:val="both"/>
      </w:pPr>
      <w:r>
        <w:rPr>
          <w:rFonts w:eastAsia="Calibri"/>
          <w:lang w:eastAsia="en-US"/>
        </w:rPr>
        <w:t xml:space="preserve">V § 1 sú </w:t>
      </w:r>
      <w:r w:rsidRPr="00D67570">
        <w:rPr>
          <w:rFonts w:eastAsia="Calibri"/>
          <w:lang w:eastAsia="en-US"/>
        </w:rPr>
        <w:t>ustanov</w:t>
      </w:r>
      <w:r>
        <w:rPr>
          <w:rFonts w:eastAsia="Calibri"/>
          <w:lang w:eastAsia="en-US"/>
        </w:rPr>
        <w:t>ené</w:t>
      </w:r>
      <w:r w:rsidRPr="00D67570">
        <w:rPr>
          <w:rFonts w:eastAsia="Calibri"/>
          <w:lang w:eastAsia="en-US"/>
        </w:rPr>
        <w:t xml:space="preserve"> </w:t>
      </w:r>
      <w:r w:rsidR="00BA0762">
        <w:rPr>
          <w:rFonts w:eastAsia="Calibri"/>
          <w:lang w:eastAsia="en-US"/>
        </w:rPr>
        <w:t>kategórie zraniteľných odberateľov elektriny</w:t>
      </w:r>
      <w:r w:rsidR="00346BD2">
        <w:rPr>
          <w:rFonts w:eastAsia="Calibri"/>
          <w:lang w:eastAsia="en-US"/>
        </w:rPr>
        <w:t xml:space="preserve"> medzi ktorých patria nasledovní odberatelia elektriny mimo domácností - malí odberatelia elektriny, odberatelia elektriny v určených sociálnych zariadeniach, odberatelia elektriny na prevádzku </w:t>
      </w:r>
      <w:r w:rsidR="00346BD2" w:rsidRPr="00346BD2">
        <w:rPr>
          <w:rFonts w:eastAsia="Calibri"/>
          <w:lang w:eastAsia="en-US"/>
        </w:rPr>
        <w:t>bytov</w:t>
      </w:r>
      <w:r w:rsidR="00346BD2">
        <w:rPr>
          <w:rFonts w:eastAsia="Calibri"/>
          <w:lang w:eastAsia="en-US"/>
        </w:rPr>
        <w:t>ého</w:t>
      </w:r>
      <w:r w:rsidR="00346BD2" w:rsidRPr="00346BD2">
        <w:rPr>
          <w:rFonts w:eastAsia="Calibri"/>
          <w:lang w:eastAsia="en-US"/>
        </w:rPr>
        <w:t xml:space="preserve"> domu s nájomnými bytmi vo vlastníctve obce alebo vyššieho územného celku</w:t>
      </w:r>
      <w:r w:rsidR="00346BD2">
        <w:rPr>
          <w:rFonts w:eastAsia="Calibri"/>
          <w:lang w:eastAsia="en-US"/>
        </w:rPr>
        <w:t xml:space="preserve"> alebo </w:t>
      </w:r>
      <w:r w:rsidR="00346BD2" w:rsidRPr="00346BD2">
        <w:rPr>
          <w:rFonts w:eastAsia="Calibri"/>
          <w:lang w:eastAsia="en-US"/>
        </w:rPr>
        <w:t xml:space="preserve"> </w:t>
      </w:r>
      <w:r w:rsidR="00346BD2">
        <w:rPr>
          <w:rFonts w:eastAsia="Calibri"/>
          <w:lang w:eastAsia="en-US"/>
        </w:rPr>
        <w:t xml:space="preserve">bytových domov </w:t>
      </w:r>
      <w:r w:rsidR="00346BD2" w:rsidRPr="00346BD2">
        <w:rPr>
          <w:rFonts w:eastAsia="Calibri"/>
          <w:lang w:eastAsia="en-US"/>
        </w:rPr>
        <w:t>v rámci štátom podporovaného nájomného bývania</w:t>
      </w:r>
      <w:r w:rsidR="00346BD2">
        <w:rPr>
          <w:rFonts w:eastAsia="Calibri"/>
          <w:lang w:eastAsia="en-US"/>
        </w:rPr>
        <w:t xml:space="preserve"> ako aj odberatelia </w:t>
      </w:r>
      <w:r w:rsidR="00346BD2" w:rsidRPr="00346BD2">
        <w:rPr>
          <w:rFonts w:eastAsia="Calibri"/>
          <w:lang w:eastAsia="en-US"/>
        </w:rPr>
        <w:t xml:space="preserve"> elektrin</w:t>
      </w:r>
      <w:r w:rsidR="00346BD2">
        <w:rPr>
          <w:rFonts w:eastAsia="Calibri"/>
          <w:lang w:eastAsia="en-US"/>
        </w:rPr>
        <w:t>y</w:t>
      </w:r>
      <w:r w:rsidR="00346BD2" w:rsidRPr="00346BD2">
        <w:rPr>
          <w:rFonts w:eastAsia="Calibri"/>
          <w:lang w:eastAsia="en-US"/>
        </w:rPr>
        <w:t xml:space="preserve">  </w:t>
      </w:r>
      <w:r w:rsidR="00777788">
        <w:rPr>
          <w:rFonts w:eastAsia="Calibri"/>
          <w:lang w:eastAsia="en-US"/>
        </w:rPr>
        <w:t xml:space="preserve">            </w:t>
      </w:r>
      <w:r w:rsidR="00346BD2" w:rsidRPr="00346BD2">
        <w:rPr>
          <w:rFonts w:eastAsia="Calibri"/>
          <w:lang w:eastAsia="en-US"/>
        </w:rPr>
        <w:t>do spoločných častí a spoločných zariadení bytového domu,</w:t>
      </w:r>
      <w:r w:rsidR="00346BD2">
        <w:rPr>
          <w:rFonts w:eastAsia="Calibri"/>
          <w:lang w:eastAsia="en-US"/>
        </w:rPr>
        <w:t xml:space="preserve"> kt</w:t>
      </w:r>
      <w:r w:rsidR="00346BD2" w:rsidRPr="00346BD2">
        <w:rPr>
          <w:rFonts w:eastAsia="Calibri"/>
          <w:lang w:eastAsia="en-US"/>
        </w:rPr>
        <w:t>orých užívanie je spojené výlučne s užívaním bytov</w:t>
      </w:r>
      <w:r w:rsidR="00346BD2">
        <w:rPr>
          <w:rFonts w:eastAsia="Calibri"/>
          <w:lang w:eastAsia="en-US"/>
        </w:rPr>
        <w:t xml:space="preserve"> a nakoniec aj </w:t>
      </w:r>
      <w:r w:rsidR="00346BD2" w:rsidRPr="001659BD">
        <w:t>skupina koncových odberateľov elektriny, ktorými sú vlastníci bytov a nebytových priestorov v bytovom dome, odoberajúca elektrinu na výrobu tepla a ohrev teplej</w:t>
      </w:r>
      <w:r w:rsidR="00346BD2">
        <w:t xml:space="preserve"> vody. </w:t>
      </w:r>
    </w:p>
    <w:p w14:paraId="399B1A66" w14:textId="77777777" w:rsidR="003E2DBD" w:rsidRDefault="003E2DBD" w:rsidP="00BC6A05">
      <w:pPr>
        <w:spacing w:before="120" w:after="160"/>
        <w:jc w:val="both"/>
        <w:rPr>
          <w:rFonts w:eastAsia="Calibri"/>
          <w:lang w:eastAsia="en-US"/>
        </w:rPr>
      </w:pPr>
    </w:p>
    <w:p w14:paraId="63B7FC6E" w14:textId="7F19A58F" w:rsidR="00BC6A05" w:rsidRDefault="00BC2954" w:rsidP="00BC6A05">
      <w:pPr>
        <w:spacing w:before="120"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K </w:t>
      </w:r>
      <w:r w:rsidR="00D67570">
        <w:rPr>
          <w:rFonts w:eastAsia="Calibri"/>
          <w:lang w:eastAsia="en-US"/>
        </w:rPr>
        <w:t>§</w:t>
      </w:r>
      <w:r>
        <w:rPr>
          <w:rFonts w:eastAsia="Calibri"/>
          <w:lang w:eastAsia="en-US"/>
        </w:rPr>
        <w:t xml:space="preserve"> </w:t>
      </w:r>
      <w:r w:rsidR="009F0A11">
        <w:rPr>
          <w:rFonts w:eastAsia="Calibri"/>
          <w:lang w:eastAsia="en-US"/>
        </w:rPr>
        <w:t>2</w:t>
      </w:r>
    </w:p>
    <w:p w14:paraId="464A92B5" w14:textId="588E8148" w:rsidR="00BA0762" w:rsidRDefault="00BA0762" w:rsidP="00BA0762">
      <w:pPr>
        <w:spacing w:before="120" w:after="160"/>
        <w:jc w:val="both"/>
      </w:pPr>
      <w:r>
        <w:rPr>
          <w:rFonts w:eastAsia="Calibri"/>
          <w:lang w:eastAsia="en-US"/>
        </w:rPr>
        <w:t xml:space="preserve">V § </w:t>
      </w:r>
      <w:r w:rsidR="00386E49">
        <w:rPr>
          <w:rFonts w:eastAsia="Calibri"/>
          <w:lang w:eastAsia="en-US"/>
        </w:rPr>
        <w:t>2</w:t>
      </w:r>
      <w:r>
        <w:rPr>
          <w:rFonts w:eastAsia="Calibri"/>
          <w:lang w:eastAsia="en-US"/>
        </w:rPr>
        <w:t xml:space="preserve"> sú </w:t>
      </w:r>
      <w:r w:rsidRPr="00D67570">
        <w:rPr>
          <w:rFonts w:eastAsia="Calibri"/>
          <w:lang w:eastAsia="en-US"/>
        </w:rPr>
        <w:t>ustanov</w:t>
      </w:r>
      <w:r>
        <w:rPr>
          <w:rFonts w:eastAsia="Calibri"/>
          <w:lang w:eastAsia="en-US"/>
        </w:rPr>
        <w:t>ené</w:t>
      </w:r>
      <w:r w:rsidRPr="00D67570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kategórie zraniteľných odberateľov plynu</w:t>
      </w:r>
      <w:r w:rsidR="00346BD2" w:rsidRPr="00346BD2">
        <w:rPr>
          <w:rFonts w:eastAsia="Calibri"/>
          <w:lang w:eastAsia="en-US"/>
        </w:rPr>
        <w:t xml:space="preserve"> </w:t>
      </w:r>
      <w:r w:rsidR="00346BD2">
        <w:rPr>
          <w:rFonts w:eastAsia="Calibri"/>
          <w:lang w:eastAsia="en-US"/>
        </w:rPr>
        <w:t xml:space="preserve">medzi ktorých patria nasledovní odberatelia elektriny mimo domácností – malí odberatelia plynu, odberatelia plynu v určených sociálnych zariadeniach, </w:t>
      </w:r>
      <w:r w:rsidR="00346BD2" w:rsidRPr="00346BD2">
        <w:rPr>
          <w:rFonts w:eastAsia="Calibri"/>
          <w:lang w:eastAsia="en-US"/>
        </w:rPr>
        <w:t xml:space="preserve"> </w:t>
      </w:r>
      <w:r w:rsidR="00346BD2">
        <w:rPr>
          <w:rFonts w:eastAsia="Calibri"/>
          <w:lang w:eastAsia="en-US"/>
        </w:rPr>
        <w:t xml:space="preserve">odberatelia plynu na prevádzku </w:t>
      </w:r>
      <w:r w:rsidR="00346BD2" w:rsidRPr="00346BD2">
        <w:rPr>
          <w:rFonts w:eastAsia="Calibri"/>
          <w:lang w:eastAsia="en-US"/>
        </w:rPr>
        <w:t>bytov</w:t>
      </w:r>
      <w:r w:rsidR="00346BD2">
        <w:rPr>
          <w:rFonts w:eastAsia="Calibri"/>
          <w:lang w:eastAsia="en-US"/>
        </w:rPr>
        <w:t>ého</w:t>
      </w:r>
      <w:r w:rsidR="00346BD2" w:rsidRPr="00346BD2">
        <w:rPr>
          <w:rFonts w:eastAsia="Calibri"/>
          <w:lang w:eastAsia="en-US"/>
        </w:rPr>
        <w:t xml:space="preserve"> domu s nájomnými bytmi vo vlastníctve obce alebo vyššieho územného celku</w:t>
      </w:r>
      <w:r w:rsidR="00346BD2">
        <w:rPr>
          <w:rFonts w:eastAsia="Calibri"/>
          <w:lang w:eastAsia="en-US"/>
        </w:rPr>
        <w:t xml:space="preserve"> alebo </w:t>
      </w:r>
      <w:r w:rsidR="00346BD2" w:rsidRPr="00346BD2">
        <w:rPr>
          <w:rFonts w:eastAsia="Calibri"/>
          <w:lang w:eastAsia="en-US"/>
        </w:rPr>
        <w:t xml:space="preserve"> </w:t>
      </w:r>
      <w:r w:rsidR="00346BD2">
        <w:rPr>
          <w:rFonts w:eastAsia="Calibri"/>
          <w:lang w:eastAsia="en-US"/>
        </w:rPr>
        <w:t xml:space="preserve">bytových domov </w:t>
      </w:r>
      <w:r w:rsidR="00346BD2" w:rsidRPr="00346BD2">
        <w:rPr>
          <w:rFonts w:eastAsia="Calibri"/>
          <w:lang w:eastAsia="en-US"/>
        </w:rPr>
        <w:t xml:space="preserve">v rámci štátom podporovaného nájomného bývania </w:t>
      </w:r>
      <w:r w:rsidR="00346BD2">
        <w:rPr>
          <w:rFonts w:eastAsia="Calibri"/>
          <w:lang w:eastAsia="en-US"/>
        </w:rPr>
        <w:t xml:space="preserve">a nakoniec aj </w:t>
      </w:r>
      <w:r w:rsidR="00346BD2" w:rsidRPr="001659BD">
        <w:t xml:space="preserve">skupina koncových odberateľov </w:t>
      </w:r>
      <w:r w:rsidR="00346BD2">
        <w:t>plynu</w:t>
      </w:r>
      <w:r w:rsidR="00346BD2" w:rsidRPr="001659BD">
        <w:t xml:space="preserve">, ktorými sú vlastníci bytov a nebytových priestorov v bytovom dome, odoberajúca elektrinu </w:t>
      </w:r>
      <w:r w:rsidR="00777788">
        <w:t xml:space="preserve">    </w:t>
      </w:r>
      <w:r w:rsidR="00346BD2" w:rsidRPr="001659BD">
        <w:t>na výrobu tepla a ohrev teplej</w:t>
      </w:r>
      <w:r w:rsidR="00346BD2">
        <w:t xml:space="preserve"> vody</w:t>
      </w:r>
      <w:r w:rsidR="003D1243">
        <w:t>.</w:t>
      </w:r>
    </w:p>
    <w:p w14:paraId="57108CC6" w14:textId="77777777" w:rsidR="00D67570" w:rsidRDefault="00D67570" w:rsidP="00BC6A05">
      <w:pPr>
        <w:spacing w:before="120" w:after="160"/>
        <w:jc w:val="both"/>
        <w:rPr>
          <w:rFonts w:eastAsia="Calibri"/>
          <w:lang w:eastAsia="en-US"/>
        </w:rPr>
      </w:pPr>
    </w:p>
    <w:p w14:paraId="76032F58" w14:textId="65106D31" w:rsidR="00BC2954" w:rsidRPr="00BC6A05" w:rsidRDefault="00BC2954" w:rsidP="00BC6A05">
      <w:pPr>
        <w:spacing w:before="120" w:after="160"/>
        <w:jc w:val="both"/>
        <w:rPr>
          <w:rFonts w:eastAsia="Calibri"/>
          <w:lang w:eastAsia="en-US"/>
        </w:rPr>
      </w:pPr>
      <w:r w:rsidRPr="00BC6A05">
        <w:rPr>
          <w:rFonts w:eastAsia="Calibri"/>
          <w:lang w:eastAsia="en-US"/>
        </w:rPr>
        <w:t>K </w:t>
      </w:r>
      <w:r w:rsidR="00D67570">
        <w:rPr>
          <w:rFonts w:eastAsia="Calibri"/>
          <w:lang w:eastAsia="en-US"/>
        </w:rPr>
        <w:t>§</w:t>
      </w:r>
      <w:r w:rsidRPr="00BC6A05">
        <w:rPr>
          <w:rFonts w:eastAsia="Calibri"/>
          <w:lang w:eastAsia="en-US"/>
        </w:rPr>
        <w:t xml:space="preserve"> </w:t>
      </w:r>
      <w:r w:rsidR="009F0A11">
        <w:rPr>
          <w:rFonts w:eastAsia="Calibri"/>
          <w:lang w:eastAsia="en-US"/>
        </w:rPr>
        <w:t>3</w:t>
      </w:r>
    </w:p>
    <w:p w14:paraId="116865AA" w14:textId="0644EEAB" w:rsidR="007076AB" w:rsidRDefault="00226802" w:rsidP="00D67570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Z dôvodu potreby prípravy cenovej regulácie a aj prípravy na strane dodávateľov elektriny sa </w:t>
      </w:r>
      <w:r w:rsidR="00BB15F8">
        <w:rPr>
          <w:rFonts w:eastAsia="Calibri"/>
          <w:lang w:eastAsia="en-US"/>
        </w:rPr>
        <w:t xml:space="preserve">navrhuje ustanoviť, že </w:t>
      </w:r>
      <w:r>
        <w:rPr>
          <w:rFonts w:eastAsia="Calibri"/>
          <w:lang w:eastAsia="en-US"/>
        </w:rPr>
        <w:t xml:space="preserve">nová kategória zraniteľných odberateľov elektriny </w:t>
      </w:r>
      <w:r w:rsidR="00BB15F8">
        <w:rPr>
          <w:rFonts w:eastAsia="Calibri"/>
          <w:lang w:eastAsia="en-US"/>
        </w:rPr>
        <w:t>do konca roku 2026 nebude považovaná za zraniteľných odberateľov a režim zraniteľného odberateľa elektriny sa na túto skupinu odberateľov uplatní až od 1. januára 2027.</w:t>
      </w:r>
    </w:p>
    <w:p w14:paraId="34CC263E" w14:textId="77777777" w:rsidR="007076AB" w:rsidRDefault="007076AB">
      <w:pPr>
        <w:spacing w:before="120" w:after="160"/>
        <w:jc w:val="both"/>
        <w:rPr>
          <w:rFonts w:eastAsia="Calibri"/>
          <w:lang w:eastAsia="en-US"/>
        </w:rPr>
      </w:pPr>
    </w:p>
    <w:p w14:paraId="03B9C6D6" w14:textId="77777777" w:rsidR="008F2FC0" w:rsidRPr="008F2FC0" w:rsidRDefault="008F2FC0" w:rsidP="008F2FC0">
      <w:pPr>
        <w:spacing w:before="120" w:after="160"/>
        <w:jc w:val="both"/>
        <w:rPr>
          <w:rFonts w:eastAsia="Calibri"/>
          <w:lang w:eastAsia="en-US"/>
        </w:rPr>
      </w:pPr>
      <w:r w:rsidRPr="008F2FC0">
        <w:rPr>
          <w:rFonts w:eastAsia="Calibri"/>
          <w:lang w:eastAsia="en-US"/>
        </w:rPr>
        <w:t>K § 4</w:t>
      </w:r>
    </w:p>
    <w:p w14:paraId="090DA549" w14:textId="77777777" w:rsidR="008F2FC0" w:rsidRPr="008F2FC0" w:rsidRDefault="008F2FC0" w:rsidP="008F2FC0">
      <w:pPr>
        <w:spacing w:before="120" w:after="160"/>
        <w:jc w:val="both"/>
        <w:rPr>
          <w:rFonts w:eastAsia="Calibri"/>
          <w:lang w:eastAsia="en-US"/>
        </w:rPr>
      </w:pPr>
      <w:r w:rsidRPr="008F2FC0">
        <w:rPr>
          <w:rFonts w:eastAsia="Calibri"/>
          <w:lang w:eastAsia="en-US"/>
        </w:rPr>
        <w:t>Ustanovuje sa transpozičný odkaz.</w:t>
      </w:r>
    </w:p>
    <w:p w14:paraId="35127EBB" w14:textId="77777777" w:rsidR="008F2FC0" w:rsidRDefault="008F2FC0" w:rsidP="00375790">
      <w:pPr>
        <w:spacing w:before="120" w:after="160"/>
        <w:jc w:val="both"/>
        <w:rPr>
          <w:rFonts w:eastAsia="Calibri"/>
          <w:lang w:eastAsia="en-US"/>
        </w:rPr>
      </w:pPr>
    </w:p>
    <w:p w14:paraId="6B1EAF62" w14:textId="71BDBCF2" w:rsidR="007076AB" w:rsidRDefault="007076AB" w:rsidP="00D67570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K § </w:t>
      </w:r>
      <w:r w:rsidR="008F2FC0">
        <w:rPr>
          <w:rFonts w:eastAsia="Calibri"/>
          <w:lang w:eastAsia="en-US"/>
        </w:rPr>
        <w:t>5</w:t>
      </w:r>
    </w:p>
    <w:p w14:paraId="5C32D410" w14:textId="7750B060" w:rsidR="00D67570" w:rsidRDefault="00D67570" w:rsidP="00D67570">
      <w:r w:rsidRPr="006D569F">
        <w:rPr>
          <w:rFonts w:eastAsia="Calibri"/>
          <w:lang w:eastAsia="en-US"/>
        </w:rPr>
        <w:t>Účinnosť ná</w:t>
      </w:r>
      <w:r>
        <w:rPr>
          <w:rFonts w:eastAsia="Calibri"/>
          <w:lang w:eastAsia="en-US"/>
        </w:rPr>
        <w:t>vrhu nariadenia sa navrhuje 1</w:t>
      </w:r>
      <w:r w:rsidR="001F08CE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 xml:space="preserve"> </w:t>
      </w:r>
      <w:r w:rsidR="002732F2">
        <w:rPr>
          <w:rFonts w:eastAsia="Calibri"/>
          <w:lang w:eastAsia="en-US"/>
        </w:rPr>
        <w:t>novembra</w:t>
      </w:r>
      <w:r w:rsidR="002732F2">
        <w:rPr>
          <w:rFonts w:eastAsia="Calibri"/>
          <w:lang w:eastAsia="en-US"/>
        </w:rPr>
        <w:t xml:space="preserve"> </w:t>
      </w:r>
      <w:r w:rsidR="00375790">
        <w:rPr>
          <w:rFonts w:eastAsia="Calibri"/>
          <w:lang w:eastAsia="en-US"/>
        </w:rPr>
        <w:t>202</w:t>
      </w:r>
      <w:r w:rsidR="00C5407C">
        <w:rPr>
          <w:rFonts w:eastAsia="Calibri"/>
          <w:lang w:eastAsia="en-US"/>
        </w:rPr>
        <w:t>6</w:t>
      </w:r>
      <w:r w:rsidRPr="006D569F">
        <w:rPr>
          <w:rFonts w:eastAsia="Calibri"/>
          <w:lang w:eastAsia="en-US"/>
        </w:rPr>
        <w:t>.</w:t>
      </w:r>
    </w:p>
    <w:p w14:paraId="30B15FDF" w14:textId="77777777" w:rsidR="001D46D0" w:rsidRDefault="001D46D0" w:rsidP="00156D45">
      <w:pPr>
        <w:spacing w:before="120" w:after="160"/>
        <w:jc w:val="both"/>
        <w:rPr>
          <w:rFonts w:eastAsia="Calibri"/>
          <w:lang w:eastAsia="en-US"/>
        </w:rPr>
      </w:pPr>
    </w:p>
    <w:p w14:paraId="3A681FB6" w14:textId="77777777" w:rsidR="008F2FC0" w:rsidRPr="008F2FC0" w:rsidRDefault="008F2FC0" w:rsidP="008F2FC0">
      <w:pPr>
        <w:spacing w:before="120" w:after="160"/>
        <w:jc w:val="both"/>
        <w:rPr>
          <w:rFonts w:eastAsia="Calibri"/>
          <w:lang w:eastAsia="en-US"/>
        </w:rPr>
      </w:pPr>
      <w:r w:rsidRPr="008F2FC0">
        <w:rPr>
          <w:rFonts w:eastAsia="Calibri"/>
          <w:lang w:eastAsia="en-US"/>
        </w:rPr>
        <w:t>K prílohe</w:t>
      </w:r>
    </w:p>
    <w:p w14:paraId="3F2B32A4" w14:textId="4795638E" w:rsidR="008F2FC0" w:rsidRDefault="008F2FC0" w:rsidP="008F2FC0">
      <w:pPr>
        <w:spacing w:before="120" w:after="160"/>
        <w:jc w:val="both"/>
        <w:rPr>
          <w:rFonts w:eastAsia="Calibri"/>
          <w:lang w:eastAsia="en-US"/>
        </w:rPr>
      </w:pPr>
      <w:r w:rsidRPr="008F2FC0">
        <w:rPr>
          <w:rFonts w:eastAsia="Calibri"/>
          <w:lang w:eastAsia="en-US"/>
        </w:rPr>
        <w:t>Transpozičná príloha k nariadeniu vlády obsahuje zoznam preberaných právne záväzných aktov Európskej únie.</w:t>
      </w:r>
    </w:p>
    <w:p w14:paraId="5EE25CB6" w14:textId="77777777" w:rsidR="001D46D0" w:rsidRPr="006D569F" w:rsidRDefault="001D46D0" w:rsidP="00156D45">
      <w:pPr>
        <w:spacing w:before="120" w:after="160"/>
        <w:jc w:val="both"/>
        <w:rPr>
          <w:rFonts w:eastAsia="Calibri"/>
          <w:lang w:eastAsia="en-US"/>
        </w:rPr>
      </w:pPr>
    </w:p>
    <w:sectPr w:rsidR="001D46D0" w:rsidRPr="006D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2323B" w14:textId="77777777" w:rsidR="00F35229" w:rsidRDefault="00F35229" w:rsidP="00F94FB9">
      <w:r>
        <w:separator/>
      </w:r>
    </w:p>
  </w:endnote>
  <w:endnote w:type="continuationSeparator" w:id="0">
    <w:p w14:paraId="0BE0B9D6" w14:textId="77777777" w:rsidR="00F35229" w:rsidRDefault="00F35229" w:rsidP="00F94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CFE9A" w14:textId="77777777" w:rsidR="00F35229" w:rsidRDefault="00F35229" w:rsidP="00F94FB9">
      <w:r>
        <w:separator/>
      </w:r>
    </w:p>
  </w:footnote>
  <w:footnote w:type="continuationSeparator" w:id="0">
    <w:p w14:paraId="05FCEED8" w14:textId="77777777" w:rsidR="00F35229" w:rsidRDefault="00F35229" w:rsidP="00F94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D016C"/>
    <w:multiLevelType w:val="hybridMultilevel"/>
    <w:tmpl w:val="496877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D3630"/>
    <w:multiLevelType w:val="hybridMultilevel"/>
    <w:tmpl w:val="6CF6A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062622">
    <w:abstractNumId w:val="0"/>
  </w:num>
  <w:num w:numId="2" w16cid:durableId="1829007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D45"/>
    <w:rsid w:val="00030EA7"/>
    <w:rsid w:val="00081D5E"/>
    <w:rsid w:val="00156D45"/>
    <w:rsid w:val="001C5C19"/>
    <w:rsid w:val="001D46D0"/>
    <w:rsid w:val="001F08CE"/>
    <w:rsid w:val="001F168F"/>
    <w:rsid w:val="00226802"/>
    <w:rsid w:val="002732F2"/>
    <w:rsid w:val="00275A63"/>
    <w:rsid w:val="002C3795"/>
    <w:rsid w:val="002C57D7"/>
    <w:rsid w:val="002D6E4F"/>
    <w:rsid w:val="002E7D17"/>
    <w:rsid w:val="002F2774"/>
    <w:rsid w:val="0030392A"/>
    <w:rsid w:val="003442E2"/>
    <w:rsid w:val="00346BD2"/>
    <w:rsid w:val="003642DE"/>
    <w:rsid w:val="00375790"/>
    <w:rsid w:val="00386E49"/>
    <w:rsid w:val="00391295"/>
    <w:rsid w:val="003D1243"/>
    <w:rsid w:val="003E1290"/>
    <w:rsid w:val="003E2DBD"/>
    <w:rsid w:val="0040424C"/>
    <w:rsid w:val="004F149B"/>
    <w:rsid w:val="004F40BD"/>
    <w:rsid w:val="00506790"/>
    <w:rsid w:val="00536AF9"/>
    <w:rsid w:val="005703E5"/>
    <w:rsid w:val="00573A34"/>
    <w:rsid w:val="00586D25"/>
    <w:rsid w:val="005A7664"/>
    <w:rsid w:val="005B3056"/>
    <w:rsid w:val="005B4663"/>
    <w:rsid w:val="005C18D4"/>
    <w:rsid w:val="005C50FA"/>
    <w:rsid w:val="00605046"/>
    <w:rsid w:val="006260EE"/>
    <w:rsid w:val="00661389"/>
    <w:rsid w:val="0068646B"/>
    <w:rsid w:val="006874A1"/>
    <w:rsid w:val="006D5E8F"/>
    <w:rsid w:val="007076AB"/>
    <w:rsid w:val="007233D5"/>
    <w:rsid w:val="00763FF1"/>
    <w:rsid w:val="00777788"/>
    <w:rsid w:val="007C5042"/>
    <w:rsid w:val="007C7623"/>
    <w:rsid w:val="007D1083"/>
    <w:rsid w:val="008153B6"/>
    <w:rsid w:val="00864D73"/>
    <w:rsid w:val="008A5700"/>
    <w:rsid w:val="008B0941"/>
    <w:rsid w:val="008C2EE2"/>
    <w:rsid w:val="008D0F79"/>
    <w:rsid w:val="008F2FC0"/>
    <w:rsid w:val="008F37A0"/>
    <w:rsid w:val="00915268"/>
    <w:rsid w:val="0091734B"/>
    <w:rsid w:val="009472F2"/>
    <w:rsid w:val="009D2698"/>
    <w:rsid w:val="009F0A11"/>
    <w:rsid w:val="00A15D02"/>
    <w:rsid w:val="00A31AAB"/>
    <w:rsid w:val="00A72A0C"/>
    <w:rsid w:val="00A73E59"/>
    <w:rsid w:val="00A976F9"/>
    <w:rsid w:val="00B44CB5"/>
    <w:rsid w:val="00B65090"/>
    <w:rsid w:val="00B736C3"/>
    <w:rsid w:val="00B8230D"/>
    <w:rsid w:val="00BA003B"/>
    <w:rsid w:val="00BA0762"/>
    <w:rsid w:val="00BA708E"/>
    <w:rsid w:val="00BB15F8"/>
    <w:rsid w:val="00BB274A"/>
    <w:rsid w:val="00BB4CAE"/>
    <w:rsid w:val="00BC2954"/>
    <w:rsid w:val="00BC6A05"/>
    <w:rsid w:val="00BF0C89"/>
    <w:rsid w:val="00C02D66"/>
    <w:rsid w:val="00C1025A"/>
    <w:rsid w:val="00C166E3"/>
    <w:rsid w:val="00C34018"/>
    <w:rsid w:val="00C3622F"/>
    <w:rsid w:val="00C45401"/>
    <w:rsid w:val="00C50775"/>
    <w:rsid w:val="00C533FD"/>
    <w:rsid w:val="00C5407C"/>
    <w:rsid w:val="00C63852"/>
    <w:rsid w:val="00C64CF2"/>
    <w:rsid w:val="00C84C68"/>
    <w:rsid w:val="00CA4818"/>
    <w:rsid w:val="00CA5EFC"/>
    <w:rsid w:val="00CC7B55"/>
    <w:rsid w:val="00D22415"/>
    <w:rsid w:val="00D2294C"/>
    <w:rsid w:val="00D5210C"/>
    <w:rsid w:val="00D55861"/>
    <w:rsid w:val="00D67570"/>
    <w:rsid w:val="00D7777F"/>
    <w:rsid w:val="00DF210C"/>
    <w:rsid w:val="00DF2BC5"/>
    <w:rsid w:val="00E033F0"/>
    <w:rsid w:val="00E05D6F"/>
    <w:rsid w:val="00E177EC"/>
    <w:rsid w:val="00E2006A"/>
    <w:rsid w:val="00E321BD"/>
    <w:rsid w:val="00E35FCA"/>
    <w:rsid w:val="00E80A48"/>
    <w:rsid w:val="00EC4ED4"/>
    <w:rsid w:val="00EF356E"/>
    <w:rsid w:val="00F35229"/>
    <w:rsid w:val="00F4044F"/>
    <w:rsid w:val="00F94FB9"/>
    <w:rsid w:val="00FD2901"/>
    <w:rsid w:val="00FE592B"/>
    <w:rsid w:val="00FE6D3F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EA963D"/>
  <w15:chartTrackingRefBased/>
  <w15:docId w15:val="{00EAA907-4DA1-47EF-9515-19796A99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56D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C3401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34018"/>
    <w:rPr>
      <w:rFonts w:ascii="Segoe UI" w:eastAsia="Times New Roman" w:hAnsi="Segoe UI" w:cs="Segoe UI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66138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61389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61389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6138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61389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Odsekzoznamu">
    <w:name w:val="List Paragraph"/>
    <w:aliases w:val="OBC Bullet,Normal 1,Task Body,Viñetas (Inicio Parrafo),Paragrafo elenco,3 Txt tabla,Zerrenda-paragrafoa,Fiche List Paragraph,Dot pt,F5 List Paragraph,List Paragraph1,No Spacing1,List Paragraph Char Char Char,Indicator Text,tabulky"/>
    <w:basedOn w:val="Normlny"/>
    <w:link w:val="OdsekzoznamuChar"/>
    <w:uiPriority w:val="34"/>
    <w:qFormat/>
    <w:rsid w:val="00BC2954"/>
    <w:pPr>
      <w:ind w:left="720"/>
      <w:contextualSpacing/>
    </w:pPr>
    <w:rPr>
      <w:lang w:eastAsia="en-GB"/>
    </w:rPr>
  </w:style>
  <w:style w:type="character" w:customStyle="1" w:styleId="OdsekzoznamuChar">
    <w:name w:val="Odsek zoznamu Char"/>
    <w:aliases w:val="OBC Bullet Char,Normal 1 Char,Task Body Char,Viñetas (Inicio Parrafo) Char,Paragrafo elenco Char,3 Txt tabla Char,Zerrenda-paragrafoa Char,Fiche List Paragraph Char,Dot pt Char,F5 List Paragraph Char,List Paragraph1 Char,tabulky Char"/>
    <w:link w:val="Odsekzoznamu"/>
    <w:uiPriority w:val="34"/>
    <w:qFormat/>
    <w:locked/>
    <w:rsid w:val="00BC295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zia">
    <w:name w:val="Revision"/>
    <w:hidden/>
    <w:uiPriority w:val="99"/>
    <w:semiHidden/>
    <w:rsid w:val="003E2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F94FB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94FB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F94FB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94FB9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32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Rozborilova Monika</dc:creator>
  <cp:keywords/>
  <dc:description/>
  <cp:lastModifiedBy>Smazakova Janette</cp:lastModifiedBy>
  <cp:revision>10</cp:revision>
  <cp:lastPrinted>2026-06-30T08:07:00Z</cp:lastPrinted>
  <dcterms:created xsi:type="dcterms:W3CDTF">2026-06-16T08:18:00Z</dcterms:created>
  <dcterms:modified xsi:type="dcterms:W3CDTF">2026-09-02T11:16:00Z</dcterms:modified>
</cp:coreProperties>
</file>