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vyhlášky Ministerstva spravodlivosti Slovenskej republiky, ktorou sa dopĺňa vyhláška Ministerstva spravodlivosti Slovenskej republiky č. 543/2005 Z. z. o Spravovacom a kancelárskom poriadku pre okresné súdy, krajské súdy, Špeciálny súd a vojenské súdy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LP/2026/456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1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navrhujeme upraviť text takto:</w:t>
              <w:br/>
            </w:r>
            <w:r>
              <w:rPr>
                <w:b w:val="off"/>
                <w:color w:val="000000"/>
                <w:rFonts w:ascii="Times New Roman" w:hAnsi="Times New Roman" w:cs="Times New Roman" w:eastAsia="Times New Roman"/>
                <w:sz w:val="24"/>
              </w:rPr>
              <w:t>,,V prílohe č. 1 časti III. ZAPISOVANIE DO SÚDNYCH REGISTROV KRAJSKÉHO SÚDU Súdne registre odvolacej agendy písmene C. Súdne registre trestnoprávnej agendy štvrtom bode sa na konci pripája táto veta: „Do súdneho registra „Tos“ sa zapisuje aj návrh podľa § 362f Trestného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Predkladateľom zvolená legislatívna technika neodporuje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zvážiť opodstatnenosť prechodného ustanovenia z hľadiska právnej istoty vzhľadom na účinnosť predmetných bodov zákona č. 168/2026 Z. z. dňa 18. augusta 2026, následne v nadväznosti na uvedené doterajší text čl. I označiť ako bod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w:t>
              <w:br/>
            </w:r>
            <w:r>
              <w:rPr>
                <w:b w:val="off"/>
                <w:color w:val="000000"/>
                <w:rFonts w:ascii="Times New Roman" w:hAnsi="Times New Roman" w:cs="Times New Roman" w:eastAsia="Times New Roman"/>
                <w:sz w:val="24"/>
              </w:rPr>
              <w:t>Navrhujeme opätovne vyplniť správu o účasti verejnosti.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Verejnosť nebola informovaná o tvorbe návrhu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predkladaného návrhu k § 48 ods. 6 vyhlášky Ministerstva spravodlivosti Slovenskej republiky č. 543/2005 Z. z.</w:t>
              <w:br/>
            </w:r>
            <w:r>
              <w:rPr>
                <w:b w:val="off"/>
                <w:color w:val="000000"/>
                <w:rFonts w:ascii="Times New Roman" w:hAnsi="Times New Roman" w:cs="Times New Roman" w:eastAsia="Times New Roman"/>
                <w:sz w:val="24"/>
              </w:rPr>
              <w:t>Zásadne žiadam nad rámec predkladaného návrhu v Čl. I  pred doterajší text vložiť novelizačný bod 1, ktorý znie:</w:t>
              <w:br/>
            </w:r>
            <w:r>
              <w:rPr>
                <w:b w:val="off"/>
                <w:color w:val="000000"/>
                <w:rFonts w:ascii="Times New Roman" w:hAnsi="Times New Roman" w:cs="Times New Roman" w:eastAsia="Times New Roman"/>
                <w:sz w:val="24"/>
              </w:rPr>
              <w:t xml:space="preserve">„1.  V § 48 ods. 6 sa na konci pripája čiarka a tieto slová: „ako aj rozhodnutie o jeho zmene </w:t>
              <w:br/>
            </w:r>
            <w:r>
              <w:rPr>
                <w:b w:val="off"/>
                <w:color w:val="000000"/>
                <w:rFonts w:ascii="Times New Roman" w:hAnsi="Times New Roman" w:cs="Times New Roman" w:eastAsia="Times New Roman"/>
                <w:sz w:val="24"/>
              </w:rPr>
              <w:t xml:space="preserve">alebo zrušení, a ak je dieťa v čase rozhodovania súdu umiestnené v zariadení na základe rozhodnutia súdu, aj rozhodnutie o úprave styku, o ustanovení opatrovníka dieťaťu, o ustanovení poručníka dieťaťu, o zverení dieťaťa do náhradnej osobnej starostlivosti </w:t>
              <w:br/>
            </w:r>
            <w:r>
              <w:rPr>
                <w:b w:val="off"/>
                <w:color w:val="000000"/>
                <w:rFonts w:ascii="Times New Roman" w:hAnsi="Times New Roman" w:cs="Times New Roman" w:eastAsia="Times New Roman"/>
                <w:sz w:val="24"/>
              </w:rPr>
              <w:t xml:space="preserve">alebo pestúnskej starostlivosti, o osvojiteľnosti dieťaťa a o zverení dieťaťa do predosvojiteľskej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sa označuje ako novelizačný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Súčasné znenie ustanovenia § 48 ods. 6 predmetnej vyhlášky sa sústreďuje primárne na rozhodnutia, ktoré pobyt dieťaťa v zariadení zakladajú. Pre ochranu práv dieťaťa je však nevyhnutné, aby zariadenie disponovalo aj ďalšími rozhodnutiami, ktoré priamo ovplyvňujú právny status dieťaťa alebo kontakt s rodinou. Okrem uvedeného včasné poskytnutie rozhodnutí priamo zariadeniu odstráni prekážky v aplikačnej praxi napr. pri odovzdávaní dieťaťa do starostlivosti rodičov, príbuzných, náhradnej rodiny </w:t>
              <w:br/>
            </w:r>
            <w:r>
              <w:rPr>
                <w:b w:val="off"/>
                <w:color w:val="000000"/>
                <w:rFonts w:ascii="Times New Roman" w:hAnsi="Times New Roman" w:cs="Times New Roman" w:eastAsia="Times New Roman"/>
                <w:sz w:val="24"/>
              </w:rPr>
              <w:t>alebo pri riešení dôležitých životných situácií dieťaťa. Ďalším dôvodom je výrazné zníženie administratívnej záťaže pre orgány sociálnoprávnej ochrany detí a sociálnej kurately, ktoré zasielajú tieto rozhodnutia zariadeniu.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Vlastný materiál bol doplnený o nový novelizačný bod v primerane upravenom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čl. I v texte novelizačného bodu odporúčame slová „C.“ „Súdne registre trestnoprávnej agendy“ uviesť bez úvodzoviek. </w:t>
              <w:br/>
            </w:r>
            <w:r>
              <w:rPr>
                <w:b w:val="off"/>
                <w:color w:val="000000"/>
                <w:rFonts w:ascii="Times New Roman" w:hAnsi="Times New Roman" w:cs="Times New Roman" w:eastAsia="Times New Roman"/>
                <w:sz w:val="24"/>
              </w:rPr>
              <w:t>(Odôvodnenie: Nejde o označenie slov, ktoré sa majú upraviť, ale o citáciu tej časti vyhlášky, v ktorej sa zmena uskutoční, preto sú tieto úvodzovky v texte nadbytočné a odporúčame ich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Predkladateľom zvolená legislatívna technika neodporuje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112 ods. 1</w:t>
              <w:br/>
            </w:r>
            <w:r>
              <w:rPr>
                <w:b w:val="off"/>
                <w:color w:val="000000"/>
                <w:rFonts w:ascii="Times New Roman" w:hAnsi="Times New Roman" w:cs="Times New Roman" w:eastAsia="Times New Roman"/>
                <w:sz w:val="24"/>
              </w:rPr>
              <w:t>Navrhujeme v ustanovení § 112 ods. 1 slová „§ 113 ods. 1 a 2“ nahradiť slovami „§ 113 ods. 1, 2 a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Navrhovanou zmenou sa spresňuje odkaz v § 112 ods. 1 vyhlášky č. 543/2005 Z. z. (ďalej len „vyhláška“) vo vzťahu k doručovaniu právoplatného uznesenia o dedičstve zdravotným poisťovniam podľa § 113 ods. 4 vyhlášky.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 113 ods. 4</w:t>
              <w:br/>
            </w:r>
            <w:r>
              <w:rPr>
                <w:b w:val="off"/>
                <w:color w:val="000000"/>
                <w:rFonts w:ascii="Times New Roman" w:hAnsi="Times New Roman" w:cs="Times New Roman" w:eastAsia="Times New Roman"/>
                <w:sz w:val="24"/>
              </w:rPr>
              <w:t>Navrhujeme v ustanovení § 113 odsek 4, ktorý znie:</w:t>
              <w:br/>
            </w:r>
            <w:r>
              <w:rPr>
                <w:b w:val="off"/>
                <w:color w:val="000000"/>
                <w:rFonts w:ascii="Times New Roman" w:hAnsi="Times New Roman" w:cs="Times New Roman" w:eastAsia="Times New Roman"/>
                <w:sz w:val="24"/>
              </w:rPr>
              <w:t>„(4) Ak zdravotná poisťovňa má titulom verejného zdravotného poistenia záväzok alebo pohľadávku voči poručiteľovi, právoplatné uznesenie o dedičstve sa doručí zdravotnej poisťovni, voči ktorej má poručiteľ pohľadávku alebo záväzok zistený podľa osobitného predpisu 50a) alebo prihlásený do dedičského konania; rovnako sa doručuje uznesenie súdneho komisára, ktorým došlo k oprave alebo doplneniu pôvodného uznesenia, ak sa oprava alebo doplnenie týka pohľadávky alebo záväzku zdravotnej poisťovne.“</w:t>
              <w:br/>
            </w:r>
            <w:r>
              <w:rPr>
                <w:b w:val="off"/>
                <w:color w:val="000000"/>
                <w:rFonts w:ascii="Times New Roman" w:hAnsi="Times New Roman" w:cs="Times New Roman" w:eastAsia="Times New Roman"/>
                <w:sz w:val="24"/>
              </w:rPr>
              <w:t>Poznámka pod čiarou k odkazu 50a) znie:</w:t>
              <w:br/>
            </w:r>
            <w:r>
              <w:rPr>
                <w:b w:val="off"/>
                <w:color w:val="000000"/>
                <w:rFonts w:ascii="Times New Roman" w:hAnsi="Times New Roman" w:cs="Times New Roman" w:eastAsia="Times New Roman"/>
                <w:sz w:val="24"/>
              </w:rPr>
              <w:t>„50a) § 25 ods. 4 a 5 zákona č. 580/2004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 113 ods. 4 vyhlášky č. 543/2005 Z. z. (ďalej len „vyhláška“) vychádza z pôvodného zámeru zabezpečiť doručovanie právoplatných uznesení o dedičstve vydaných notármi ako súdnymi komisármi v dedičskom konaní tej zdravotnej poisťovni, ktorá má voči poručiteľovi pohľadávku alebo záväzok z verejného zdravotného poistenia zistený podľa osobitného predpisu alebo prihlásený do dedičského konania. Podľa súčasného znenia § 113 ods. 4 vyhlášky sa doručovanie právoplatného uznesenia o dedičstve viaže výlučne na zdravotnú poisťovňu, v ktorej bol poručiteľ ku dňu smrti verejne zdravotne poistený. Takéto vymedzenie však nezohľadňuje situácie, v ktorých má voči poručiteľovi pohľadávku alebo záväzok z verejného zdravotného poistenia zdravotná poisťovňa, v ktorej poručiteľ ku dňu smrti už verejne zdravotne poistený nebol. Ide najmä o prípady, kedy poručiteľ počas života zmenil zdravotnú poisťovňu, pričom pôvodná zdravotná poisťovňa naďalej eviduje pohľadávku alebo záväzok, ktorý súvisí s obdobím trvania verejného zdravotného poistenia. Pohľadávka alebo záväzok voči poručiteľovi môže byť zistený aj následne, napríklad v súvislosti s vykonaním ročného zúčtovania poistného. Rovnako môže ísť o pohľadávku alebo záväzok vzťahujúci sa na obdobie, počas ktorého poistný vzťah trval, hoci tento neskôr zanikol v dôsledku zmeny skutočností rozhodujúcich pre účasť na verejnom zdravotnom poistení. Súčasne sa upravuje povinnosť doručiť zdravotnej poisťovni aj uznesenie súdneho komisára, ktorým došlo k oprave alebo doplneniu pôvodného uznesenia, ak sa oprava alebo doplnenie týka pohľadávky alebo záväzku zdravotnej poisťovne. Navrhovaná úprava reaguje na potrebu jednoznačne vymedziť okruh zdravotných poisťovní, ktorým sa právoplatné uznesenie súdneho komisára doručuje, a zabezpečuje, aby doručovanie nebolo závislé výlučne od existencie poistného vzťahu poručiteľa ku dňu smrti, ale od existencie pohľadávky alebo záväzku zdravotnej poisťovne, ktorý bol zistený podľa osobitného predpisu alebo prihlásený do dedičského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Vlastný materiál bol primerane upravený, akceptované v rozsahu opravných a doplňujúcich uznesení; v ostatnej časti neakceptované z dôvodu, že riešenie vytvára neprimeranú administratívnu záťaž, ktorá naviac duplicitne zavádza zasielanie uznesení, pretože ak je zdravotná poisťovňa účastníkom dedičského konania, uznesenie o dedičstve sa tomuto účastníkovi doručuje, pretože ak má poisťovňa pohľadávku, tak je ako veriteľ účastníkom dedičského konania a je potrebné, aby v tomto konaní postupovala rovnako, ako ostatní veritelia poručiteľa.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 (6o,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22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