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CC4EA9"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7FF2A639" w14:textId="77777777"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14:paraId="1ADFCA3A" w14:textId="77777777"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14:paraId="27AAAE1E" w14:textId="77777777" w:rsidTr="000800FC">
        <w:tc>
          <w:tcPr>
            <w:tcW w:w="9180" w:type="dxa"/>
            <w:gridSpan w:val="11"/>
            <w:tcBorders>
              <w:bottom w:val="single" w:sz="4" w:space="0" w:color="FFFFFF"/>
            </w:tcBorders>
            <w:shd w:val="clear" w:color="auto" w:fill="E2E2E2"/>
          </w:tcPr>
          <w:p w14:paraId="165DCDBE"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7B218FCC" w14:textId="77777777" w:rsidTr="000800FC">
        <w:tc>
          <w:tcPr>
            <w:tcW w:w="9180" w:type="dxa"/>
            <w:gridSpan w:val="11"/>
            <w:tcBorders>
              <w:bottom w:val="single" w:sz="4" w:space="0" w:color="FFFFFF"/>
            </w:tcBorders>
            <w:shd w:val="clear" w:color="auto" w:fill="E2E2E2"/>
          </w:tcPr>
          <w:p w14:paraId="59E6824C"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14:paraId="6AD41A9D" w14:textId="77777777" w:rsidTr="000800FC">
        <w:tc>
          <w:tcPr>
            <w:tcW w:w="9180" w:type="dxa"/>
            <w:gridSpan w:val="11"/>
            <w:tcBorders>
              <w:top w:val="single" w:sz="4" w:space="0" w:color="FFFFFF"/>
              <w:bottom w:val="single" w:sz="4" w:space="0" w:color="auto"/>
            </w:tcBorders>
          </w:tcPr>
          <w:p w14:paraId="51967E6B" w14:textId="68062760" w:rsidR="001B23B7" w:rsidRPr="007E5F96" w:rsidRDefault="007E5F96" w:rsidP="0097221C">
            <w:pPr>
              <w:jc w:val="center"/>
              <w:rPr>
                <w:rFonts w:ascii="Arial Narrow" w:eastAsia="Times New Roman" w:hAnsi="Arial Narrow" w:cs="Times New Roman"/>
                <w:lang w:eastAsia="sk-SK"/>
              </w:rPr>
            </w:pPr>
            <w:r w:rsidRPr="004E47A0">
              <w:rPr>
                <w:rFonts w:ascii="Times New Roman" w:eastAsia="Times New Roman" w:hAnsi="Times New Roman" w:cs="Times New Roman"/>
                <w:lang w:eastAsia="sk-SK"/>
              </w:rPr>
              <w:t xml:space="preserve">Návrh zákona, </w:t>
            </w:r>
            <w:bookmarkStart w:id="0" w:name="_Hlk190869702"/>
            <w:r w:rsidR="004E47A0" w:rsidRPr="004E47A0">
              <w:rPr>
                <w:rFonts w:ascii="Times New Roman" w:eastAsia="Times New Roman" w:hAnsi="Times New Roman" w:cs="Times New Roman"/>
                <w:noProof/>
                <w:lang w:eastAsia="sk-SK"/>
              </w:rPr>
              <w:t>ktorým sa mení a dopĺňa zákon č. 566/2001 Z. z. o cenných papieroch a investičných službách a o zmene a doplnení niektorých zákonov (zákon o cenných papieroch) v znení neskorších predpisov a ktorým sa mení a dopĺňa zákon č. 429/2002 Z. z. o burze cenných papierov v znení neskorších predpisov</w:t>
            </w:r>
            <w:bookmarkEnd w:id="0"/>
          </w:p>
          <w:p w14:paraId="157CABB6"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3F593F57" w14:textId="77777777" w:rsidTr="000800FC">
        <w:tc>
          <w:tcPr>
            <w:tcW w:w="9180" w:type="dxa"/>
            <w:gridSpan w:val="11"/>
            <w:tcBorders>
              <w:top w:val="single" w:sz="4" w:space="0" w:color="auto"/>
              <w:left w:val="single" w:sz="4" w:space="0" w:color="auto"/>
              <w:bottom w:val="single" w:sz="4" w:space="0" w:color="FFFFFF"/>
            </w:tcBorders>
            <w:shd w:val="clear" w:color="auto" w:fill="E2E2E2"/>
          </w:tcPr>
          <w:p w14:paraId="660DED66"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14:paraId="7B2BB866" w14:textId="77777777" w:rsidTr="000800FC">
        <w:tc>
          <w:tcPr>
            <w:tcW w:w="9180" w:type="dxa"/>
            <w:gridSpan w:val="11"/>
            <w:tcBorders>
              <w:top w:val="single" w:sz="4" w:space="0" w:color="FFFFFF"/>
              <w:left w:val="single" w:sz="4" w:space="0" w:color="auto"/>
              <w:bottom w:val="single" w:sz="4" w:space="0" w:color="auto"/>
            </w:tcBorders>
            <w:shd w:val="clear" w:color="auto" w:fill="FFFFFF"/>
          </w:tcPr>
          <w:p w14:paraId="5DDFCBEA" w14:textId="6B0424AC" w:rsidR="001B23B7" w:rsidRPr="00612E08" w:rsidRDefault="00ED4B5F" w:rsidP="000800FC">
            <w:pPr>
              <w:rPr>
                <w:rFonts w:ascii="Times New Roman" w:eastAsia="Times New Roman" w:hAnsi="Times New Roman" w:cs="Times New Roman"/>
                <w:sz w:val="20"/>
                <w:szCs w:val="20"/>
                <w:lang w:eastAsia="sk-SK"/>
              </w:rPr>
            </w:pPr>
            <w:r>
              <w:rPr>
                <w:rFonts w:ascii="Times New Roman" w:eastAsia="Times New Roman" w:hAnsi="Times New Roman" w:cs="Times New Roman"/>
                <w:lang w:eastAsia="sk-SK"/>
              </w:rPr>
              <w:t>vláda</w:t>
            </w:r>
            <w:r w:rsidR="007E5F96" w:rsidRPr="0097221C">
              <w:rPr>
                <w:rFonts w:ascii="Times New Roman" w:eastAsia="Times New Roman" w:hAnsi="Times New Roman" w:cs="Times New Roman"/>
                <w:lang w:eastAsia="sk-SK"/>
              </w:rPr>
              <w:t xml:space="preserve"> Slovenskej republiky</w:t>
            </w:r>
          </w:p>
          <w:p w14:paraId="6D9EABA5"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26EDDEF4" w14:textId="77777777" w:rsidTr="000800F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574E0AC7"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68005985" w14:textId="77777777"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70772C5D" w14:textId="77777777" w:rsidR="001B23B7" w:rsidRPr="00612E08" w:rsidRDefault="001B23B7" w:rsidP="000800F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14:paraId="5A9EB13F" w14:textId="77777777" w:rsidTr="000800FC">
        <w:tc>
          <w:tcPr>
            <w:tcW w:w="4212" w:type="dxa"/>
            <w:gridSpan w:val="2"/>
            <w:vMerge/>
            <w:tcBorders>
              <w:top w:val="nil"/>
              <w:left w:val="single" w:sz="4" w:space="0" w:color="auto"/>
              <w:bottom w:val="single" w:sz="4" w:space="0" w:color="FFFFFF"/>
            </w:tcBorders>
            <w:shd w:val="clear" w:color="auto" w:fill="E2E2E2"/>
          </w:tcPr>
          <w:p w14:paraId="0E8EF12A"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1CC6866B" w14:textId="2C76DA7E" w:rsidR="001B23B7" w:rsidRPr="00612E08" w:rsidRDefault="007E5F96"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071F6628" w14:textId="77777777" w:rsidR="001B23B7" w:rsidRPr="00612E08" w:rsidRDefault="001B23B7" w:rsidP="000800FC">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14:paraId="12AA22A4" w14:textId="77777777" w:rsidTr="000800FC">
        <w:tc>
          <w:tcPr>
            <w:tcW w:w="4212" w:type="dxa"/>
            <w:gridSpan w:val="2"/>
            <w:vMerge/>
            <w:tcBorders>
              <w:top w:val="nil"/>
              <w:left w:val="single" w:sz="4" w:space="0" w:color="auto"/>
              <w:bottom w:val="single" w:sz="4" w:space="0" w:color="auto"/>
            </w:tcBorders>
            <w:shd w:val="clear" w:color="auto" w:fill="E2E2E2"/>
          </w:tcPr>
          <w:p w14:paraId="150297E1"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1"/>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1F894BFC" w14:textId="781E03CF" w:rsidR="001B23B7" w:rsidRPr="00612E08" w:rsidRDefault="007E5F96" w:rsidP="000800FC">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7134D3B1" w14:textId="77777777"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14:paraId="32B34D80" w14:textId="77777777" w:rsidTr="000800FC">
        <w:tc>
          <w:tcPr>
            <w:tcW w:w="9180" w:type="dxa"/>
            <w:gridSpan w:val="11"/>
            <w:tcBorders>
              <w:top w:val="single" w:sz="4" w:space="0" w:color="auto"/>
              <w:left w:val="single" w:sz="4" w:space="0" w:color="auto"/>
              <w:bottom w:val="single" w:sz="4" w:space="0" w:color="FFFFFF"/>
            </w:tcBorders>
            <w:shd w:val="clear" w:color="auto" w:fill="FFFFFF"/>
          </w:tcPr>
          <w:p w14:paraId="23FFB270" w14:textId="77777777"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p w14:paraId="460619BF" w14:textId="77777777" w:rsidR="007E5F96" w:rsidRDefault="007E5F96" w:rsidP="007E5F96">
            <w:pPr>
              <w:rPr>
                <w:rFonts w:ascii="Times New Roman" w:eastAsia="Times New Roman" w:hAnsi="Times New Roman" w:cs="Times New Roman"/>
                <w:sz w:val="20"/>
                <w:szCs w:val="20"/>
                <w:lang w:eastAsia="sk-SK"/>
              </w:rPr>
            </w:pPr>
          </w:p>
          <w:p w14:paraId="712FF58A" w14:textId="37EE24CA" w:rsidR="007E5F96" w:rsidRPr="004E47A0" w:rsidRDefault="007E5F96" w:rsidP="007E5F96">
            <w:pPr>
              <w:rPr>
                <w:rFonts w:ascii="Times New Roman" w:eastAsia="Times New Roman" w:hAnsi="Times New Roman" w:cs="Times New Roman"/>
                <w:lang w:eastAsia="sk-SK"/>
              </w:rPr>
            </w:pPr>
            <w:r w:rsidRPr="004E47A0">
              <w:rPr>
                <w:rFonts w:ascii="Times New Roman" w:eastAsia="Times New Roman" w:hAnsi="Times New Roman" w:cs="Times New Roman"/>
                <w:lang w:eastAsia="sk-SK"/>
              </w:rPr>
              <w:t>Smernica (EÚ) 2024/790, z 28. februára 2024, ktorou sa mení smernica 2014/65/EÚ o trhoch s finančnými nástrojmi.</w:t>
            </w:r>
          </w:p>
          <w:p w14:paraId="57EBB5B4" w14:textId="77777777" w:rsidR="007E5F96" w:rsidRPr="004E47A0" w:rsidRDefault="007E5F96" w:rsidP="007E5F96">
            <w:pPr>
              <w:rPr>
                <w:rFonts w:ascii="Times New Roman" w:eastAsia="Times New Roman" w:hAnsi="Times New Roman" w:cs="Times New Roman"/>
                <w:lang w:eastAsia="sk-SK"/>
              </w:rPr>
            </w:pPr>
            <w:r w:rsidRPr="004E47A0">
              <w:rPr>
                <w:rFonts w:ascii="Times New Roman" w:eastAsia="Times New Roman" w:hAnsi="Times New Roman" w:cs="Times New Roman"/>
                <w:lang w:eastAsia="sk-SK"/>
              </w:rPr>
              <w:t>Smernica (EÚ) 2024/2811 z 23. októbra 2024, ktorou sa mení smernica 2014/65/EÚ s cieľom zatraktívniť verejné kapitálové trhy v Únii pre spoločnosti a uľahčiť malým a stredným podnikom prístup ku kapitálu a ktorou sa zrušuje smernica 2001/34/ES.</w:t>
            </w:r>
          </w:p>
          <w:p w14:paraId="08A69CED" w14:textId="77777777" w:rsidR="007E5F96" w:rsidRPr="004E47A0" w:rsidRDefault="007E5F96" w:rsidP="007E5F96">
            <w:pPr>
              <w:rPr>
                <w:rFonts w:ascii="Times New Roman" w:eastAsia="Times New Roman" w:hAnsi="Times New Roman" w:cs="Times New Roman"/>
                <w:lang w:eastAsia="sk-SK"/>
              </w:rPr>
            </w:pPr>
            <w:r w:rsidRPr="004E47A0">
              <w:rPr>
                <w:rFonts w:ascii="Times New Roman" w:eastAsia="Times New Roman" w:hAnsi="Times New Roman" w:cs="Times New Roman"/>
                <w:lang w:eastAsia="sk-SK"/>
              </w:rPr>
              <w:t xml:space="preserve">Smernica (EÚ) 2024/2994 z 27. novembra 2024, ktorou sa menia smernice 2009/65/ES, 2013/36/EÚ a (EÚ) 2019/3034, pokiaľ ide o zaobchádzanie s rizikom koncentrácie vyplývajúcim z expozícií voči centrálnym protistranám a s rizikom protistrany pri centrálne zúčtovávaných transakciách s derivátmi.     </w:t>
            </w:r>
          </w:p>
          <w:p w14:paraId="236D49C2"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0D7AF943" w14:textId="77777777" w:rsidTr="000800F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23B0FFEB"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58569ABC" w14:textId="77777777" w:rsidR="001B23B7" w:rsidRPr="00612E08" w:rsidRDefault="001B23B7" w:rsidP="000800FC">
            <w:pPr>
              <w:rPr>
                <w:rFonts w:ascii="Times New Roman" w:eastAsia="Times New Roman" w:hAnsi="Times New Roman" w:cs="Times New Roman"/>
                <w:i/>
                <w:sz w:val="20"/>
                <w:szCs w:val="20"/>
                <w:lang w:eastAsia="sk-SK"/>
              </w:rPr>
            </w:pPr>
          </w:p>
        </w:tc>
      </w:tr>
      <w:tr w:rsidR="00612E08" w:rsidRPr="00612E08" w14:paraId="05C11F54"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41B94672" w14:textId="77777777"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7BD06BB6" w14:textId="438636CD" w:rsidR="001B23B7" w:rsidRPr="00612E08" w:rsidRDefault="007E5F96"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Február 2025</w:t>
            </w:r>
          </w:p>
        </w:tc>
      </w:tr>
      <w:tr w:rsidR="00612E08" w:rsidRPr="00612E08" w14:paraId="591E5FDF"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5CDB96E1" w14:textId="77777777"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6F382CDF" w14:textId="77777777" w:rsidR="001B23B7" w:rsidRPr="00612E08" w:rsidRDefault="001B23B7">
            <w:pPr>
              <w:rPr>
                <w:rFonts w:ascii="Times New Roman" w:eastAsia="Times New Roman" w:hAnsi="Times New Roman" w:cs="Times New Roman"/>
                <w:i/>
                <w:sz w:val="20"/>
                <w:szCs w:val="20"/>
                <w:lang w:eastAsia="sk-SK"/>
              </w:rPr>
            </w:pPr>
          </w:p>
        </w:tc>
      </w:tr>
      <w:tr w:rsidR="00612E08" w:rsidRPr="00612E08" w14:paraId="25CCEDB2"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7D50C766" w14:textId="77777777" w:rsidR="001B23B7" w:rsidRPr="00612E08" w:rsidRDefault="001B23B7" w:rsidP="000800FC">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1EFE88A5" w14:textId="02D57ED8" w:rsidR="001B23B7" w:rsidRPr="00612E08" w:rsidRDefault="007E5F96"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Apríl 2025</w:t>
            </w:r>
          </w:p>
        </w:tc>
      </w:tr>
      <w:tr w:rsidR="00612E08" w:rsidRPr="00612E08" w14:paraId="202B2176" w14:textId="77777777" w:rsidTr="000800FC">
        <w:tc>
          <w:tcPr>
            <w:tcW w:w="9180" w:type="dxa"/>
            <w:gridSpan w:val="11"/>
            <w:tcBorders>
              <w:top w:val="single" w:sz="4" w:space="0" w:color="auto"/>
              <w:left w:val="nil"/>
              <w:bottom w:val="single" w:sz="4" w:space="0" w:color="auto"/>
              <w:right w:val="nil"/>
            </w:tcBorders>
            <w:shd w:val="clear" w:color="auto" w:fill="FFFFFF"/>
          </w:tcPr>
          <w:p w14:paraId="41C791A4"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34DD2B9C"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31AF8063"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14:paraId="01F08F46" w14:textId="77777777" w:rsidTr="000800FC">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23DECAC1" w14:textId="77777777" w:rsidR="001B23B7"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14:paraId="3B86D506" w14:textId="77777777" w:rsidR="007E5F96" w:rsidRDefault="007E5F96" w:rsidP="000800FC">
            <w:pPr>
              <w:jc w:val="both"/>
              <w:rPr>
                <w:rFonts w:ascii="Times New Roman" w:eastAsia="Times New Roman" w:hAnsi="Times New Roman" w:cs="Times New Roman"/>
                <w:i/>
                <w:sz w:val="20"/>
                <w:szCs w:val="20"/>
                <w:lang w:eastAsia="sk-SK"/>
              </w:rPr>
            </w:pPr>
          </w:p>
          <w:p w14:paraId="53D979FA" w14:textId="77777777" w:rsidR="007E5F96" w:rsidRPr="004E47A0" w:rsidRDefault="007E5F96" w:rsidP="007E5F96">
            <w:pPr>
              <w:jc w:val="both"/>
              <w:rPr>
                <w:rFonts w:ascii="Times New Roman" w:eastAsia="Times New Roman" w:hAnsi="Times New Roman" w:cs="Times New Roman"/>
                <w:lang w:eastAsia="sk-SK"/>
              </w:rPr>
            </w:pPr>
            <w:r w:rsidRPr="004E47A0">
              <w:rPr>
                <w:rFonts w:ascii="Times New Roman" w:eastAsia="Times New Roman" w:hAnsi="Times New Roman" w:cs="Times New Roman"/>
                <w:lang w:eastAsia="sk-SK"/>
              </w:rPr>
              <w:t>Cieľom návrhu zákona je:</w:t>
            </w:r>
          </w:p>
          <w:p w14:paraId="59295DB6" w14:textId="77777777" w:rsidR="007E5F96" w:rsidRPr="004E47A0" w:rsidRDefault="007E5F96" w:rsidP="007E5F96">
            <w:pPr>
              <w:pStyle w:val="Odsekzoznamu"/>
              <w:numPr>
                <w:ilvl w:val="0"/>
                <w:numId w:val="2"/>
              </w:numPr>
              <w:jc w:val="both"/>
              <w:rPr>
                <w:rFonts w:ascii="Times New Roman" w:hAnsi="Times New Roman" w:cs="Times New Roman"/>
              </w:rPr>
            </w:pPr>
            <w:r w:rsidRPr="004E47A0">
              <w:rPr>
                <w:rFonts w:ascii="Times New Roman" w:hAnsi="Times New Roman" w:cs="Times New Roman"/>
              </w:rPr>
              <w:t xml:space="preserve">transpozícia smernice (EÚ) 2024/790, ktorou sa mení smernica 2014/65/EÚ o trhoch s finančnými nástrojmi. Touto smernicou (EÚ) sa odstraňujú identifikované prekážky, ktoré bránili rozvoju regulovaných trhov v EÚ, zavádza sa </w:t>
            </w:r>
            <w:proofErr w:type="spellStart"/>
            <w:r w:rsidRPr="004E47A0">
              <w:rPr>
                <w:rFonts w:ascii="Times New Roman" w:hAnsi="Times New Roman" w:cs="Times New Roman"/>
              </w:rPr>
              <w:t>opt</w:t>
            </w:r>
            <w:proofErr w:type="spellEnd"/>
            <w:r w:rsidRPr="004E47A0">
              <w:rPr>
                <w:rFonts w:ascii="Times New Roman" w:hAnsi="Times New Roman" w:cs="Times New Roman"/>
              </w:rPr>
              <w:t xml:space="preserve">-in režim systematického </w:t>
            </w:r>
            <w:proofErr w:type="spellStart"/>
            <w:r w:rsidRPr="004E47A0">
              <w:rPr>
                <w:rFonts w:ascii="Times New Roman" w:hAnsi="Times New Roman" w:cs="Times New Roman"/>
              </w:rPr>
              <w:t>internalizátora</w:t>
            </w:r>
            <w:proofErr w:type="spellEnd"/>
            <w:r w:rsidRPr="004E47A0">
              <w:rPr>
                <w:rFonts w:ascii="Times New Roman" w:hAnsi="Times New Roman" w:cs="Times New Roman"/>
              </w:rPr>
              <w:t xml:space="preserve">, upravujú sa informačné povinnosti obchodníkov s cennými papiermi voči ich klientom o mieste vykonania pokynu, zavádza sa požiadavka na zabezpečenie plnenia noriem kvality údajov zasielaných poskytovateľovi konsolidovaného systému, spresňuje sa možnosť dočasne pozastaviť alebo obmedziť obchodovanie na regulovanom trhu, spresňuje sa mechanizmus kontroly nad riadením pozícií v komoditných derivátoch a derivátoch na emisné kvóty, a dopĺňa sa sankčný režim. Súbežne s touto smernicou bolo prijaté nariadenie (EÚ) 2024/791, ktorým s odstraňujú prekážky brániace vzniku konsolidovaného informačného systému, do ktorého budú povinne prispievať svojimi údajmi dotknuté trhové subjekty.   </w:t>
            </w:r>
          </w:p>
          <w:p w14:paraId="22FCEC8E" w14:textId="77777777" w:rsidR="007E5F96" w:rsidRPr="004E47A0" w:rsidRDefault="007E5F96" w:rsidP="007E5F96">
            <w:pPr>
              <w:pStyle w:val="Odsekzoznamu"/>
              <w:numPr>
                <w:ilvl w:val="0"/>
                <w:numId w:val="2"/>
              </w:numPr>
              <w:jc w:val="both"/>
              <w:rPr>
                <w:rFonts w:ascii="Times New Roman" w:hAnsi="Times New Roman" w:cs="Times New Roman"/>
              </w:rPr>
            </w:pPr>
            <w:r w:rsidRPr="004E47A0">
              <w:rPr>
                <w:rFonts w:ascii="Times New Roman" w:hAnsi="Times New Roman" w:cs="Times New Roman"/>
                <w:bCs/>
                <w:shd w:val="clear" w:color="auto" w:fill="FFFFFF"/>
              </w:rPr>
              <w:t xml:space="preserve">transpozícia smernice (EÚ) 2024/2811 z 23. októbra 2024, ktorou sa mení smernica 2014/65/EÚ s cieľom zatraktívniť verejné kapitálové trhy v Únii pre spoločnosti a uľahčiť malým a stredným podnikom prístup ku kapitálu a ktorou sa zrušuje smernica 2001/34/ES. Cieľom smernice je </w:t>
            </w:r>
            <w:r w:rsidRPr="004E47A0">
              <w:rPr>
                <w:rFonts w:ascii="Times New Roman" w:hAnsi="Times New Roman" w:cs="Times New Roman"/>
                <w:shd w:val="clear" w:color="auto" w:fill="FFFFFF"/>
              </w:rPr>
              <w:lastRenderedPageBreak/>
              <w:t>stanoviť podmienky pre poskytovanie investičného prieskumu tretími stranami investičným spoločnostiam poskytujúcim správu portfólia a tým zatraktívniť malé a stredné spoločnosti z hľadiska investorov</w:t>
            </w:r>
            <w:r w:rsidRPr="004E47A0">
              <w:rPr>
                <w:rFonts w:ascii="Times New Roman" w:hAnsi="Times New Roman" w:cs="Times New Roman"/>
                <w:color w:val="333333"/>
                <w:shd w:val="clear" w:color="auto" w:fill="FFFFFF"/>
              </w:rPr>
              <w:t>.   </w:t>
            </w:r>
            <w:r w:rsidRPr="004E47A0">
              <w:rPr>
                <w:rFonts w:ascii="Times New Roman" w:hAnsi="Times New Roman" w:cs="Times New Roman"/>
                <w:bCs/>
                <w:color w:val="333333"/>
                <w:shd w:val="clear" w:color="auto" w:fill="FFFFFF"/>
              </w:rPr>
              <w:t xml:space="preserve">   </w:t>
            </w:r>
          </w:p>
          <w:p w14:paraId="5C0BCA77" w14:textId="77777777" w:rsidR="007E5F96" w:rsidRPr="004E47A0" w:rsidRDefault="007E5F96" w:rsidP="007E5F96">
            <w:pPr>
              <w:pStyle w:val="Odsekzoznamu"/>
              <w:numPr>
                <w:ilvl w:val="0"/>
                <w:numId w:val="2"/>
              </w:numPr>
              <w:jc w:val="both"/>
              <w:rPr>
                <w:rFonts w:ascii="Times New Roman" w:hAnsi="Times New Roman" w:cs="Times New Roman"/>
              </w:rPr>
            </w:pPr>
            <w:r w:rsidRPr="004E47A0">
              <w:rPr>
                <w:rFonts w:ascii="Times New Roman" w:hAnsi="Times New Roman" w:cs="Times New Roman"/>
                <w:bCs/>
                <w:shd w:val="clear" w:color="auto" w:fill="FFFFFF"/>
              </w:rPr>
              <w:t>Transpozícia smernice (EÚ) 2024/2994 z 27. novembra 2024, ktorou sa menia smernice 2009/65/ES, 2013/36/EÚ a (EÚ) 2019/2034, pokiaľ ide o zaobchádzanie s rizikom koncentrácie vyplývajúcim z expozícií voči centrálnym protistranám a s rizikom protistrany pri centrálne zúčtovávaných transakciách s derivátmi. K</w:t>
            </w:r>
            <w:r w:rsidRPr="004E47A0">
              <w:rPr>
                <w:rFonts w:ascii="Times New Roman" w:hAnsi="Times New Roman" w:cs="Times New Roman"/>
                <w:shd w:val="clear" w:color="auto" w:fill="FFFFFF"/>
              </w:rPr>
              <w:t>eďže mechanizmy centrálneho zúčtovania zmierňujú riziko protistrany, ktoré je obsiahnuté v zmluvách o derivátoch, pri určovaní uplatniteľných limitov pre riziko protistrany treba zohľadniť, či derivát centrálne zúčtovala centrálna protistrana, ktorej bolo udelené povolenie alebo ktorá bola uznaná v súlade s nariadením (EÚ) č. 648/2012, a vytvoriť rovnaké podmienky pre deriváty obchodované na burze a mimoburzové deriváty.</w:t>
            </w:r>
          </w:p>
          <w:p w14:paraId="4B6330FD" w14:textId="1D2ECD0E" w:rsidR="007E5F96" w:rsidRPr="004E47A0" w:rsidRDefault="007E5F96" w:rsidP="007E5F96">
            <w:pPr>
              <w:pStyle w:val="Odsekzoznamu"/>
              <w:numPr>
                <w:ilvl w:val="0"/>
                <w:numId w:val="2"/>
              </w:numPr>
              <w:jc w:val="both"/>
              <w:rPr>
                <w:rFonts w:ascii="Times New Roman" w:hAnsi="Times New Roman" w:cs="Times New Roman"/>
              </w:rPr>
            </w:pPr>
            <w:r w:rsidRPr="004E47A0">
              <w:rPr>
                <w:rFonts w:ascii="Times New Roman" w:hAnsi="Times New Roman" w:cs="Times New Roman"/>
              </w:rPr>
              <w:t xml:space="preserve">Do zákona sa tiež zavádzajú niektoré ustanovenia, ktorých účelom je odstránenie nedostatkov s ohľadom na poznatky z praxe.       </w:t>
            </w:r>
          </w:p>
          <w:p w14:paraId="351501BD" w14:textId="77777777" w:rsidR="001B23B7" w:rsidRPr="00612E08" w:rsidRDefault="001B23B7" w:rsidP="000800FC">
            <w:pPr>
              <w:rPr>
                <w:rFonts w:ascii="Times New Roman" w:eastAsia="Times New Roman" w:hAnsi="Times New Roman" w:cs="Times New Roman"/>
                <w:b/>
                <w:sz w:val="20"/>
                <w:szCs w:val="20"/>
                <w:lang w:eastAsia="sk-SK"/>
              </w:rPr>
            </w:pPr>
          </w:p>
        </w:tc>
      </w:tr>
      <w:tr w:rsidR="00612E08" w:rsidRPr="00612E08" w14:paraId="32E1DBF5"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04B51B38"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Ciele a výsledný stav</w:t>
            </w:r>
          </w:p>
        </w:tc>
      </w:tr>
      <w:tr w:rsidR="00612E08" w:rsidRPr="00612E08" w14:paraId="3A6FEB7B" w14:textId="77777777" w:rsidTr="000800FC">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1DC021B6" w14:textId="77777777"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14:paraId="7DA5A37D" w14:textId="77777777" w:rsidR="007E5F96" w:rsidRDefault="007E5F96" w:rsidP="000800FC">
            <w:pPr>
              <w:rPr>
                <w:rFonts w:ascii="Times New Roman" w:eastAsia="Times New Roman" w:hAnsi="Times New Roman" w:cs="Times New Roman"/>
                <w:i/>
                <w:sz w:val="20"/>
                <w:szCs w:val="20"/>
                <w:lang w:eastAsia="sk-SK"/>
              </w:rPr>
            </w:pPr>
          </w:p>
          <w:p w14:paraId="0E7AE48D" w14:textId="77777777" w:rsidR="007E5F96" w:rsidRPr="004E47A0" w:rsidRDefault="007E5F96" w:rsidP="007E5F96">
            <w:pPr>
              <w:rPr>
                <w:rFonts w:ascii="Times New Roman" w:eastAsia="Times New Roman" w:hAnsi="Times New Roman" w:cs="Times New Roman"/>
                <w:lang w:eastAsia="sk-SK"/>
              </w:rPr>
            </w:pPr>
            <w:r w:rsidRPr="004E47A0">
              <w:rPr>
                <w:rFonts w:ascii="Times New Roman" w:eastAsia="Times New Roman" w:hAnsi="Times New Roman" w:cs="Times New Roman"/>
                <w:lang w:eastAsia="sk-SK"/>
              </w:rPr>
              <w:t xml:space="preserve">Hlavným cieľom je úplná transpozícia smerníc (EÚ). </w:t>
            </w:r>
          </w:p>
          <w:p w14:paraId="50169C66" w14:textId="39DDC5C4" w:rsidR="007E5F96" w:rsidRPr="004E47A0" w:rsidRDefault="007E5F96" w:rsidP="000800FC">
            <w:pPr>
              <w:rPr>
                <w:rFonts w:ascii="Times New Roman" w:eastAsia="Times New Roman" w:hAnsi="Times New Roman" w:cs="Times New Roman"/>
                <w:i/>
                <w:sz w:val="20"/>
                <w:szCs w:val="20"/>
                <w:lang w:eastAsia="sk-SK"/>
              </w:rPr>
            </w:pPr>
            <w:r w:rsidRPr="004E47A0">
              <w:rPr>
                <w:rFonts w:ascii="Times New Roman" w:eastAsia="Times New Roman" w:hAnsi="Times New Roman" w:cs="Times New Roman"/>
              </w:rPr>
              <w:t xml:space="preserve">Smernica (EÚ) 2024/790 z 28. februára 2024 zavádza podmienky pre vytvorenie konsolidovaného systému zberu trhových údajov, dôsledkom čoho budú mať investori prehľad o obchodovaní s finančnými nástrojmi na všetkých európskych kapitálových trhoch. </w:t>
            </w:r>
            <w:r w:rsidRPr="004E47A0">
              <w:rPr>
                <w:rFonts w:ascii="Times New Roman" w:eastAsia="Times New Roman" w:hAnsi="Times New Roman" w:cs="Times New Roman"/>
              </w:rPr>
              <w:br/>
            </w:r>
            <w:r w:rsidRPr="004E47A0">
              <w:rPr>
                <w:rFonts w:ascii="Times New Roman" w:eastAsia="Times New Roman" w:hAnsi="Times New Roman" w:cs="Times New Roman"/>
              </w:rPr>
              <w:br/>
              <w:t xml:space="preserve">Smernica (EÚ) 2024/2811 z 23. októbra 2024 (Listing </w:t>
            </w:r>
            <w:proofErr w:type="spellStart"/>
            <w:r w:rsidRPr="004E47A0">
              <w:rPr>
                <w:rFonts w:ascii="Times New Roman" w:eastAsia="Times New Roman" w:hAnsi="Times New Roman" w:cs="Times New Roman"/>
              </w:rPr>
              <w:t>package</w:t>
            </w:r>
            <w:proofErr w:type="spellEnd"/>
            <w:r w:rsidRPr="004E47A0">
              <w:rPr>
                <w:rFonts w:ascii="Times New Roman" w:eastAsia="Times New Roman" w:hAnsi="Times New Roman" w:cs="Times New Roman"/>
              </w:rPr>
              <w:t xml:space="preserve">), má za cieľ zatraktívniť verejné kapitálové trhy v Únii pre spoločnosti a uľahčiť malým a stredným podnikom prístup ku kapitálu. Upravuje podmienky pre zabezpečenie vyššej atraktivity malých a stredných podnikov z hľadiska investorov prostredníctvom požiadaviek na podmienky vypracúvania a šírenia investičného prieskumu. </w:t>
            </w:r>
            <w:r w:rsidRPr="004E47A0">
              <w:rPr>
                <w:rFonts w:ascii="Times New Roman" w:eastAsia="Times New Roman" w:hAnsi="Times New Roman" w:cs="Times New Roman"/>
              </w:rPr>
              <w:br/>
            </w:r>
            <w:r w:rsidRPr="004E47A0">
              <w:rPr>
                <w:rFonts w:ascii="Times New Roman" w:eastAsia="Times New Roman" w:hAnsi="Times New Roman" w:cs="Times New Roman"/>
              </w:rPr>
              <w:br/>
              <w:t>Smernica (EÚ) 2024/2994 z 27. novembra 2024, pokiaľ ide o zaobchádzanie s rizikom koncentrácie vyplývajúcim z expozícií voči centrálnym protistranám a s rizikom protistrany pri centrálne zúčtovávaných transakciách s derivátmi, vytvára rovnaké podmienky pre deriváty obchodované na burze a mimoburzové deriváty. Obchodník s cennými papiermi je povinný riadiť expozície voči centrálnej protistrane, a v prípade potreby sa vytvára možnosť vyžadovať zníženie nadmernej expozície voči centrálnej protistrane.</w:t>
            </w:r>
          </w:p>
          <w:p w14:paraId="6ED9F3EE"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734CFD2D"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72A9B335"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Dotknuté subjekty</w:t>
            </w:r>
          </w:p>
        </w:tc>
      </w:tr>
      <w:tr w:rsidR="00612E08" w:rsidRPr="00612E08" w14:paraId="298FEE63"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6B998A2D" w14:textId="77777777"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subjekty, ktorých sa zmeny predkladaného materiálu dotknú priamo aj nepriamo: </w:t>
            </w:r>
          </w:p>
          <w:p w14:paraId="3F5144A0" w14:textId="77777777" w:rsidR="007E5F96" w:rsidRDefault="007E5F96" w:rsidP="000800FC">
            <w:pPr>
              <w:rPr>
                <w:rFonts w:ascii="Times New Roman" w:eastAsia="Times New Roman" w:hAnsi="Times New Roman" w:cs="Times New Roman"/>
                <w:i/>
                <w:sz w:val="20"/>
                <w:szCs w:val="20"/>
                <w:lang w:eastAsia="sk-SK"/>
              </w:rPr>
            </w:pPr>
          </w:p>
          <w:p w14:paraId="78E08145" w14:textId="77777777" w:rsidR="007E5F96" w:rsidRPr="004E47A0" w:rsidRDefault="007E5F96" w:rsidP="007E5F96">
            <w:pPr>
              <w:rPr>
                <w:rFonts w:ascii="Times New Roman" w:eastAsia="Times New Roman" w:hAnsi="Times New Roman" w:cs="Times New Roman"/>
                <w:lang w:eastAsia="sk-SK"/>
              </w:rPr>
            </w:pPr>
            <w:r w:rsidRPr="004E47A0">
              <w:rPr>
                <w:rFonts w:ascii="Times New Roman" w:eastAsia="Times New Roman" w:hAnsi="Times New Roman" w:cs="Times New Roman"/>
                <w:lang w:eastAsia="sk-SK"/>
              </w:rPr>
              <w:t>banky (22),</w:t>
            </w:r>
          </w:p>
          <w:p w14:paraId="57CC244F" w14:textId="77777777" w:rsidR="007E5F96" w:rsidRPr="004E47A0" w:rsidRDefault="007E5F96" w:rsidP="007E5F96">
            <w:pPr>
              <w:rPr>
                <w:rFonts w:ascii="Times New Roman" w:eastAsia="Times New Roman" w:hAnsi="Times New Roman" w:cs="Times New Roman"/>
                <w:lang w:eastAsia="sk-SK"/>
              </w:rPr>
            </w:pPr>
            <w:r w:rsidRPr="004E47A0">
              <w:rPr>
                <w:rFonts w:ascii="Times New Roman" w:eastAsia="Times New Roman" w:hAnsi="Times New Roman" w:cs="Times New Roman"/>
                <w:lang w:eastAsia="sk-SK"/>
              </w:rPr>
              <w:t>obchodníci s cennými papiermi (26)</w:t>
            </w:r>
          </w:p>
          <w:p w14:paraId="4D99C86F" w14:textId="77777777" w:rsidR="007E5F96" w:rsidRPr="004E47A0" w:rsidRDefault="007E5F96" w:rsidP="007E5F96">
            <w:pPr>
              <w:rPr>
                <w:rFonts w:ascii="Times New Roman" w:eastAsia="Times New Roman" w:hAnsi="Times New Roman" w:cs="Times New Roman"/>
                <w:lang w:eastAsia="sk-SK"/>
              </w:rPr>
            </w:pPr>
            <w:r w:rsidRPr="004E47A0">
              <w:rPr>
                <w:rFonts w:ascii="Times New Roman" w:eastAsia="Times New Roman" w:hAnsi="Times New Roman" w:cs="Times New Roman"/>
                <w:lang w:eastAsia="sk-SK"/>
              </w:rPr>
              <w:t>podnikateľské subjekty so záujmom emitovať dlhopisy (počet týchto podnikateľských subjektov nie je možné v súčasnosti určiť)</w:t>
            </w:r>
          </w:p>
          <w:p w14:paraId="1FAB2D15" w14:textId="29B6517B" w:rsidR="007E5F96" w:rsidRPr="004E47A0" w:rsidRDefault="007E5F96" w:rsidP="007E5F96">
            <w:pPr>
              <w:rPr>
                <w:rFonts w:ascii="Times New Roman" w:eastAsia="Times New Roman" w:hAnsi="Times New Roman" w:cs="Times New Roman"/>
                <w:lang w:eastAsia="sk-SK"/>
              </w:rPr>
            </w:pPr>
            <w:r w:rsidRPr="004E47A0">
              <w:rPr>
                <w:rFonts w:ascii="Times New Roman" w:eastAsia="Times New Roman" w:hAnsi="Times New Roman" w:cs="Times New Roman"/>
                <w:lang w:eastAsia="sk-SK"/>
              </w:rPr>
              <w:t>burza cenných papierov (1)</w:t>
            </w:r>
          </w:p>
          <w:p w14:paraId="5F9F2F25" w14:textId="77777777" w:rsidR="007E5F96" w:rsidRDefault="007E5F96" w:rsidP="000800FC">
            <w:pPr>
              <w:rPr>
                <w:rFonts w:ascii="Times New Roman" w:eastAsia="Times New Roman" w:hAnsi="Times New Roman" w:cs="Times New Roman"/>
                <w:b/>
                <w:sz w:val="20"/>
                <w:szCs w:val="20"/>
                <w:lang w:eastAsia="sk-SK"/>
              </w:rPr>
            </w:pPr>
          </w:p>
          <w:p w14:paraId="7C56D0A9" w14:textId="77777777" w:rsidR="0097221C" w:rsidRPr="00612E08" w:rsidRDefault="0097221C" w:rsidP="000800FC">
            <w:pPr>
              <w:rPr>
                <w:rFonts w:ascii="Times New Roman" w:eastAsia="Times New Roman" w:hAnsi="Times New Roman" w:cs="Times New Roman"/>
                <w:i/>
                <w:sz w:val="20"/>
                <w:szCs w:val="20"/>
                <w:lang w:eastAsia="sk-SK"/>
              </w:rPr>
            </w:pPr>
          </w:p>
        </w:tc>
      </w:tr>
      <w:tr w:rsidR="00612E08" w:rsidRPr="00612E08" w14:paraId="069BA522"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11B923B6"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612E08" w:rsidRPr="00612E08" w14:paraId="525BEB56" w14:textId="77777777" w:rsidTr="0097221C">
        <w:trPr>
          <w:trHeight w:val="709"/>
        </w:trPr>
        <w:tc>
          <w:tcPr>
            <w:tcW w:w="9180" w:type="dxa"/>
            <w:gridSpan w:val="11"/>
            <w:tcBorders>
              <w:top w:val="nil"/>
              <w:left w:val="single" w:sz="4" w:space="0" w:color="auto"/>
              <w:bottom w:val="single" w:sz="4" w:space="0" w:color="auto"/>
              <w:right w:val="single" w:sz="4" w:space="0" w:color="auto"/>
            </w:tcBorders>
            <w:shd w:val="clear" w:color="auto" w:fill="FFFFFF"/>
          </w:tcPr>
          <w:p w14:paraId="1C1ABCAE"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Aké alternatívne riešenia vedúce k stanovenému cieľu boli identifikované a posudzované pre riešenie definovaného problému?</w:t>
            </w:r>
          </w:p>
          <w:p w14:paraId="48C522F2" w14:textId="77777777" w:rsidR="001B23B7" w:rsidRPr="00612E08" w:rsidRDefault="001B23B7" w:rsidP="000800FC">
            <w:pPr>
              <w:rPr>
                <w:rFonts w:ascii="Times New Roman" w:eastAsia="Times New Roman" w:hAnsi="Times New Roman" w:cs="Times New Roman"/>
                <w:i/>
                <w:sz w:val="20"/>
                <w:szCs w:val="20"/>
                <w:lang w:eastAsia="sk-SK"/>
              </w:rPr>
            </w:pPr>
          </w:p>
          <w:p w14:paraId="4BF07ED3" w14:textId="77777777" w:rsidR="001B23B7"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Nulový variant - uveďte dôsledky, ku ktorým by došlo v prípade nevykonania úprav v predkladanom materiáli a alternatívne riešenia/spôsoby dosiahnutia cieľov uvedených v bode 3.</w:t>
            </w:r>
          </w:p>
          <w:p w14:paraId="432C96BB" w14:textId="77777777" w:rsidR="007E5F96" w:rsidRDefault="007E5F96" w:rsidP="000800FC">
            <w:pPr>
              <w:jc w:val="both"/>
              <w:rPr>
                <w:rFonts w:ascii="Times New Roman" w:eastAsia="Times New Roman" w:hAnsi="Times New Roman" w:cs="Times New Roman"/>
                <w:i/>
                <w:sz w:val="20"/>
                <w:szCs w:val="20"/>
                <w:lang w:eastAsia="sk-SK"/>
              </w:rPr>
            </w:pPr>
          </w:p>
          <w:p w14:paraId="4DDA7F8C" w14:textId="2350A1FE" w:rsidR="007E5F96" w:rsidRPr="00612E08" w:rsidRDefault="007E5F96" w:rsidP="0097221C">
            <w:pPr>
              <w:jc w:val="both"/>
              <w:rPr>
                <w:rFonts w:ascii="Times New Roman" w:eastAsia="Times New Roman" w:hAnsi="Times New Roman" w:cs="Times New Roman"/>
                <w:i/>
                <w:sz w:val="20"/>
                <w:szCs w:val="20"/>
                <w:lang w:eastAsia="sk-SK"/>
              </w:rPr>
            </w:pPr>
            <w:r w:rsidRPr="004E47A0">
              <w:rPr>
                <w:rFonts w:ascii="Times New Roman" w:eastAsia="Times New Roman" w:hAnsi="Times New Roman" w:cs="Times New Roman"/>
                <w:lang w:eastAsia="sk-SK"/>
              </w:rPr>
              <w:t xml:space="preserve">V prípade transpozície všetkých vyššie zmienených smerníc (EÚ) je primárnym cieľom dosiahnutie úplnej transpozície a zároveň nevytváranie </w:t>
            </w:r>
            <w:proofErr w:type="spellStart"/>
            <w:r w:rsidRPr="004E47A0">
              <w:rPr>
                <w:rFonts w:ascii="Times New Roman" w:eastAsia="Times New Roman" w:hAnsi="Times New Roman" w:cs="Times New Roman"/>
                <w:lang w:eastAsia="sk-SK"/>
              </w:rPr>
              <w:t>goldplatingu</w:t>
            </w:r>
            <w:proofErr w:type="spellEnd"/>
            <w:r w:rsidRPr="004E47A0">
              <w:rPr>
                <w:rFonts w:ascii="Times New Roman" w:eastAsia="Times New Roman" w:hAnsi="Times New Roman" w:cs="Times New Roman"/>
                <w:lang w:eastAsia="sk-SK"/>
              </w:rPr>
              <w:t xml:space="preserve"> formou zavádzania národných požiadaviek nad rámec uvedených smerníc (EÚ). Všetky tri uvedené smernice (EÚ) sú transponované bez </w:t>
            </w:r>
            <w:proofErr w:type="spellStart"/>
            <w:r w:rsidRPr="004E47A0">
              <w:rPr>
                <w:rFonts w:ascii="Times New Roman" w:eastAsia="Times New Roman" w:hAnsi="Times New Roman" w:cs="Times New Roman"/>
                <w:lang w:eastAsia="sk-SK"/>
              </w:rPr>
              <w:lastRenderedPageBreak/>
              <w:t>goldplatingu</w:t>
            </w:r>
            <w:proofErr w:type="spellEnd"/>
            <w:r w:rsidRPr="004E47A0">
              <w:rPr>
                <w:rFonts w:ascii="Times New Roman" w:eastAsia="Times New Roman" w:hAnsi="Times New Roman" w:cs="Times New Roman"/>
                <w:lang w:eastAsia="sk-SK"/>
              </w:rPr>
              <w:t xml:space="preserve">, pritom žiadne ďalšie alternatívy neboli zvažované, pretože takýto prístup by znamenal odklon od znenia uvedených smerníc (EÚ).      </w:t>
            </w:r>
          </w:p>
        </w:tc>
      </w:tr>
      <w:tr w:rsidR="00612E08" w:rsidRPr="00612E08" w14:paraId="2013EF76"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2B60150A"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Vykonávacie predpisy</w:t>
            </w:r>
          </w:p>
        </w:tc>
      </w:tr>
      <w:tr w:rsidR="00612E08" w:rsidRPr="00612E08" w14:paraId="6FAECF3D" w14:textId="77777777" w:rsidTr="000800FC">
        <w:tc>
          <w:tcPr>
            <w:tcW w:w="6203" w:type="dxa"/>
            <w:gridSpan w:val="7"/>
            <w:tcBorders>
              <w:top w:val="single" w:sz="4" w:space="0" w:color="FFFFFF"/>
              <w:left w:val="single" w:sz="4" w:space="0" w:color="auto"/>
              <w:bottom w:val="nil"/>
              <w:right w:val="nil"/>
            </w:tcBorders>
            <w:shd w:val="clear" w:color="auto" w:fill="FFFFFF"/>
          </w:tcPr>
          <w:p w14:paraId="37D638A4"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3047BCF4" w14:textId="77777777" w:rsidR="001B23B7" w:rsidRPr="00612E08" w:rsidRDefault="00000000" w:rsidP="000800FC">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Content>
                <w:r w:rsidR="00A7788F" w:rsidRPr="00612E0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4B289A28" w14:textId="192E6DA6" w:rsidR="001B23B7" w:rsidRPr="00612E08" w:rsidRDefault="00000000"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Content>
                <w:r w:rsidR="007E5F96">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14:paraId="2961A482"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205147C8"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693B776E"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2FA06014"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21F0D822" w14:textId="77777777" w:rsidR="001B23B7" w:rsidRPr="00612E08" w:rsidRDefault="001B23B7" w:rsidP="007C531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14:paraId="0085D600" w14:textId="77777777" w:rsidTr="000800FC">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14:paraId="319B431C" w14:textId="77777777">
              <w:trPr>
                <w:trHeight w:val="90"/>
              </w:trPr>
              <w:tc>
                <w:tcPr>
                  <w:tcW w:w="8643" w:type="dxa"/>
                </w:tcPr>
                <w:p w14:paraId="36929CEF" w14:textId="77777777" w:rsidR="00A7788F" w:rsidRPr="00612E08" w:rsidRDefault="00A7788F" w:rsidP="007C5312">
                  <w:pPr>
                    <w:pStyle w:val="Default"/>
                    <w:rPr>
                      <w:color w:val="auto"/>
                      <w:sz w:val="20"/>
                      <w:szCs w:val="20"/>
                    </w:rPr>
                  </w:pPr>
                  <w:r w:rsidRPr="00612E08">
                    <w:rPr>
                      <w:i/>
                      <w:iCs/>
                      <w:color w:val="auto"/>
                      <w:sz w:val="20"/>
                      <w:szCs w:val="20"/>
                    </w:rPr>
                    <w:t xml:space="preserve">Uveďte, či v predkladanom návrhu právneho predpisu dochádza ku </w:t>
                  </w:r>
                  <w:proofErr w:type="spellStart"/>
                  <w:r w:rsidRPr="00612E08">
                    <w:rPr>
                      <w:i/>
                      <w:iCs/>
                      <w:color w:val="auto"/>
                      <w:sz w:val="20"/>
                      <w:szCs w:val="20"/>
                    </w:rPr>
                    <w:t>goldplatingu</w:t>
                  </w:r>
                  <w:proofErr w:type="spellEnd"/>
                  <w:r w:rsidR="007C5312" w:rsidRPr="00612E08">
                    <w:rPr>
                      <w:i/>
                      <w:iCs/>
                      <w:color w:val="auto"/>
                      <w:sz w:val="20"/>
                      <w:szCs w:val="20"/>
                    </w:rPr>
                    <w:t xml:space="preserve"> podľa tabuľky zhody</w:t>
                  </w:r>
                  <w:r w:rsidR="00C86714" w:rsidRPr="00612E08">
                    <w:rPr>
                      <w:i/>
                      <w:iCs/>
                      <w:color w:val="auto"/>
                      <w:sz w:val="20"/>
                      <w:szCs w:val="20"/>
                    </w:rPr>
                    <w:t xml:space="preserve">, resp. či ku </w:t>
                  </w:r>
                  <w:proofErr w:type="spellStart"/>
                  <w:r w:rsidR="00C86714" w:rsidRPr="00612E08">
                    <w:rPr>
                      <w:i/>
                      <w:iCs/>
                      <w:color w:val="auto"/>
                      <w:sz w:val="20"/>
                      <w:szCs w:val="20"/>
                    </w:rPr>
                    <w:t>goldplatingu</w:t>
                  </w:r>
                  <w:proofErr w:type="spellEnd"/>
                  <w:r w:rsidR="00C86714" w:rsidRPr="00612E08">
                    <w:rPr>
                      <w:i/>
                      <w:iCs/>
                      <w:color w:val="auto"/>
                      <w:sz w:val="20"/>
                      <w:szCs w:val="20"/>
                    </w:rPr>
                    <w:t xml:space="preserve"> dochádza pri implementácii práva EÚ</w:t>
                  </w:r>
                  <w:r w:rsidRPr="00612E08">
                    <w:rPr>
                      <w:i/>
                      <w:iCs/>
                      <w:color w:val="auto"/>
                      <w:sz w:val="20"/>
                      <w:szCs w:val="20"/>
                    </w:rPr>
                    <w:t xml:space="preserve">. </w:t>
                  </w:r>
                </w:p>
              </w:tc>
            </w:tr>
            <w:tr w:rsidR="00612E08" w:rsidRPr="00612E08" w14:paraId="7848E22D" w14:textId="77777777">
              <w:trPr>
                <w:trHeight w:val="296"/>
              </w:trPr>
              <w:tc>
                <w:tcPr>
                  <w:tcW w:w="8643" w:type="dxa"/>
                </w:tcPr>
                <w:p w14:paraId="2C6A4B2F" w14:textId="4C2B8A20" w:rsidR="00A7788F" w:rsidRPr="00612E08" w:rsidRDefault="00A7788F" w:rsidP="00A7788F">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Content>
                      <w:r w:rsidR="00187182"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Content>
                      <w:r w:rsidR="007E5F96">
                        <w:rPr>
                          <w:rFonts w:ascii="MS Gothic" w:eastAsia="MS Gothic" w:hAnsi="MS Gothic" w:hint="eastAsia"/>
                          <w:b/>
                          <w:iCs/>
                          <w:color w:val="auto"/>
                          <w:sz w:val="20"/>
                          <w:szCs w:val="20"/>
                        </w:rPr>
                        <w:t>☒</w:t>
                      </w:r>
                    </w:sdtContent>
                  </w:sdt>
                  <w:r w:rsidRPr="00612E08">
                    <w:rPr>
                      <w:b/>
                      <w:iCs/>
                      <w:color w:val="auto"/>
                      <w:sz w:val="20"/>
                      <w:szCs w:val="20"/>
                    </w:rPr>
                    <w:t xml:space="preserve"> Nie</w:t>
                  </w:r>
                </w:p>
                <w:p w14:paraId="04D324E4" w14:textId="77777777" w:rsidR="00A7788F" w:rsidRPr="00612E08" w:rsidRDefault="00A7788F" w:rsidP="00A7788F">
                  <w:pPr>
                    <w:pStyle w:val="Default"/>
                    <w:rPr>
                      <w:i/>
                      <w:iCs/>
                      <w:color w:val="auto"/>
                      <w:sz w:val="20"/>
                      <w:szCs w:val="20"/>
                    </w:rPr>
                  </w:pPr>
                </w:p>
                <w:p w14:paraId="333AF800" w14:textId="77777777" w:rsidR="00A7788F" w:rsidRPr="00612E08" w:rsidRDefault="00A7788F" w:rsidP="00A7788F">
                  <w:pPr>
                    <w:pStyle w:val="Default"/>
                    <w:rPr>
                      <w:color w:val="auto"/>
                      <w:sz w:val="20"/>
                      <w:szCs w:val="20"/>
                    </w:rPr>
                  </w:pPr>
                  <w:r w:rsidRPr="00612E08">
                    <w:rPr>
                      <w:i/>
                      <w:iCs/>
                      <w:color w:val="auto"/>
                      <w:sz w:val="20"/>
                      <w:szCs w:val="20"/>
                    </w:rPr>
                    <w:t xml:space="preserve">Ak áno, uveďte, ktorých vplyvov podľa bodu 9 sa goldplating týka: </w:t>
                  </w:r>
                </w:p>
              </w:tc>
            </w:tr>
            <w:tr w:rsidR="00612E08" w:rsidRPr="00612E08" w14:paraId="3C92B69C" w14:textId="77777777">
              <w:trPr>
                <w:trHeight w:val="296"/>
              </w:trPr>
              <w:tc>
                <w:tcPr>
                  <w:tcW w:w="8643" w:type="dxa"/>
                </w:tcPr>
                <w:p w14:paraId="1F19D1CF" w14:textId="77777777" w:rsidR="00A7788F" w:rsidRPr="00612E08" w:rsidRDefault="00A7788F" w:rsidP="00A7788F">
                  <w:pPr>
                    <w:pStyle w:val="Default"/>
                    <w:rPr>
                      <w:rFonts w:ascii="Segoe UI Symbol" w:hAnsi="Segoe UI Symbol" w:cs="Segoe UI Symbol"/>
                      <w:color w:val="auto"/>
                      <w:sz w:val="20"/>
                      <w:szCs w:val="20"/>
                    </w:rPr>
                  </w:pPr>
                </w:p>
              </w:tc>
            </w:tr>
          </w:tbl>
          <w:p w14:paraId="6374524A" w14:textId="77777777" w:rsidR="001B23B7" w:rsidRPr="00612E08" w:rsidRDefault="001B23B7" w:rsidP="000800FC">
            <w:pPr>
              <w:jc w:val="both"/>
              <w:rPr>
                <w:rFonts w:ascii="Times New Roman" w:eastAsia="Times New Roman" w:hAnsi="Times New Roman" w:cs="Times New Roman"/>
                <w:i/>
                <w:sz w:val="20"/>
                <w:szCs w:val="20"/>
                <w:lang w:eastAsia="sk-SK"/>
              </w:rPr>
            </w:pPr>
          </w:p>
        </w:tc>
      </w:tr>
      <w:tr w:rsidR="00612E08" w:rsidRPr="00612E08" w14:paraId="32D44D55" w14:textId="77777777" w:rsidTr="000800FC">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296F6DCE" w14:textId="77777777" w:rsidR="001B23B7" w:rsidRPr="00612E08" w:rsidRDefault="001B23B7" w:rsidP="000800FC">
            <w:pPr>
              <w:jc w:val="center"/>
              <w:rPr>
                <w:rFonts w:ascii="Times New Roman" w:eastAsia="Times New Roman" w:hAnsi="Times New Roman" w:cs="Times New Roman"/>
                <w:sz w:val="20"/>
                <w:szCs w:val="20"/>
                <w:lang w:eastAsia="sk-SK"/>
              </w:rPr>
            </w:pPr>
          </w:p>
        </w:tc>
      </w:tr>
      <w:tr w:rsidR="00612E08" w:rsidRPr="00612E08" w14:paraId="55ADA532"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15A77E86"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612E08" w:rsidRPr="00612E08" w14:paraId="3F46FDE0" w14:textId="77777777" w:rsidTr="000800FC">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01A74E71"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termín, kedy by malo dôjsť k preskúmaniu účinnosti a účelnosti predkladaného materiálu.</w:t>
            </w:r>
          </w:p>
          <w:p w14:paraId="0A78E3A0"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kritériá, na základe ktorých bude preskúmanie vykonané.</w:t>
            </w:r>
          </w:p>
          <w:p w14:paraId="688EE2C2" w14:textId="77777777" w:rsidR="001B23B7" w:rsidRDefault="001B23B7" w:rsidP="000800FC">
            <w:pPr>
              <w:rPr>
                <w:rFonts w:ascii="Times New Roman" w:eastAsia="Times New Roman" w:hAnsi="Times New Roman" w:cs="Times New Roman"/>
                <w:i/>
                <w:sz w:val="20"/>
                <w:szCs w:val="20"/>
                <w:lang w:eastAsia="sk-SK"/>
              </w:rPr>
            </w:pPr>
          </w:p>
          <w:p w14:paraId="06C84615" w14:textId="77777777" w:rsidR="007E5F96" w:rsidRPr="004E47A0" w:rsidRDefault="007E5F96" w:rsidP="007E5F96">
            <w:pPr>
              <w:jc w:val="both"/>
              <w:rPr>
                <w:rFonts w:ascii="Times New Roman" w:hAnsi="Times New Roman" w:cs="Times New Roman"/>
              </w:rPr>
            </w:pPr>
            <w:r w:rsidRPr="004E47A0">
              <w:rPr>
                <w:rFonts w:ascii="Times New Roman" w:eastAsia="Times New Roman" w:hAnsi="Times New Roman" w:cs="Times New Roman"/>
                <w:lang w:eastAsia="sk-SK"/>
              </w:rPr>
              <w:t xml:space="preserve">Podľa článku 1 bod 13 smernice (EÚ) 2024/790 </w:t>
            </w:r>
            <w:r w:rsidRPr="004E47A0">
              <w:rPr>
                <w:rFonts w:ascii="Times New Roman" w:hAnsi="Times New Roman" w:cs="Times New Roman"/>
              </w:rPr>
              <w:t xml:space="preserve">Komisia predloží Európskemu parlamentu a Rade správy obsahujúce komplexné posúdenie trhov s komoditnými derivátmi, emisnými kvótami a derivátmi na emisné kvóty. Príslušné správy predloží do 31. júla 2024 a do 31. júla 2025. K uvedeným správam sa v náležitých prípadoch pripojí legislatívny návrh týkajúci sa cielených zmien trhových pravidiel pre rámec pre komoditné deriváty, emisné kvóty alebo deriváty na emisné kvóty. </w:t>
            </w:r>
          </w:p>
          <w:p w14:paraId="4C353772" w14:textId="77777777" w:rsidR="007E5F96" w:rsidRPr="004E47A0" w:rsidRDefault="007E5F96" w:rsidP="007E5F96">
            <w:pPr>
              <w:jc w:val="both"/>
              <w:rPr>
                <w:rFonts w:ascii="Times New Roman" w:hAnsi="Times New Roman" w:cs="Times New Roman"/>
                <w:vanish/>
              </w:rPr>
            </w:pPr>
          </w:p>
          <w:p w14:paraId="309CE383" w14:textId="0E719F5F" w:rsidR="007E5F96" w:rsidRPr="004E47A0" w:rsidRDefault="007E5F96" w:rsidP="007E5F96">
            <w:pPr>
              <w:jc w:val="both"/>
              <w:rPr>
                <w:rFonts w:ascii="Times New Roman" w:eastAsia="Times New Roman" w:hAnsi="Times New Roman" w:cs="Times New Roman"/>
                <w:lang w:eastAsia="sk-SK"/>
              </w:rPr>
            </w:pPr>
            <w:r w:rsidRPr="004E47A0">
              <w:rPr>
                <w:rFonts w:ascii="Times New Roman" w:eastAsia="Times New Roman" w:hAnsi="Times New Roman" w:cs="Times New Roman"/>
                <w:lang w:eastAsia="sk-SK"/>
              </w:rPr>
              <w:t xml:space="preserve">Podľa článku 1 bod 7 smernice (EÚ) 2024/2811 Komisia do 5. decembra 2028 preskúma a posúdi vplyv ustanovenia o nevznesení námietok v článku 33 ods. 7 na hospodársku súťaž medzi obchodnými miestami, najmä rastovými trhmi pre malé a stredné podniky, a jeho vplyv na prístup </w:t>
            </w:r>
            <w:proofErr w:type="spellStart"/>
            <w:r w:rsidRPr="004E47A0">
              <w:rPr>
                <w:rFonts w:ascii="Times New Roman" w:eastAsia="Times New Roman" w:hAnsi="Times New Roman" w:cs="Times New Roman"/>
                <w:lang w:eastAsia="sk-SK"/>
              </w:rPr>
              <w:t>SMEs</w:t>
            </w:r>
            <w:proofErr w:type="spellEnd"/>
            <w:r w:rsidRPr="004E47A0">
              <w:rPr>
                <w:rFonts w:ascii="Times New Roman" w:eastAsia="Times New Roman" w:hAnsi="Times New Roman" w:cs="Times New Roman"/>
                <w:lang w:eastAsia="sk-SK"/>
              </w:rPr>
              <w:t xml:space="preserve"> ku kapitálu. </w:t>
            </w:r>
          </w:p>
          <w:p w14:paraId="5AC128CC" w14:textId="77777777" w:rsidR="007E5F96" w:rsidRPr="00612E08" w:rsidRDefault="007E5F96" w:rsidP="000800FC">
            <w:pPr>
              <w:rPr>
                <w:rFonts w:ascii="Times New Roman" w:eastAsia="Times New Roman" w:hAnsi="Times New Roman" w:cs="Times New Roman"/>
                <w:i/>
                <w:sz w:val="20"/>
                <w:szCs w:val="20"/>
                <w:lang w:eastAsia="sk-SK"/>
              </w:rPr>
            </w:pPr>
          </w:p>
        </w:tc>
      </w:tr>
      <w:tr w:rsidR="00612E08" w:rsidRPr="00612E08" w14:paraId="0A875227" w14:textId="77777777" w:rsidTr="000800FC">
        <w:tc>
          <w:tcPr>
            <w:tcW w:w="9180" w:type="dxa"/>
            <w:gridSpan w:val="11"/>
            <w:tcBorders>
              <w:top w:val="nil"/>
              <w:left w:val="nil"/>
              <w:bottom w:val="single" w:sz="4" w:space="0" w:color="auto"/>
              <w:right w:val="nil"/>
            </w:tcBorders>
            <w:shd w:val="clear" w:color="auto" w:fill="FFFFFF"/>
          </w:tcPr>
          <w:p w14:paraId="218661C7" w14:textId="77777777" w:rsidR="001B23B7" w:rsidRPr="00612E08" w:rsidRDefault="001B23B7" w:rsidP="00A7788F">
            <w:pPr>
              <w:jc w:val="both"/>
              <w:rPr>
                <w:rFonts w:ascii="Times New Roman" w:eastAsia="Times New Roman" w:hAnsi="Times New Roman" w:cs="Times New Roman"/>
                <w:b/>
                <w:sz w:val="20"/>
                <w:szCs w:val="20"/>
                <w:lang w:eastAsia="sk-SK"/>
              </w:rPr>
            </w:pPr>
          </w:p>
          <w:p w14:paraId="3B61DC3F" w14:textId="77777777" w:rsidR="001B23B7" w:rsidRPr="00612E08" w:rsidRDefault="001B23B7" w:rsidP="00A7788F">
            <w:pPr>
              <w:jc w:val="both"/>
              <w:rPr>
                <w:rFonts w:ascii="Times New Roman" w:eastAsia="Times New Roman" w:hAnsi="Times New Roman" w:cs="Times New Roman"/>
                <w:b/>
                <w:sz w:val="20"/>
                <w:szCs w:val="20"/>
                <w:lang w:eastAsia="sk-SK"/>
              </w:rPr>
            </w:pPr>
          </w:p>
          <w:p w14:paraId="344B2545" w14:textId="77777777" w:rsidR="001B23B7" w:rsidRPr="00612E08" w:rsidRDefault="001B23B7" w:rsidP="00A7788F">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41E18D60" w14:textId="77777777" w:rsidR="00A340BB" w:rsidRPr="00612E08" w:rsidRDefault="001B23B7"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w:t>
            </w:r>
            <w:r w:rsidR="00A340BB" w:rsidRPr="00612E08">
              <w:rPr>
                <w:rFonts w:ascii="Times New Roman" w:eastAsia="Times New Roman" w:hAnsi="Times New Roman" w:cs="Times New Roman"/>
                <w:sz w:val="20"/>
                <w:szCs w:val="20"/>
                <w:lang w:eastAsia="sk-SK"/>
              </w:rPr>
              <w:t xml:space="preserve"> vybraných vplyvov</w:t>
            </w:r>
            <w:r w:rsidRPr="00612E08">
              <w:rPr>
                <w:rFonts w:ascii="Times New Roman" w:eastAsia="Times New Roman" w:hAnsi="Times New Roman" w:cs="Times New Roman"/>
                <w:sz w:val="20"/>
                <w:szCs w:val="20"/>
                <w:lang w:eastAsia="sk-SK"/>
              </w:rPr>
              <w:t xml:space="preserve"> uskutočnilo v zmysle bodu 9.1. </w:t>
            </w:r>
            <w:r w:rsidR="00A340BB" w:rsidRPr="00612E08">
              <w:rPr>
                <w:rFonts w:ascii="Times New Roman" w:eastAsia="Times New Roman" w:hAnsi="Times New Roman" w:cs="Times New Roman"/>
                <w:sz w:val="20"/>
                <w:szCs w:val="20"/>
                <w:lang w:eastAsia="sk-SK"/>
              </w:rPr>
              <w:t>j</w:t>
            </w:r>
            <w:r w:rsidRPr="00612E08">
              <w:rPr>
                <w:rFonts w:ascii="Times New Roman" w:eastAsia="Times New Roman" w:hAnsi="Times New Roman" w:cs="Times New Roman"/>
                <w:sz w:val="20"/>
                <w:szCs w:val="20"/>
                <w:lang w:eastAsia="sk-SK"/>
              </w:rPr>
              <w:t>ednotnej metodiky</w:t>
            </w:r>
            <w:r w:rsidR="00A340BB" w:rsidRPr="00612E08">
              <w:rPr>
                <w:rFonts w:ascii="Times New Roman" w:eastAsia="Times New Roman" w:hAnsi="Times New Roman" w:cs="Times New Roman"/>
                <w:sz w:val="20"/>
                <w:szCs w:val="20"/>
                <w:lang w:eastAsia="sk-SK"/>
              </w:rPr>
              <w:t>.</w:t>
            </w:r>
          </w:p>
          <w:p w14:paraId="04F97664" w14:textId="77777777" w:rsidR="00A7788F" w:rsidRPr="00612E08" w:rsidRDefault="00A7788F"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713F9DFC" w14:textId="77777777" w:rsidR="004C6831" w:rsidRPr="00612E08" w:rsidRDefault="004C6831" w:rsidP="00A7788F">
            <w:pPr>
              <w:jc w:val="both"/>
              <w:rPr>
                <w:rFonts w:ascii="Times New Roman" w:eastAsia="Times New Roman" w:hAnsi="Times New Roman" w:cs="Times New Roman"/>
                <w:sz w:val="20"/>
                <w:szCs w:val="20"/>
                <w:lang w:eastAsia="sk-SK"/>
              </w:rPr>
            </w:pPr>
          </w:p>
          <w:p w14:paraId="309CCD93" w14:textId="77777777" w:rsidR="001B23B7" w:rsidRPr="00612E08" w:rsidRDefault="001B23B7" w:rsidP="00A7788F">
            <w:pPr>
              <w:jc w:val="both"/>
              <w:rPr>
                <w:rFonts w:ascii="Times New Roman" w:eastAsia="Times New Roman" w:hAnsi="Times New Roman" w:cs="Times New Roman"/>
                <w:b/>
                <w:sz w:val="20"/>
                <w:szCs w:val="20"/>
                <w:lang w:eastAsia="sk-SK"/>
              </w:rPr>
            </w:pPr>
          </w:p>
        </w:tc>
      </w:tr>
      <w:tr w:rsidR="00612E08" w:rsidRPr="00612E08" w14:paraId="0C47815E"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04675C2B"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612E08" w:rsidRPr="00612E08" w14:paraId="05F69B9B"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2E3A98EA"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tcPr>
              <w:p w14:paraId="19091177" w14:textId="77777777" w:rsidR="001B23B7" w:rsidRPr="00612E08" w:rsidRDefault="003145AE" w:rsidP="000800F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0BEFCE83"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1"/>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tcPr>
              <w:p w14:paraId="09D2279F" w14:textId="5750AB5C" w:rsidR="001B23B7" w:rsidRPr="00612E08" w:rsidRDefault="007E5F96" w:rsidP="000800F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5E46C2CC"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0"/>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tcPr>
              <w:p w14:paraId="5BABE340" w14:textId="77777777" w:rsidR="001B23B7" w:rsidRPr="00612E08" w:rsidRDefault="00203EE3" w:rsidP="000800FC">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6C39F19A" w14:textId="77777777" w:rsidR="001B23B7" w:rsidRPr="00612E08" w:rsidRDefault="001B23B7" w:rsidP="000800FC">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11568772" w14:textId="77777777" w:rsidTr="004C6831">
        <w:tc>
          <w:tcPr>
            <w:tcW w:w="3812" w:type="dxa"/>
            <w:tcBorders>
              <w:top w:val="nil"/>
              <w:left w:val="single" w:sz="4" w:space="0" w:color="auto"/>
              <w:bottom w:val="nil"/>
              <w:right w:val="single" w:sz="4" w:space="0" w:color="auto"/>
            </w:tcBorders>
            <w:shd w:val="clear" w:color="auto" w:fill="E2E2E2"/>
          </w:tcPr>
          <w:p w14:paraId="60BC4A1F"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z toho rozpočtovo zabezpečené vplyvy, </w:t>
            </w:r>
            <w:r w:rsidR="00A340BB" w:rsidRPr="00612E08">
              <w:rPr>
                <w:rFonts w:ascii="Times New Roman" w:eastAsia="Times New Roman" w:hAnsi="Times New Roman" w:cs="Times New Roman"/>
                <w:sz w:val="20"/>
                <w:szCs w:val="20"/>
                <w:lang w:eastAsia="sk-SK"/>
              </w:rPr>
              <w:t xml:space="preserve">    </w:t>
            </w:r>
            <w:r w:rsidRPr="00612E08">
              <w:rPr>
                <w:rFonts w:ascii="Times New Roman" w:eastAsia="Times New Roman" w:hAnsi="Times New Roman" w:cs="Times New Roman"/>
                <w:sz w:val="20"/>
                <w:szCs w:val="20"/>
                <w:lang w:eastAsia="sk-SK"/>
              </w:rPr>
              <w:t xml:space="preserve">    </w:t>
            </w:r>
          </w:p>
          <w:p w14:paraId="327465AC"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v prípade identifikovaného negatívneho </w:t>
            </w:r>
          </w:p>
          <w:p w14:paraId="366D4C3B" w14:textId="77777777" w:rsidR="003145AE"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vAlign w:val="center"/>
              </w:tcPr>
              <w:p w14:paraId="1A12379F" w14:textId="77777777" w:rsidR="001B23B7" w:rsidRPr="00612E08" w:rsidRDefault="003145AE" w:rsidP="00203EE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47EC8D7A"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58FC5C6F" w14:textId="77777777" w:rsidR="001B23B7" w:rsidRPr="00612E08" w:rsidRDefault="00203EE3" w:rsidP="00203EE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6472E35E"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26896D35" w14:textId="77777777" w:rsidR="001B23B7" w:rsidRPr="00612E08" w:rsidRDefault="00203EE3" w:rsidP="00203EE3">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012F5EDA" w14:textId="77777777" w:rsidR="001B23B7" w:rsidRPr="00612E08" w:rsidRDefault="001B23B7" w:rsidP="00203EE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775CA15E" w14:textId="77777777" w:rsidTr="004C6831">
        <w:tc>
          <w:tcPr>
            <w:tcW w:w="3812" w:type="dxa"/>
            <w:tcBorders>
              <w:top w:val="nil"/>
              <w:left w:val="single" w:sz="4" w:space="0" w:color="auto"/>
              <w:bottom w:val="nil"/>
              <w:right w:val="single" w:sz="4" w:space="0" w:color="auto"/>
            </w:tcBorders>
            <w:shd w:val="clear" w:color="auto" w:fill="E2E2E2"/>
          </w:tcPr>
          <w:p w14:paraId="3F96E75F"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tcPr>
              <w:p w14:paraId="1B370D61" w14:textId="77777777" w:rsidR="003145AE" w:rsidRPr="00612E08" w:rsidRDefault="003145AE" w:rsidP="003145AE">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2A090693"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tcPr>
              <w:p w14:paraId="374E020E" w14:textId="10C00F54" w:rsidR="003145AE" w:rsidRPr="00612E08" w:rsidRDefault="007E5F96"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46B1A5F5"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tcPr>
              <w:p w14:paraId="28387DCC" w14:textId="77777777" w:rsidR="003145AE" w:rsidRPr="00612E08" w:rsidRDefault="003145AE" w:rsidP="003145AE">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1A3ED420" w14:textId="77777777" w:rsidR="003145AE" w:rsidRPr="00612E08" w:rsidRDefault="003145AE" w:rsidP="003145AE">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5AAAF9DB"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37A799DF"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33C6CA44"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6C4A6CC4"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7E3B81C7"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Content>
            <w:tc>
              <w:tcPr>
                <w:tcW w:w="538" w:type="dxa"/>
                <w:gridSpan w:val="2"/>
                <w:tcBorders>
                  <w:top w:val="dotted" w:sz="4" w:space="0" w:color="auto"/>
                  <w:left w:val="nil"/>
                  <w:bottom w:val="single" w:sz="4" w:space="0" w:color="auto"/>
                  <w:right w:val="nil"/>
                </w:tcBorders>
                <w:vAlign w:val="center"/>
              </w:tcPr>
              <w:p w14:paraId="4BEEA2C2"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1CE6C2DF"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5BCEA90C" w14:textId="77777777" w:rsidR="003145AE" w:rsidRPr="00612E08" w:rsidRDefault="003145AE" w:rsidP="003145AE">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22380881" w14:textId="77777777" w:rsidR="003145AE" w:rsidRPr="00612E08" w:rsidRDefault="003145AE" w:rsidP="003145AE">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65977B08"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6C401ADA" w14:textId="77777777" w:rsidR="00A7788F" w:rsidRPr="00612E08" w:rsidRDefault="00A7788F" w:rsidP="001B4FB5">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7253044B" w14:textId="77777777" w:rsidR="00A7788F" w:rsidRPr="00612E08" w:rsidRDefault="00CD6E04" w:rsidP="001B4FB5">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75D8AF0C" w14:textId="77777777" w:rsidR="00A7788F" w:rsidRPr="00612E08" w:rsidRDefault="00A7788F" w:rsidP="001B4FB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14C05EAA" w14:textId="77777777" w:rsidR="00A7788F" w:rsidRPr="00612E08" w:rsidRDefault="00A7788F" w:rsidP="001B4FB5">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32FC6A9D" w14:textId="77777777" w:rsidR="00A7788F" w:rsidRPr="00612E08" w:rsidRDefault="00A7788F" w:rsidP="001B4FB5">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1892CE1F" w14:textId="77777777" w:rsidR="00A7788F" w:rsidRPr="00612E08" w:rsidRDefault="00187182" w:rsidP="001B4FB5">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52FA40DF" w14:textId="77777777" w:rsidR="00A7788F" w:rsidRPr="00612E08" w:rsidRDefault="00A7788F" w:rsidP="001B4FB5">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597A2FE6"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7F57E1CE" w14:textId="77777777" w:rsidR="007F587A" w:rsidRPr="00612E08" w:rsidRDefault="007F587A" w:rsidP="00B00B6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697E9E5C" w14:textId="6AF8F1DF" w:rsidR="007F587A" w:rsidRPr="00612E08" w:rsidRDefault="0095248E"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398E1972"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vAlign w:val="center"/>
              </w:tcPr>
              <w:p w14:paraId="1B730514" w14:textId="57E358A5" w:rsidR="007F587A" w:rsidRPr="00612E08" w:rsidRDefault="007E5F96"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2696A1DD"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7BCC6DB4" w14:textId="77777777" w:rsidR="007F587A" w:rsidRPr="00612E08" w:rsidRDefault="007F587A" w:rsidP="007F587A">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6C998B19" w14:textId="77777777" w:rsidR="007F587A" w:rsidRPr="00612E08" w:rsidRDefault="007F587A" w:rsidP="007F587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5C3DDC13"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3F8C6119"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1"/>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vAlign w:val="center"/>
              </w:tcPr>
              <w:p w14:paraId="0775CE0F" w14:textId="7236AA2E" w:rsidR="007F587A" w:rsidRPr="00612E08" w:rsidRDefault="0095248E"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4D6EBDFC"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0"/>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vAlign w:val="center"/>
              </w:tcPr>
              <w:p w14:paraId="2C7B50A7"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11D1E3EC"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1"/>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vAlign w:val="center"/>
              </w:tcPr>
              <w:p w14:paraId="3C2192A0" w14:textId="00A010AF" w:rsidR="007F587A" w:rsidRPr="00612E08" w:rsidRDefault="007E5F96"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6F02DF4F"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30E6C3B7" w14:textId="77777777" w:rsidTr="00203EE3">
        <w:tc>
          <w:tcPr>
            <w:tcW w:w="3812" w:type="dxa"/>
            <w:tcBorders>
              <w:top w:val="nil"/>
              <w:left w:val="single" w:sz="4" w:space="0" w:color="000000"/>
              <w:bottom w:val="nil"/>
              <w:right w:val="single" w:sz="4" w:space="0" w:color="000000"/>
            </w:tcBorders>
            <w:shd w:val="clear" w:color="auto" w:fill="E2E2E2"/>
          </w:tcPr>
          <w:p w14:paraId="4C30A0D7"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00972D14" w14:textId="77777777" w:rsidR="007F587A" w:rsidRPr="00612E08"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000000"/>
                  <w:bottom w:val="dotted" w:sz="4" w:space="0" w:color="auto"/>
                  <w:right w:val="nil"/>
                </w:tcBorders>
                <w:vAlign w:val="center"/>
              </w:tcPr>
              <w:p w14:paraId="42A90AFE"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6A178AFD" w14:textId="77777777" w:rsidR="007F587A" w:rsidRPr="00612E08" w:rsidRDefault="007F587A" w:rsidP="007F587A">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243BF39D"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2AFD9080"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1"/>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5C9D3665" w14:textId="2359B75D" w:rsidR="007F587A" w:rsidRPr="00612E08" w:rsidRDefault="0095248E"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163CADDD" w14:textId="77777777" w:rsidR="007F587A" w:rsidRPr="00612E08" w:rsidRDefault="007F587A" w:rsidP="007F587A">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612E08" w:rsidRPr="00612E08" w14:paraId="7FF9C867"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1FEF0173"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2F175492"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lastRenderedPageBreak/>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2D143CEE"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7C7252C5"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48DE4760"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126518CD"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1"/>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4B752BAA" w14:textId="189FA09E" w:rsidR="007F587A" w:rsidRPr="00612E08" w:rsidRDefault="007E5F96"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691905A0"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7B8BA8C3"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2C8A0C3C"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1"/>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4704142A" w14:textId="4BCA6446" w:rsidR="007F587A" w:rsidRPr="00612E08" w:rsidRDefault="00DF7988"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02867C35"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0"/>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7C57B4C6" w14:textId="523CE319" w:rsidR="007F587A" w:rsidRPr="00612E08" w:rsidRDefault="00DF7988"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4BBF00A0"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7987CBDE"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69A50A5E"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2C6E6F63"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37D64145"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3192B46E"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6420BAEC"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56AFDD34" w14:textId="378392C8" w:rsidR="007F587A" w:rsidRPr="00612E08" w:rsidRDefault="007E5F96"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33C5FC31"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4D68B7A5"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455A1899"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18A1BEAD"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23B3FF96" w14:textId="77777777" w:rsidR="007F587A" w:rsidRPr="00612E08" w:rsidRDefault="007F587A" w:rsidP="007F587A">
            <w:pPr>
              <w:rPr>
                <w:rFonts w:ascii="Times New Roman" w:eastAsia="Times New Roman" w:hAnsi="Times New Roman" w:cs="Times New Roman"/>
                <w:sz w:val="20"/>
                <w:szCs w:val="20"/>
                <w:lang w:eastAsia="sk-SK"/>
              </w:rPr>
            </w:pPr>
          </w:p>
          <w:p w14:paraId="4B60D012" w14:textId="77777777" w:rsidR="007F587A" w:rsidRPr="00612E08" w:rsidRDefault="007F587A" w:rsidP="007F587A">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612E08">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5C1B0D51"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14DAC0E8"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27274E03"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29E898BE"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5B3867B8"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1DEFEE9D"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0FC9F69B"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101CAAD3"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36D20811"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328C3C7C"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48F91F63" w14:textId="7848AFF7" w:rsidR="007F587A" w:rsidRPr="00612E08" w:rsidRDefault="007E5F96"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1835F79A"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6968923B"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6BBEBF9E"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3FBFA96E"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5206427E"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14:paraId="5531BFBA"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14:paraId="7095283F" w14:textId="77777777" w:rsidR="000F2BE9" w:rsidRPr="00612E08"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14:paraId="2535E563"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14:paraId="1FADBB0B"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14:paraId="66ED51B0"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14:paraId="3963ABB9" w14:textId="77777777" w:rsidR="000F2BE9" w:rsidRPr="00612E08"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612E08" w14:paraId="32E57A97" w14:textId="77777777" w:rsidTr="00B547F5">
        <w:tc>
          <w:tcPr>
            <w:tcW w:w="3812" w:type="dxa"/>
            <w:tcBorders>
              <w:top w:val="nil"/>
              <w:left w:val="single" w:sz="4" w:space="0" w:color="auto"/>
              <w:bottom w:val="nil"/>
              <w:right w:val="single" w:sz="4" w:space="0" w:color="auto"/>
            </w:tcBorders>
            <w:shd w:val="clear" w:color="auto" w:fill="E2E2E2"/>
          </w:tcPr>
          <w:p w14:paraId="36D3B6E8" w14:textId="77777777" w:rsidR="000F2BE9" w:rsidRPr="00612E08" w:rsidRDefault="000F2BE9" w:rsidP="000800FC">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Content>
            <w:tc>
              <w:tcPr>
                <w:tcW w:w="541" w:type="dxa"/>
                <w:tcBorders>
                  <w:top w:val="nil"/>
                  <w:left w:val="single" w:sz="4" w:space="0" w:color="auto"/>
                  <w:bottom w:val="dotted" w:sz="4" w:space="0" w:color="auto"/>
                  <w:right w:val="nil"/>
                </w:tcBorders>
                <w:shd w:val="clear" w:color="auto" w:fill="auto"/>
              </w:tcPr>
              <w:p w14:paraId="731CA2DE"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14:paraId="2CA10E85"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Content>
            <w:tc>
              <w:tcPr>
                <w:tcW w:w="538" w:type="dxa"/>
                <w:tcBorders>
                  <w:top w:val="nil"/>
                  <w:left w:val="nil"/>
                  <w:bottom w:val="dotted" w:sz="4" w:space="0" w:color="auto"/>
                  <w:right w:val="nil"/>
                </w:tcBorders>
                <w:shd w:val="clear" w:color="auto" w:fill="auto"/>
              </w:tcPr>
              <w:p w14:paraId="39B6BF23" w14:textId="06EE36E4" w:rsidR="000F2BE9" w:rsidRPr="00612E08" w:rsidRDefault="007E5F96"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14:paraId="32CF6BBF"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Content>
            <w:tc>
              <w:tcPr>
                <w:tcW w:w="547" w:type="dxa"/>
                <w:tcBorders>
                  <w:top w:val="nil"/>
                  <w:left w:val="nil"/>
                  <w:bottom w:val="dotted" w:sz="4" w:space="0" w:color="auto"/>
                  <w:right w:val="nil"/>
                </w:tcBorders>
                <w:shd w:val="clear" w:color="auto" w:fill="auto"/>
              </w:tcPr>
              <w:p w14:paraId="5A65438B"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14:paraId="79DD1E6F"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03173FDC" w14:textId="77777777" w:rsidTr="00B547F5">
        <w:tc>
          <w:tcPr>
            <w:tcW w:w="3812" w:type="dxa"/>
            <w:tcBorders>
              <w:top w:val="nil"/>
              <w:left w:val="single" w:sz="4" w:space="0" w:color="auto"/>
              <w:bottom w:val="nil"/>
              <w:right w:val="single" w:sz="4" w:space="0" w:color="auto"/>
            </w:tcBorders>
            <w:shd w:val="clear" w:color="auto" w:fill="E2E2E2"/>
          </w:tcPr>
          <w:p w14:paraId="289CCCD9" w14:textId="77777777" w:rsidR="000F2BE9" w:rsidRPr="00612E08" w:rsidRDefault="000F2BE9" w:rsidP="000800FC">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Content>
            <w:tc>
              <w:tcPr>
                <w:tcW w:w="541" w:type="dxa"/>
                <w:tcBorders>
                  <w:top w:val="dotted" w:sz="4" w:space="0" w:color="auto"/>
                  <w:left w:val="single" w:sz="4" w:space="0" w:color="auto"/>
                  <w:bottom w:val="dotted" w:sz="4" w:space="0" w:color="auto"/>
                  <w:right w:val="nil"/>
                </w:tcBorders>
                <w:shd w:val="clear" w:color="auto" w:fill="auto"/>
                <w:vAlign w:val="center"/>
              </w:tcPr>
              <w:p w14:paraId="226B5A14"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14:paraId="0B6B826B"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Content>
            <w:tc>
              <w:tcPr>
                <w:tcW w:w="538" w:type="dxa"/>
                <w:tcBorders>
                  <w:top w:val="dotted" w:sz="4" w:space="0" w:color="auto"/>
                  <w:left w:val="nil"/>
                  <w:bottom w:val="dotted" w:sz="4" w:space="0" w:color="auto"/>
                  <w:right w:val="nil"/>
                </w:tcBorders>
                <w:shd w:val="clear" w:color="auto" w:fill="auto"/>
                <w:vAlign w:val="center"/>
              </w:tcPr>
              <w:p w14:paraId="3676EB7C" w14:textId="07D25F5B" w:rsidR="000F2BE9" w:rsidRPr="00612E08" w:rsidRDefault="007E5F96"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14:paraId="0B34B8C2"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Content>
            <w:tc>
              <w:tcPr>
                <w:tcW w:w="547" w:type="dxa"/>
                <w:tcBorders>
                  <w:top w:val="dotted" w:sz="4" w:space="0" w:color="auto"/>
                  <w:left w:val="nil"/>
                  <w:bottom w:val="dotted" w:sz="4" w:space="0" w:color="auto"/>
                  <w:right w:val="nil"/>
                </w:tcBorders>
                <w:shd w:val="clear" w:color="auto" w:fill="auto"/>
                <w:vAlign w:val="center"/>
              </w:tcPr>
              <w:p w14:paraId="00A0B39C"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14:paraId="301725F0"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09CB74D2"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2DF98778" w14:textId="77777777" w:rsidR="00A340BB" w:rsidRPr="00612E08" w:rsidRDefault="00A340BB" w:rsidP="00AA592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Content>
            <w:tc>
              <w:tcPr>
                <w:tcW w:w="541" w:type="dxa"/>
                <w:tcBorders>
                  <w:top w:val="single" w:sz="4" w:space="0" w:color="auto"/>
                  <w:left w:val="single" w:sz="4" w:space="0" w:color="auto"/>
                  <w:bottom w:val="single" w:sz="4" w:space="0" w:color="auto"/>
                  <w:right w:val="nil"/>
                </w:tcBorders>
                <w:vAlign w:val="center"/>
              </w:tcPr>
              <w:p w14:paraId="58CECCB1"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108F7D14" w14:textId="77777777"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Content>
            <w:tc>
              <w:tcPr>
                <w:tcW w:w="538" w:type="dxa"/>
                <w:tcBorders>
                  <w:top w:val="single" w:sz="4" w:space="0" w:color="auto"/>
                  <w:left w:val="nil"/>
                  <w:bottom w:val="single" w:sz="4" w:space="0" w:color="auto"/>
                  <w:right w:val="nil"/>
                </w:tcBorders>
                <w:vAlign w:val="center"/>
              </w:tcPr>
              <w:p w14:paraId="6BBE3118" w14:textId="01821744" w:rsidR="00A340BB" w:rsidRPr="00612E08" w:rsidRDefault="007E5F96"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7A6E54D6" w14:textId="77777777"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Content>
            <w:tc>
              <w:tcPr>
                <w:tcW w:w="547" w:type="dxa"/>
                <w:tcBorders>
                  <w:top w:val="single" w:sz="4" w:space="0" w:color="auto"/>
                  <w:left w:val="nil"/>
                  <w:bottom w:val="single" w:sz="4" w:space="0" w:color="auto"/>
                  <w:right w:val="nil"/>
                </w:tcBorders>
                <w:vAlign w:val="center"/>
              </w:tcPr>
              <w:p w14:paraId="75B97DF7"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6822600B" w14:textId="77777777"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5D4D4234" w14:textId="77777777"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14:paraId="0ADF038F" w14:textId="77777777" w:rsidTr="000800FC">
        <w:tc>
          <w:tcPr>
            <w:tcW w:w="9176" w:type="dxa"/>
            <w:tcBorders>
              <w:top w:val="single" w:sz="4" w:space="0" w:color="auto"/>
              <w:left w:val="single" w:sz="4" w:space="0" w:color="auto"/>
              <w:bottom w:val="nil"/>
              <w:right w:val="single" w:sz="4" w:space="0" w:color="auto"/>
            </w:tcBorders>
            <w:shd w:val="clear" w:color="auto" w:fill="E2E2E2"/>
          </w:tcPr>
          <w:p w14:paraId="77F19B48"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14:paraId="5900113C" w14:textId="77777777" w:rsidTr="000800FC">
        <w:trPr>
          <w:trHeight w:val="713"/>
        </w:trPr>
        <w:tc>
          <w:tcPr>
            <w:tcW w:w="9176" w:type="dxa"/>
            <w:tcBorders>
              <w:top w:val="nil"/>
              <w:left w:val="single" w:sz="4" w:space="0" w:color="auto"/>
              <w:bottom w:val="single" w:sz="4" w:space="0" w:color="FFFFFF"/>
              <w:right w:val="single" w:sz="4" w:space="0" w:color="auto"/>
            </w:tcBorders>
            <w:shd w:val="clear" w:color="auto" w:fill="auto"/>
          </w:tcPr>
          <w:p w14:paraId="289835BB"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V prípade potreby uveďte doplňujúce informácie k identifikovaným vplyvom a ich analýzam. </w:t>
            </w:r>
          </w:p>
          <w:p w14:paraId="725203EC" w14:textId="77777777" w:rsidR="004C6831" w:rsidRPr="00612E08" w:rsidRDefault="004C6831" w:rsidP="000800FC">
            <w:pPr>
              <w:jc w:val="both"/>
              <w:rPr>
                <w:rFonts w:ascii="Times New Roman" w:eastAsia="Times New Roman" w:hAnsi="Times New Roman" w:cs="Times New Roman"/>
                <w:i/>
                <w:sz w:val="20"/>
                <w:szCs w:val="20"/>
                <w:lang w:eastAsia="sk-SK"/>
              </w:rPr>
            </w:pPr>
          </w:p>
          <w:p w14:paraId="4F6D6F64" w14:textId="77777777" w:rsidR="004C6831" w:rsidRPr="00612E08" w:rsidRDefault="004C6831"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14:paraId="34573681" w14:textId="77777777" w:rsidR="004C6831" w:rsidRPr="00612E08" w:rsidRDefault="004C6831" w:rsidP="000800FC">
            <w:pPr>
              <w:jc w:val="both"/>
              <w:rPr>
                <w:rFonts w:ascii="Times New Roman" w:eastAsia="Times New Roman" w:hAnsi="Times New Roman" w:cs="Times New Roman"/>
                <w:i/>
                <w:sz w:val="20"/>
                <w:szCs w:val="20"/>
                <w:lang w:eastAsia="sk-SK"/>
              </w:rPr>
            </w:pPr>
          </w:p>
          <w:p w14:paraId="10D2D147" w14:textId="77777777" w:rsidR="004C6831" w:rsidRPr="00612E08" w:rsidRDefault="004C6831"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Informácie v tejto časti slúžia na zhrnutie vplyvov alebo aj na vyjadrenie sa k marginálnym vplyvom a nie ako náhrada za vypracovanie príslušných analýz vybraných vplyvov.</w:t>
            </w:r>
          </w:p>
          <w:p w14:paraId="02B33F2D" w14:textId="77777777" w:rsidR="0098472E" w:rsidRPr="00612E08" w:rsidRDefault="0098472E" w:rsidP="000800FC">
            <w:pPr>
              <w:jc w:val="both"/>
              <w:rPr>
                <w:rFonts w:ascii="Times New Roman" w:eastAsia="Times New Roman" w:hAnsi="Times New Roman" w:cs="Times New Roman"/>
                <w:i/>
                <w:sz w:val="20"/>
                <w:szCs w:val="20"/>
                <w:lang w:eastAsia="sk-SK"/>
              </w:rPr>
            </w:pPr>
          </w:p>
          <w:p w14:paraId="318B6589" w14:textId="77777777" w:rsidR="0098472E" w:rsidRPr="00612E08" w:rsidRDefault="007C5312" w:rsidP="0098472E">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že je materiál posudzovaný podľa zákona č. 24/2006 Z. z. o posudzovaní vplyvov na životné prostredie a o zmene a doplnení niektorých zákonov v znení neskorších prepisov, uveďte internetový odkaz na tento proces.</w:t>
            </w:r>
          </w:p>
          <w:p w14:paraId="4BC2F77D" w14:textId="77777777" w:rsidR="0098472E" w:rsidRPr="00612E08" w:rsidRDefault="0098472E" w:rsidP="000800FC">
            <w:pPr>
              <w:jc w:val="both"/>
              <w:rPr>
                <w:rFonts w:ascii="Times New Roman" w:eastAsia="Times New Roman" w:hAnsi="Times New Roman" w:cs="Times New Roman"/>
                <w:i/>
                <w:sz w:val="20"/>
                <w:szCs w:val="20"/>
                <w:lang w:eastAsia="sk-SK"/>
              </w:rPr>
            </w:pPr>
          </w:p>
          <w:p w14:paraId="119D422A" w14:textId="77777777" w:rsidR="001B23B7" w:rsidRPr="00612E08" w:rsidRDefault="001B23B7" w:rsidP="000800FC">
            <w:pPr>
              <w:ind w:left="426"/>
              <w:contextualSpacing/>
              <w:rPr>
                <w:rFonts w:ascii="Times New Roman" w:eastAsia="Calibri" w:hAnsi="Times New Roman" w:cs="Times New Roman"/>
                <w:b/>
              </w:rPr>
            </w:pPr>
          </w:p>
        </w:tc>
      </w:tr>
      <w:tr w:rsidR="00612E08" w:rsidRPr="00612E08" w14:paraId="4DA6E6BB"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72A20BAD"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Kontakt na spracovateľa</w:t>
            </w:r>
          </w:p>
        </w:tc>
      </w:tr>
      <w:tr w:rsidR="00612E08" w:rsidRPr="00612E08" w14:paraId="53551DD8" w14:textId="77777777" w:rsidTr="000800FC">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57B8ED17" w14:textId="77777777"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14:paraId="219143CD" w14:textId="77777777" w:rsidR="007E5F96" w:rsidRDefault="007E5F96" w:rsidP="000800FC">
            <w:pPr>
              <w:rPr>
                <w:rFonts w:ascii="Times New Roman" w:eastAsia="Times New Roman" w:hAnsi="Times New Roman" w:cs="Times New Roman"/>
                <w:i/>
                <w:sz w:val="20"/>
                <w:szCs w:val="20"/>
                <w:lang w:eastAsia="sk-SK"/>
              </w:rPr>
            </w:pPr>
          </w:p>
          <w:p w14:paraId="5CE2DDD9" w14:textId="77777777" w:rsidR="007E5F96" w:rsidRPr="00C21791" w:rsidRDefault="007E5F96" w:rsidP="007E5F96">
            <w:pPr>
              <w:rPr>
                <w:rFonts w:ascii="Times New Roman" w:eastAsia="Times New Roman" w:hAnsi="Times New Roman" w:cs="Times New Roman"/>
                <w:sz w:val="20"/>
                <w:szCs w:val="20"/>
                <w:lang w:eastAsia="sk-SK"/>
              </w:rPr>
            </w:pPr>
            <w:r w:rsidRPr="00C21791">
              <w:rPr>
                <w:rFonts w:ascii="Times New Roman" w:eastAsia="Times New Roman" w:hAnsi="Times New Roman" w:cs="Times New Roman"/>
                <w:sz w:val="20"/>
                <w:szCs w:val="20"/>
                <w:lang w:eastAsia="sk-SK"/>
              </w:rPr>
              <w:t xml:space="preserve">Ing. Róbert </w:t>
            </w:r>
            <w:proofErr w:type="spellStart"/>
            <w:r w:rsidRPr="00C21791">
              <w:rPr>
                <w:rFonts w:ascii="Times New Roman" w:eastAsia="Times New Roman" w:hAnsi="Times New Roman" w:cs="Times New Roman"/>
                <w:sz w:val="20"/>
                <w:szCs w:val="20"/>
                <w:lang w:eastAsia="sk-SK"/>
              </w:rPr>
              <w:t>Vlkolinský</w:t>
            </w:r>
            <w:proofErr w:type="spellEnd"/>
          </w:p>
          <w:p w14:paraId="0665A786" w14:textId="77777777" w:rsidR="007E5F96" w:rsidRPr="00C21791" w:rsidRDefault="007E5F96" w:rsidP="007E5F96">
            <w:pPr>
              <w:rPr>
                <w:rFonts w:ascii="Times New Roman" w:eastAsia="Times New Roman" w:hAnsi="Times New Roman" w:cs="Times New Roman"/>
                <w:sz w:val="20"/>
                <w:szCs w:val="20"/>
                <w:lang w:eastAsia="sk-SK"/>
              </w:rPr>
            </w:pPr>
            <w:r w:rsidRPr="00C21791">
              <w:rPr>
                <w:rFonts w:ascii="Times New Roman" w:eastAsia="Times New Roman" w:hAnsi="Times New Roman" w:cs="Times New Roman"/>
                <w:sz w:val="20"/>
                <w:szCs w:val="20"/>
                <w:lang w:eastAsia="sk-SK"/>
              </w:rPr>
              <w:t xml:space="preserve">02/5958 2523, robert.vlkolinsky@mfsr.sk </w:t>
            </w:r>
          </w:p>
          <w:p w14:paraId="454EEB54" w14:textId="77777777" w:rsidR="007E5F96" w:rsidRPr="00C21791" w:rsidRDefault="007E5F96" w:rsidP="007E5F96">
            <w:pPr>
              <w:rPr>
                <w:rFonts w:ascii="Times New Roman" w:eastAsia="Times New Roman" w:hAnsi="Times New Roman" w:cs="Times New Roman"/>
                <w:sz w:val="20"/>
                <w:szCs w:val="20"/>
                <w:lang w:eastAsia="sk-SK"/>
              </w:rPr>
            </w:pPr>
            <w:r w:rsidRPr="00C21791">
              <w:rPr>
                <w:rFonts w:ascii="Times New Roman" w:eastAsia="Times New Roman" w:hAnsi="Times New Roman" w:cs="Times New Roman"/>
                <w:sz w:val="20"/>
                <w:szCs w:val="20"/>
                <w:lang w:eastAsia="sk-SK"/>
              </w:rPr>
              <w:t>Ministerstvo financií Slovenskej republiky</w:t>
            </w:r>
          </w:p>
          <w:p w14:paraId="16EE6994" w14:textId="04D8836B" w:rsidR="007E5F96" w:rsidRPr="00612E08" w:rsidRDefault="007E5F96" w:rsidP="007E5F96">
            <w:pPr>
              <w:rPr>
                <w:rFonts w:ascii="Times New Roman" w:eastAsia="Times New Roman" w:hAnsi="Times New Roman" w:cs="Times New Roman"/>
                <w:i/>
                <w:sz w:val="20"/>
                <w:szCs w:val="20"/>
                <w:lang w:eastAsia="sk-SK"/>
              </w:rPr>
            </w:pPr>
          </w:p>
        </w:tc>
      </w:tr>
      <w:tr w:rsidR="00612E08" w:rsidRPr="00612E08" w14:paraId="1818851D"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0366C176"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14:paraId="7CF734B1" w14:textId="77777777" w:rsidTr="000800FC">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7FB77AAE"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612E08">
              <w:rPr>
                <w:rFonts w:ascii="Times New Roman" w:eastAsia="Calibri" w:hAnsi="Times New Roman" w:cs="Times New Roman"/>
                <w:sz w:val="24"/>
                <w:szCs w:val="24"/>
              </w:rPr>
              <w:t xml:space="preserve"> </w:t>
            </w:r>
          </w:p>
          <w:p w14:paraId="43B2AC08" w14:textId="77777777" w:rsidR="007E5F96" w:rsidRPr="003F40E4" w:rsidRDefault="007E5F96" w:rsidP="007E5F96"/>
          <w:p w14:paraId="3CEA5A8D" w14:textId="777A10F7" w:rsidR="001B23B7" w:rsidRDefault="00000000" w:rsidP="000800FC">
            <w:pPr>
              <w:rPr>
                <w:rFonts w:ascii="Times New Roman" w:eastAsia="Times New Roman" w:hAnsi="Times New Roman" w:cs="Times New Roman"/>
                <w:lang w:eastAsia="sk-SK"/>
              </w:rPr>
            </w:pPr>
            <w:hyperlink r:id="rId9" w:history="1">
              <w:r w:rsidR="007E5F96" w:rsidRPr="004E47A0">
                <w:rPr>
                  <w:rStyle w:val="Hypertextovprepojenie"/>
                  <w:rFonts w:ascii="Times New Roman" w:eastAsia="Times New Roman" w:hAnsi="Times New Roman" w:cs="Times New Roman"/>
                  <w:color w:val="auto"/>
                  <w:u w:val="none"/>
                  <w:lang w:eastAsia="sk-SK"/>
                </w:rPr>
                <w:t>www.nbs.sk</w:t>
              </w:r>
            </w:hyperlink>
            <w:r w:rsidR="007E5F96" w:rsidRPr="004E47A0">
              <w:rPr>
                <w:rFonts w:ascii="Times New Roman" w:eastAsia="Times New Roman" w:hAnsi="Times New Roman" w:cs="Times New Roman"/>
                <w:lang w:eastAsia="sk-SK"/>
              </w:rPr>
              <w:t xml:space="preserve"> </w:t>
            </w:r>
          </w:p>
          <w:p w14:paraId="0EECB444" w14:textId="77777777" w:rsidR="00C21791" w:rsidRPr="004E47A0" w:rsidRDefault="00C21791" w:rsidP="000800FC">
            <w:pPr>
              <w:rPr>
                <w:rFonts w:ascii="Times New Roman" w:eastAsia="Times New Roman" w:hAnsi="Times New Roman" w:cs="Times New Roman"/>
                <w:i/>
                <w:lang w:eastAsia="sk-SK"/>
              </w:rPr>
            </w:pPr>
          </w:p>
          <w:p w14:paraId="05A09816" w14:textId="77777777" w:rsidR="001B23B7" w:rsidRPr="00612E08" w:rsidRDefault="001B23B7" w:rsidP="000800FC">
            <w:pPr>
              <w:rPr>
                <w:rFonts w:ascii="Times New Roman" w:eastAsia="Times New Roman" w:hAnsi="Times New Roman" w:cs="Times New Roman"/>
                <w:b/>
                <w:sz w:val="20"/>
                <w:szCs w:val="20"/>
                <w:lang w:eastAsia="sk-SK"/>
              </w:rPr>
            </w:pPr>
          </w:p>
        </w:tc>
      </w:tr>
      <w:tr w:rsidR="00612E08" w:rsidRPr="00612E08" w14:paraId="483A5950"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32AD6D0D" w14:textId="21918665" w:rsidR="001B23B7" w:rsidRPr="00612E08" w:rsidRDefault="001B23B7" w:rsidP="000800FC">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 xml:space="preserve">Stanovisko Komisie na posudzovanie vybraných vplyvov z PPK č. </w:t>
            </w:r>
            <w:r w:rsidR="007F30FB" w:rsidRPr="007F30FB">
              <w:rPr>
                <w:rFonts w:ascii="Times New Roman" w:eastAsia="Calibri" w:hAnsi="Times New Roman" w:cs="Times New Roman"/>
                <w:b/>
              </w:rPr>
              <w:t>032/2025</w:t>
            </w:r>
            <w:r w:rsidRPr="00612E08">
              <w:rPr>
                <w:rFonts w:ascii="Calibri" w:eastAsia="Calibri" w:hAnsi="Calibri" w:cs="Times New Roman"/>
              </w:rPr>
              <w:t xml:space="preserve"> </w:t>
            </w:r>
          </w:p>
          <w:p w14:paraId="423D6437" w14:textId="77777777" w:rsidR="001B23B7" w:rsidRPr="00612E08" w:rsidRDefault="001B23B7" w:rsidP="000800FC">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14:paraId="16DC34D9"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018128E9"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64693CD0" w14:textId="77777777" w:rsidTr="000800FC">
              <w:trPr>
                <w:trHeight w:val="396"/>
              </w:trPr>
              <w:tc>
                <w:tcPr>
                  <w:tcW w:w="2552" w:type="dxa"/>
                </w:tcPr>
                <w:p w14:paraId="530B13C3" w14:textId="77777777" w:rsidR="001B23B7" w:rsidRPr="00612E08"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6B02049E" w14:textId="77777777" w:rsidR="001B23B7" w:rsidRPr="00612E08"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47781277" w14:textId="41CC467B" w:rsidR="001B23B7" w:rsidRPr="00612E08" w:rsidRDefault="00000000"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1"/>
                        <w14:checkedState w14:val="2612" w14:font="MS Gothic"/>
                        <w14:uncheckedState w14:val="2610" w14:font="MS Gothic"/>
                      </w14:checkbox>
                    </w:sdtPr>
                    <w:sdtContent>
                      <w:r w:rsidR="0095248E">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344EF2BF" w14:textId="77777777" w:rsidR="001B23B7"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41100F57" w14:textId="77777777" w:rsidR="0095248E" w:rsidRDefault="0095248E" w:rsidP="000800FC">
            <w:pPr>
              <w:jc w:val="both"/>
              <w:rPr>
                <w:rFonts w:ascii="Times New Roman" w:eastAsia="Times New Roman" w:hAnsi="Times New Roman" w:cs="Times New Roman"/>
                <w:b/>
                <w:sz w:val="20"/>
                <w:szCs w:val="20"/>
                <w:lang w:eastAsia="sk-SK"/>
              </w:rPr>
            </w:pPr>
          </w:p>
          <w:p w14:paraId="29036696" w14:textId="77777777" w:rsidR="0095248E" w:rsidRPr="004E47A0" w:rsidRDefault="0095248E" w:rsidP="0095248E">
            <w:pPr>
              <w:jc w:val="both"/>
              <w:rPr>
                <w:rFonts w:ascii="Times New Roman" w:eastAsia="Times New Roman" w:hAnsi="Times New Roman" w:cs="Times New Roman"/>
                <w:sz w:val="20"/>
                <w:szCs w:val="20"/>
                <w:lang w:eastAsia="sk-SK"/>
              </w:rPr>
            </w:pPr>
            <w:r w:rsidRPr="004E47A0">
              <w:rPr>
                <w:rFonts w:ascii="Times New Roman" w:eastAsia="Times New Roman" w:hAnsi="Times New Roman" w:cs="Times New Roman"/>
                <w:sz w:val="20"/>
                <w:szCs w:val="20"/>
                <w:lang w:eastAsia="sk-SK"/>
              </w:rPr>
              <w:t>K vplyvom na podnikateľské prostredie</w:t>
            </w:r>
          </w:p>
          <w:p w14:paraId="02835D77" w14:textId="77777777" w:rsidR="0095248E" w:rsidRPr="004E47A0" w:rsidRDefault="0095248E" w:rsidP="0095248E">
            <w:pPr>
              <w:jc w:val="both"/>
              <w:rPr>
                <w:rFonts w:ascii="Times New Roman" w:eastAsia="Times New Roman" w:hAnsi="Times New Roman" w:cs="Times New Roman"/>
                <w:sz w:val="20"/>
                <w:szCs w:val="20"/>
                <w:lang w:eastAsia="sk-SK"/>
              </w:rPr>
            </w:pPr>
            <w:r w:rsidRPr="004E47A0">
              <w:rPr>
                <w:rFonts w:ascii="Times New Roman" w:eastAsia="Times New Roman" w:hAnsi="Times New Roman" w:cs="Times New Roman"/>
                <w:sz w:val="20"/>
                <w:szCs w:val="20"/>
                <w:lang w:eastAsia="sk-SK"/>
              </w:rPr>
              <w:t xml:space="preserve">Komisia žiada predkladateľa o vyznačenie vplyvov predkladaného materiálu na MSP v bode 9 Doložky vybraných vplyvov, t. j., že predkladaný materiál má negatívny vplyv na MSP. </w:t>
            </w:r>
          </w:p>
          <w:p w14:paraId="04A550F6" w14:textId="21AB6457" w:rsidR="0095248E" w:rsidRPr="004E47A0" w:rsidRDefault="004E47A0" w:rsidP="0095248E">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lastRenderedPageBreak/>
              <w:t>Vyhodnotenie: P</w:t>
            </w:r>
            <w:r w:rsidRPr="004E47A0">
              <w:rPr>
                <w:rFonts w:ascii="Times New Roman" w:eastAsia="Times New Roman" w:hAnsi="Times New Roman" w:cs="Times New Roman"/>
                <w:sz w:val="20"/>
                <w:szCs w:val="20"/>
                <w:lang w:eastAsia="sk-SK"/>
              </w:rPr>
              <w:t xml:space="preserve">redkladateľ vyznačil negatívny vplyv predloženého materiálu na MSP v bode 9 Doložky vybraných vplyvov. </w:t>
            </w:r>
          </w:p>
          <w:p w14:paraId="20FA1F0D" w14:textId="77777777" w:rsidR="004E47A0" w:rsidRPr="0095248E" w:rsidRDefault="004E47A0" w:rsidP="0095248E">
            <w:pPr>
              <w:jc w:val="both"/>
              <w:rPr>
                <w:rFonts w:ascii="Times New Roman" w:eastAsia="Times New Roman" w:hAnsi="Times New Roman" w:cs="Times New Roman"/>
                <w:b/>
                <w:bCs/>
                <w:sz w:val="20"/>
                <w:szCs w:val="20"/>
                <w:lang w:eastAsia="sk-SK"/>
              </w:rPr>
            </w:pPr>
          </w:p>
          <w:p w14:paraId="551F9FB8" w14:textId="77777777" w:rsidR="0095248E" w:rsidRPr="004E47A0" w:rsidRDefault="0095248E" w:rsidP="0095248E">
            <w:pPr>
              <w:jc w:val="both"/>
              <w:rPr>
                <w:rFonts w:ascii="Times New Roman" w:eastAsia="Times New Roman" w:hAnsi="Times New Roman" w:cs="Times New Roman"/>
                <w:sz w:val="20"/>
                <w:szCs w:val="20"/>
                <w:lang w:eastAsia="sk-SK"/>
              </w:rPr>
            </w:pPr>
            <w:r w:rsidRPr="004E47A0">
              <w:rPr>
                <w:rFonts w:ascii="Times New Roman" w:eastAsia="Times New Roman" w:hAnsi="Times New Roman" w:cs="Times New Roman"/>
                <w:sz w:val="20"/>
                <w:szCs w:val="20"/>
                <w:lang w:eastAsia="sk-SK"/>
              </w:rPr>
              <w:t>Komisia žiada predkladateľa o dopracovanie Analýzy vplyvov na podnikateľské prostredie a Kalkulačky nákladov.</w:t>
            </w:r>
          </w:p>
          <w:p w14:paraId="393F4913" w14:textId="77777777" w:rsidR="0095248E" w:rsidRPr="00CD338B" w:rsidRDefault="0095248E" w:rsidP="0095248E">
            <w:pPr>
              <w:jc w:val="both"/>
              <w:rPr>
                <w:rFonts w:ascii="Times New Roman" w:eastAsia="Times New Roman" w:hAnsi="Times New Roman" w:cs="Times New Roman"/>
                <w:sz w:val="20"/>
                <w:szCs w:val="20"/>
                <w:lang w:eastAsia="sk-SK"/>
              </w:rPr>
            </w:pPr>
            <w:r w:rsidRPr="004E47A0">
              <w:rPr>
                <w:rFonts w:ascii="Times New Roman" w:eastAsia="Times New Roman" w:hAnsi="Times New Roman" w:cs="Times New Roman"/>
                <w:sz w:val="20"/>
                <w:szCs w:val="20"/>
                <w:u w:val="single"/>
                <w:lang w:eastAsia="sk-SK"/>
              </w:rPr>
              <w:t>Odôvodnenie:</w:t>
            </w:r>
            <w:r w:rsidRPr="004E47A0">
              <w:rPr>
                <w:rFonts w:ascii="Times New Roman" w:eastAsia="Times New Roman" w:hAnsi="Times New Roman" w:cs="Times New Roman"/>
                <w:sz w:val="20"/>
                <w:szCs w:val="20"/>
                <w:lang w:eastAsia="sk-SK"/>
              </w:rPr>
              <w:t xml:space="preserve"> V analýze na prvej strane absentuje názov materiálu a predkladateľ. Ďalej je potrebné premiestniť popis regulácií z bodu 3.3. do bodu 3.1.3 a zároveň  očíslovať </w:t>
            </w:r>
            <w:r w:rsidRPr="00643A59">
              <w:rPr>
                <w:rFonts w:ascii="Times New Roman" w:eastAsia="Times New Roman" w:hAnsi="Times New Roman" w:cs="Times New Roman"/>
                <w:sz w:val="20"/>
                <w:szCs w:val="20"/>
                <w:lang w:eastAsia="sk-SK"/>
              </w:rPr>
              <w:t>popis regulácií podľa poradových čísel v tabuľke č. 2. Do tabuľky č. 1 v analýze je potrebné uviesť v poslednom riadku hodnoty IN a OUT – zvýšenie a zníženie nákladov v € na PP podľa kalkulačky nákladov – doplniť riadok „H. Náklady okrem výnimiek = B+D+E-F“. K reguláciám č. 1, 2, 3, 4, 9, 10, 11, 12 a 14  je potrebné doplniť odôvodenie spôsobu</w:t>
            </w:r>
            <w:r w:rsidRPr="00D36BFC">
              <w:rPr>
                <w:rFonts w:ascii="Times New Roman" w:eastAsia="Times New Roman" w:hAnsi="Times New Roman" w:cs="Times New Roman"/>
                <w:sz w:val="20"/>
                <w:szCs w:val="20"/>
                <w:lang w:eastAsia="sk-SK"/>
              </w:rPr>
              <w:t xml:space="preserve"> určenia nepriameho fin. nákladu resp. čo predstavuje tento náklad. V kalkulačke nákladov nie je zvolená frekvencia plnenia povinnosti</w:t>
            </w:r>
            <w:r w:rsidRPr="00007AE6">
              <w:rPr>
                <w:rFonts w:ascii="Times New Roman" w:eastAsia="Times New Roman" w:hAnsi="Times New Roman" w:cs="Times New Roman"/>
                <w:sz w:val="20"/>
                <w:szCs w:val="20"/>
                <w:lang w:eastAsia="sk-SK"/>
              </w:rPr>
              <w:t xml:space="preserve"> regulácie č. 1. Ďalej v analýze absentuje popis regulácie č. 10. K regulácii č. 11 je potrebné upraviť textáciu popisu regulácie vzhľadom na uvedené </w:t>
            </w:r>
            <w:r w:rsidRPr="00CD338B">
              <w:rPr>
                <w:rFonts w:ascii="Times New Roman" w:eastAsia="Times New Roman" w:hAnsi="Times New Roman" w:cs="Times New Roman"/>
                <w:sz w:val="20"/>
                <w:szCs w:val="20"/>
                <w:lang w:eastAsia="sk-SK"/>
              </w:rPr>
              <w:t>výšku nákladu 25 000 € pri týždennej frekvencii, ktorý Komisia nepovažuje za zanedbateľný.</w:t>
            </w:r>
          </w:p>
          <w:p w14:paraId="36191E39" w14:textId="12E67F51" w:rsidR="004E47A0" w:rsidRDefault="004E47A0" w:rsidP="0095248E">
            <w:pPr>
              <w:jc w:val="both"/>
              <w:rPr>
                <w:rFonts w:ascii="Times New Roman" w:eastAsia="Times New Roman" w:hAnsi="Times New Roman" w:cs="Times New Roman"/>
                <w:sz w:val="20"/>
                <w:szCs w:val="20"/>
                <w:lang w:eastAsia="sk-SK"/>
              </w:rPr>
            </w:pPr>
            <w:r w:rsidRPr="00D26A4B">
              <w:rPr>
                <w:rFonts w:ascii="Times New Roman" w:eastAsia="Times New Roman" w:hAnsi="Times New Roman" w:cs="Times New Roman"/>
                <w:sz w:val="20"/>
                <w:szCs w:val="20"/>
                <w:u w:val="single"/>
                <w:lang w:eastAsia="sk-SK"/>
              </w:rPr>
              <w:t>Vyhodnotenie:</w:t>
            </w:r>
            <w:r>
              <w:rPr>
                <w:rFonts w:ascii="Times New Roman" w:eastAsia="Times New Roman" w:hAnsi="Times New Roman" w:cs="Times New Roman"/>
                <w:sz w:val="20"/>
                <w:szCs w:val="20"/>
                <w:lang w:eastAsia="sk-SK"/>
              </w:rPr>
              <w:t xml:space="preserve"> Predkladateľ dopracoval analýzu vplyvov na podnikateľské prostredie a Kalkulačku nákladov. V analýze vplyvov bol doplnený názov materiálu a predkladateľ. Popis regulácií bol premiestnený z bodu 3.3. do bodu 3.1.3 a popis regulácií bol očíslovaný podľa poradových čísiel uvedených  v tabuľke č. 2.  </w:t>
            </w:r>
            <w:r w:rsidR="00643A59">
              <w:rPr>
                <w:rFonts w:ascii="Times New Roman" w:eastAsia="Times New Roman" w:hAnsi="Times New Roman" w:cs="Times New Roman"/>
                <w:sz w:val="20"/>
                <w:szCs w:val="20"/>
                <w:lang w:eastAsia="sk-SK"/>
              </w:rPr>
              <w:t>V poslednom riadku boli doplnené hodnoty IN a OUT podľa kalkulačky nákladov</w:t>
            </w:r>
            <w:r w:rsidR="00D56228">
              <w:rPr>
                <w:rFonts w:ascii="Times New Roman" w:eastAsia="Times New Roman" w:hAnsi="Times New Roman" w:cs="Times New Roman"/>
                <w:sz w:val="20"/>
                <w:szCs w:val="20"/>
                <w:lang w:eastAsia="sk-SK"/>
              </w:rPr>
              <w:t xml:space="preserve">, a bol vyplnený riadok H. </w:t>
            </w:r>
            <w:r w:rsidR="00D36BFC">
              <w:rPr>
                <w:rFonts w:ascii="Times New Roman" w:eastAsia="Times New Roman" w:hAnsi="Times New Roman" w:cs="Times New Roman"/>
                <w:sz w:val="20"/>
                <w:szCs w:val="20"/>
                <w:lang w:eastAsia="sk-SK"/>
              </w:rPr>
              <w:t>K príslušným reguláciám bol doplnený spôsob určenia nepriameho finančného nákladu.</w:t>
            </w:r>
            <w:r>
              <w:rPr>
                <w:rFonts w:ascii="Times New Roman" w:eastAsia="Times New Roman" w:hAnsi="Times New Roman" w:cs="Times New Roman"/>
                <w:sz w:val="20"/>
                <w:szCs w:val="20"/>
                <w:lang w:eastAsia="sk-SK"/>
              </w:rPr>
              <w:t xml:space="preserve"> </w:t>
            </w:r>
            <w:r w:rsidR="00007AE6">
              <w:rPr>
                <w:rFonts w:ascii="Times New Roman" w:eastAsia="Times New Roman" w:hAnsi="Times New Roman" w:cs="Times New Roman"/>
                <w:sz w:val="20"/>
                <w:szCs w:val="20"/>
                <w:lang w:eastAsia="sk-SK"/>
              </w:rPr>
              <w:t xml:space="preserve">V kalkulačke nákladov bola doplnená frekvencia plnenia povinnosti regulácie č. 1. Bol doplnený popis regulácie č. 10. K regulácii č. 11 bola upravená textácia, pričom uvedená tabuľka neumožňuje vykazovanie povinností na dennej báze, preto sa daná povinnosť vykazuje na týždennej báze, čo však nemá zásadný vplyv na odhad súvisiacich nákladov.    </w:t>
            </w:r>
          </w:p>
          <w:p w14:paraId="4BE33664" w14:textId="3FC21696" w:rsidR="0095248E" w:rsidRDefault="0095248E" w:rsidP="0095248E">
            <w:pPr>
              <w:jc w:val="both"/>
              <w:rPr>
                <w:rFonts w:ascii="Times New Roman" w:eastAsia="Times New Roman" w:hAnsi="Times New Roman" w:cs="Times New Roman"/>
                <w:b/>
                <w:bCs/>
                <w:sz w:val="20"/>
                <w:szCs w:val="20"/>
                <w:highlight w:val="yellow"/>
                <w:lang w:eastAsia="sk-SK"/>
              </w:rPr>
            </w:pPr>
          </w:p>
          <w:p w14:paraId="66AA8805" w14:textId="77777777" w:rsidR="0095248E" w:rsidRPr="006874EE" w:rsidRDefault="0095248E" w:rsidP="0095248E">
            <w:pPr>
              <w:jc w:val="both"/>
              <w:rPr>
                <w:rFonts w:ascii="Times New Roman" w:eastAsia="Times New Roman" w:hAnsi="Times New Roman" w:cs="Times New Roman"/>
                <w:sz w:val="20"/>
                <w:szCs w:val="20"/>
                <w:lang w:eastAsia="sk-SK"/>
              </w:rPr>
            </w:pPr>
            <w:r w:rsidRPr="006874EE">
              <w:rPr>
                <w:rFonts w:ascii="Times New Roman" w:eastAsia="Times New Roman" w:hAnsi="Times New Roman" w:cs="Times New Roman"/>
                <w:sz w:val="20"/>
                <w:szCs w:val="20"/>
                <w:lang w:eastAsia="sk-SK"/>
              </w:rPr>
              <w:t>Komisia žiada predkladateľa dopracovať bod 3.4 Iné vplyvy na podnikateľské prostredie v Analýze vplyvov na podnikateľské prostredie a vyznačiť pozitívny vplyv na podnikateľské prostredie v Doložke vybraných vplyvov.</w:t>
            </w:r>
          </w:p>
          <w:p w14:paraId="37312506" w14:textId="77777777" w:rsidR="0095248E" w:rsidRPr="006874EE" w:rsidRDefault="0095248E" w:rsidP="0095248E">
            <w:pPr>
              <w:jc w:val="both"/>
              <w:rPr>
                <w:rFonts w:ascii="Times New Roman" w:eastAsia="Times New Roman" w:hAnsi="Times New Roman" w:cs="Times New Roman"/>
                <w:sz w:val="20"/>
                <w:szCs w:val="20"/>
                <w:lang w:eastAsia="sk-SK"/>
              </w:rPr>
            </w:pPr>
            <w:r w:rsidRPr="006874EE">
              <w:rPr>
                <w:rFonts w:ascii="Times New Roman" w:eastAsia="Times New Roman" w:hAnsi="Times New Roman" w:cs="Times New Roman"/>
                <w:sz w:val="20"/>
                <w:szCs w:val="20"/>
                <w:u w:val="single"/>
                <w:lang w:eastAsia="sk-SK"/>
              </w:rPr>
              <w:t>Odôvodnenie:</w:t>
            </w:r>
            <w:r w:rsidRPr="006874EE">
              <w:rPr>
                <w:rFonts w:ascii="Times New Roman" w:eastAsia="Times New Roman" w:hAnsi="Times New Roman" w:cs="Times New Roman"/>
                <w:sz w:val="20"/>
                <w:szCs w:val="20"/>
                <w:lang w:eastAsia="sk-SK"/>
              </w:rPr>
              <w:t xml:space="preserve"> Podľa dôvodovej správy bodu 15 (§ 120) je cieľom ustanovenia zatraktívniť verejné kapitálové trhy v Únii pre spoločnosti a uľahčiť malým a stredným podnikom prístup ku kapitálu. Tento vplyv by mal byť opísaný v časti 3.4 a vyznačený v Doložke vybraných vplyvov v časti 9. Vybrané vplyvy materiálu ako pozitívny. Zároveň Komisia žiada predkladateľa premiestniť regulácie č. 5 a 6 do časti 3.4 z časti 3.1 vzhľadom na skutočnosť, že sa v súčasnosti nepredpokladá vznik samostatného segmentu rastového trhu. Z tohto dôvod bude postačujúce potenciálne vzniknuté náklady opísať.  </w:t>
            </w:r>
          </w:p>
          <w:p w14:paraId="73661EA9" w14:textId="3D4A845D" w:rsidR="0095248E" w:rsidRDefault="004E47A0" w:rsidP="0095248E">
            <w:pPr>
              <w:jc w:val="both"/>
              <w:rPr>
                <w:rFonts w:ascii="Times New Roman" w:eastAsia="Times New Roman" w:hAnsi="Times New Roman" w:cs="Times New Roman"/>
                <w:sz w:val="20"/>
                <w:szCs w:val="20"/>
                <w:lang w:eastAsia="sk-SK"/>
              </w:rPr>
            </w:pPr>
            <w:r w:rsidRPr="00D26A4B">
              <w:rPr>
                <w:rFonts w:ascii="Times New Roman" w:eastAsia="Times New Roman" w:hAnsi="Times New Roman" w:cs="Times New Roman"/>
                <w:sz w:val="20"/>
                <w:szCs w:val="20"/>
                <w:u w:val="single"/>
                <w:lang w:eastAsia="sk-SK"/>
              </w:rPr>
              <w:t>Vyhodnotenie:</w:t>
            </w:r>
            <w:r>
              <w:rPr>
                <w:rFonts w:ascii="Times New Roman" w:eastAsia="Times New Roman" w:hAnsi="Times New Roman" w:cs="Times New Roman"/>
                <w:sz w:val="20"/>
                <w:szCs w:val="20"/>
                <w:lang w:eastAsia="sk-SK"/>
              </w:rPr>
              <w:t xml:space="preserve"> V Doložke vybraných vplyvov bol vyznačený pozitívny vplyv na podnikateľské prostredie</w:t>
            </w:r>
            <w:r w:rsidR="006874EE">
              <w:rPr>
                <w:rFonts w:ascii="Times New Roman" w:eastAsia="Times New Roman" w:hAnsi="Times New Roman" w:cs="Times New Roman"/>
                <w:sz w:val="20"/>
                <w:szCs w:val="20"/>
                <w:lang w:eastAsia="sk-SK"/>
              </w:rPr>
              <w:t xml:space="preserve">, ktorý sa predpokladá z dôvodu zatraktívnenia verejných trhov v Európskej únii a uľahčením prístupu ku kapitálu zo strany MSP.  Regulácie č. 5 a 6 boli presunuté z časti 3.1 do časti 3.4, a sú opísané potenciálne náklady s nimi spojené. </w:t>
            </w:r>
            <w:r>
              <w:rPr>
                <w:rFonts w:ascii="Times New Roman" w:eastAsia="Times New Roman" w:hAnsi="Times New Roman" w:cs="Times New Roman"/>
                <w:sz w:val="20"/>
                <w:szCs w:val="20"/>
                <w:lang w:eastAsia="sk-SK"/>
              </w:rPr>
              <w:t xml:space="preserve">   </w:t>
            </w:r>
          </w:p>
          <w:p w14:paraId="218F2867" w14:textId="77777777" w:rsidR="004E47A0" w:rsidRPr="00D26A4B" w:rsidRDefault="004E47A0" w:rsidP="0095248E">
            <w:pPr>
              <w:jc w:val="both"/>
              <w:rPr>
                <w:rFonts w:ascii="Times New Roman" w:eastAsia="Times New Roman" w:hAnsi="Times New Roman" w:cs="Times New Roman"/>
                <w:sz w:val="20"/>
                <w:szCs w:val="20"/>
                <w:highlight w:val="yellow"/>
                <w:lang w:eastAsia="sk-SK"/>
              </w:rPr>
            </w:pPr>
          </w:p>
          <w:p w14:paraId="2FB31E2D" w14:textId="77777777" w:rsidR="0095248E" w:rsidRPr="00D26A4B" w:rsidRDefault="0095248E" w:rsidP="0095248E">
            <w:pPr>
              <w:jc w:val="both"/>
              <w:rPr>
                <w:rFonts w:ascii="Times New Roman" w:eastAsia="Times New Roman" w:hAnsi="Times New Roman" w:cs="Times New Roman"/>
                <w:sz w:val="20"/>
                <w:szCs w:val="20"/>
                <w:lang w:eastAsia="sk-SK"/>
              </w:rPr>
            </w:pPr>
            <w:r w:rsidRPr="00D26A4B">
              <w:rPr>
                <w:rFonts w:ascii="Times New Roman" w:eastAsia="Times New Roman" w:hAnsi="Times New Roman" w:cs="Times New Roman"/>
                <w:sz w:val="20"/>
                <w:szCs w:val="20"/>
                <w:lang w:eastAsia="sk-SK"/>
              </w:rPr>
              <w:t>K sociálnym vplyvom</w:t>
            </w:r>
          </w:p>
          <w:p w14:paraId="059963AA" w14:textId="77777777" w:rsidR="0095248E" w:rsidRPr="00D26A4B" w:rsidRDefault="0095248E" w:rsidP="0095248E">
            <w:pPr>
              <w:jc w:val="both"/>
              <w:rPr>
                <w:rFonts w:ascii="Times New Roman" w:eastAsia="Times New Roman" w:hAnsi="Times New Roman" w:cs="Times New Roman"/>
                <w:sz w:val="20"/>
                <w:szCs w:val="20"/>
                <w:lang w:eastAsia="sk-SK"/>
              </w:rPr>
            </w:pPr>
            <w:r w:rsidRPr="00D26A4B">
              <w:rPr>
                <w:rFonts w:ascii="Times New Roman" w:eastAsia="Times New Roman" w:hAnsi="Times New Roman" w:cs="Times New Roman"/>
                <w:sz w:val="20"/>
                <w:szCs w:val="20"/>
                <w:lang w:eastAsia="sk-SK"/>
              </w:rPr>
              <w:t>Komisia odporúča v bode 9 doložky vybraných vplyvov označiť sociálne vplyvy predloženého materiálu a vypracovať analýzu sociálnych vplyvov.</w:t>
            </w:r>
          </w:p>
          <w:p w14:paraId="689136E3" w14:textId="77777777" w:rsidR="0095248E" w:rsidRPr="006874EE" w:rsidRDefault="0095248E" w:rsidP="0095248E">
            <w:pPr>
              <w:jc w:val="both"/>
              <w:rPr>
                <w:rFonts w:ascii="Times New Roman" w:eastAsia="Times New Roman" w:hAnsi="Times New Roman" w:cs="Times New Roman"/>
                <w:b/>
                <w:bCs/>
                <w:sz w:val="20"/>
                <w:szCs w:val="20"/>
                <w:lang w:eastAsia="sk-SK"/>
              </w:rPr>
            </w:pPr>
            <w:r w:rsidRPr="00D26A4B">
              <w:rPr>
                <w:rFonts w:ascii="Times New Roman" w:eastAsia="Times New Roman" w:hAnsi="Times New Roman" w:cs="Times New Roman"/>
                <w:sz w:val="20"/>
                <w:szCs w:val="20"/>
                <w:u w:val="single"/>
                <w:lang w:eastAsia="sk-SK"/>
              </w:rPr>
              <w:t xml:space="preserve">Odôvodnenie: </w:t>
            </w:r>
            <w:r w:rsidRPr="00D26A4B">
              <w:rPr>
                <w:rFonts w:ascii="Times New Roman" w:eastAsia="Times New Roman" w:hAnsi="Times New Roman" w:cs="Times New Roman"/>
                <w:sz w:val="20"/>
                <w:szCs w:val="20"/>
                <w:lang w:eastAsia="sk-SK"/>
              </w:rPr>
              <w:t>V porovnaní so súčasným stavom predložený materiál predpokladá zmeny týkajúce sa povinnosti obchodníka informovať svojho klienta. Sociálne vplyvy preto Komisia odporúča bližším spôsobom zhodnotiť v analýze sociálnych vplyvov a to predovšetkým v bode 4.2 – prístup k zdrojom, právam, tovarom a službám. Zároveň je ich potrebné označiť v bode 9 doložky vybraných vplyvov.</w:t>
            </w:r>
          </w:p>
          <w:p w14:paraId="543D7015" w14:textId="10419990" w:rsidR="0095248E" w:rsidRDefault="004E47A0" w:rsidP="000800FC">
            <w:pPr>
              <w:jc w:val="both"/>
              <w:rPr>
                <w:rFonts w:ascii="Times New Roman" w:eastAsia="Times New Roman" w:hAnsi="Times New Roman" w:cs="Times New Roman"/>
                <w:b/>
                <w:sz w:val="20"/>
                <w:szCs w:val="20"/>
                <w:lang w:eastAsia="sk-SK"/>
              </w:rPr>
            </w:pPr>
            <w:r w:rsidRPr="00D26A4B">
              <w:rPr>
                <w:rFonts w:ascii="Times New Roman" w:eastAsia="Times New Roman" w:hAnsi="Times New Roman" w:cs="Times New Roman"/>
                <w:sz w:val="20"/>
                <w:szCs w:val="20"/>
                <w:u w:val="single"/>
                <w:lang w:eastAsia="sk-SK"/>
              </w:rPr>
              <w:t>Vyhodnotenie:</w:t>
            </w:r>
            <w:r w:rsidR="006874EE" w:rsidRPr="00A941B6">
              <w:rPr>
                <w:rFonts w:ascii="Times New Roman" w:eastAsia="Times New Roman" w:hAnsi="Times New Roman" w:cs="Times New Roman"/>
                <w:sz w:val="20"/>
                <w:szCs w:val="20"/>
                <w:lang w:eastAsia="sk-SK"/>
              </w:rPr>
              <w:t xml:space="preserve"> Pozitívne sociálne vplyvy boli vyznačené v bode 9 Doložky vybraných vplyvov a bola vypracovaná Analýza sociálnych vplyvov.</w:t>
            </w:r>
            <w:r w:rsidR="00192840" w:rsidRPr="00A941B6">
              <w:rPr>
                <w:rFonts w:ascii="Times New Roman" w:eastAsia="Times New Roman" w:hAnsi="Times New Roman" w:cs="Times New Roman"/>
                <w:sz w:val="20"/>
                <w:szCs w:val="20"/>
                <w:lang w:eastAsia="sk-SK"/>
              </w:rPr>
              <w:t xml:space="preserve"> V zmysle § 73o ods. 3 zákona o cenných papieroch je obchodník s cennými papiermi povinný informovať klienta</w:t>
            </w:r>
            <w:r w:rsidR="00192840">
              <w:rPr>
                <w:rFonts w:ascii="Times New Roman" w:eastAsia="Times New Roman" w:hAnsi="Times New Roman" w:cs="Times New Roman"/>
                <w:sz w:val="20"/>
                <w:szCs w:val="20"/>
                <w:lang w:eastAsia="sk-SK"/>
              </w:rPr>
              <w:t xml:space="preserve"> o mieste, na ktorom bol jeho pokyn vykonaný. Takáto informácia má pozitívny dopad na klienta, keďže mu umožňuje rozhodnúť sa, či bude naďalej žiadať o vykonanie jeho pokynov na príslušnom mieste. </w:t>
            </w:r>
            <w:r w:rsidR="00A941B6">
              <w:rPr>
                <w:rFonts w:ascii="Times New Roman" w:eastAsia="Times New Roman" w:hAnsi="Times New Roman" w:cs="Times New Roman"/>
                <w:sz w:val="20"/>
                <w:szCs w:val="20"/>
                <w:lang w:eastAsia="sk-SK"/>
              </w:rPr>
              <w:t>Sociálne vplyvy boli podrobnejšie opísané v Analýze sociálnych vplyvov.</w:t>
            </w:r>
            <w:r w:rsidR="00192840">
              <w:rPr>
                <w:rFonts w:ascii="Times New Roman" w:eastAsia="Times New Roman" w:hAnsi="Times New Roman" w:cs="Times New Roman"/>
                <w:sz w:val="20"/>
                <w:szCs w:val="20"/>
                <w:lang w:eastAsia="sk-SK"/>
              </w:rPr>
              <w:t xml:space="preserve"> </w:t>
            </w:r>
          </w:p>
          <w:p w14:paraId="078F1318" w14:textId="77777777" w:rsidR="001B23B7" w:rsidRPr="00612E08" w:rsidRDefault="001B23B7" w:rsidP="000800FC">
            <w:pPr>
              <w:rPr>
                <w:rFonts w:ascii="Times New Roman" w:eastAsia="Times New Roman" w:hAnsi="Times New Roman" w:cs="Times New Roman"/>
                <w:b/>
                <w:sz w:val="20"/>
                <w:szCs w:val="20"/>
                <w:lang w:eastAsia="sk-SK"/>
              </w:rPr>
            </w:pPr>
          </w:p>
        </w:tc>
      </w:tr>
      <w:tr w:rsidR="00612E08" w:rsidRPr="00612E08" w14:paraId="00DFC2BB" w14:textId="77777777" w:rsidTr="000800FC">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18E413FE" w14:textId="77777777" w:rsidR="001B23B7" w:rsidRPr="00612E08" w:rsidRDefault="001B23B7" w:rsidP="000800FC">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lastRenderedPageBreak/>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14:paraId="3898C752" w14:textId="77777777" w:rsidTr="000800FC">
        <w:tblPrEx>
          <w:tblBorders>
            <w:insideH w:val="single" w:sz="4" w:space="0" w:color="FFFFFF"/>
            <w:insideV w:val="single" w:sz="4" w:space="0" w:color="FFFFFF"/>
          </w:tblBorders>
        </w:tblPrEx>
        <w:tc>
          <w:tcPr>
            <w:tcW w:w="9176" w:type="dxa"/>
            <w:shd w:val="clear" w:color="auto" w:fill="FFFFFF"/>
          </w:tcPr>
          <w:p w14:paraId="233E300A"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5B5E2925" w14:textId="77777777" w:rsidTr="000800FC">
              <w:trPr>
                <w:trHeight w:val="396"/>
              </w:trPr>
              <w:tc>
                <w:tcPr>
                  <w:tcW w:w="2552" w:type="dxa"/>
                </w:tcPr>
                <w:p w14:paraId="23C5BAA4" w14:textId="77777777" w:rsidR="001B23B7" w:rsidRPr="00612E08"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7395DDBC" w14:textId="77777777" w:rsidR="001B23B7" w:rsidRPr="00612E08"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576867AC" w14:textId="77777777" w:rsidR="001B23B7" w:rsidRPr="00612E08" w:rsidRDefault="00000000"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465D4D5A" w14:textId="77777777"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046D5888" w14:textId="77777777" w:rsidR="001B23B7" w:rsidRPr="00612E08" w:rsidRDefault="001B23B7" w:rsidP="000800FC">
            <w:pPr>
              <w:rPr>
                <w:rFonts w:ascii="Times New Roman" w:eastAsia="Times New Roman" w:hAnsi="Times New Roman" w:cs="Times New Roman"/>
                <w:b/>
                <w:sz w:val="20"/>
                <w:szCs w:val="20"/>
                <w:lang w:eastAsia="sk-SK"/>
              </w:rPr>
            </w:pPr>
          </w:p>
          <w:p w14:paraId="71E9FCEB" w14:textId="77777777" w:rsidR="001B23B7" w:rsidRPr="00612E08" w:rsidRDefault="001B23B7" w:rsidP="000800FC">
            <w:pPr>
              <w:rPr>
                <w:rFonts w:ascii="Times New Roman" w:eastAsia="Times New Roman" w:hAnsi="Times New Roman" w:cs="Times New Roman"/>
                <w:b/>
                <w:sz w:val="20"/>
                <w:szCs w:val="20"/>
                <w:lang w:eastAsia="sk-SK"/>
              </w:rPr>
            </w:pPr>
          </w:p>
        </w:tc>
      </w:tr>
    </w:tbl>
    <w:p w14:paraId="582369AF" w14:textId="77777777" w:rsidR="000227B0" w:rsidRPr="00612E08" w:rsidRDefault="000227B0" w:rsidP="007E5F96"/>
    <w:sectPr w:rsidR="000227B0" w:rsidRPr="00612E08" w:rsidSect="001E3562">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6DF739" w14:textId="77777777" w:rsidR="008967B9" w:rsidRDefault="008967B9" w:rsidP="001B23B7">
      <w:pPr>
        <w:spacing w:after="0" w:line="240" w:lineRule="auto"/>
      </w:pPr>
      <w:r>
        <w:separator/>
      </w:r>
    </w:p>
  </w:endnote>
  <w:endnote w:type="continuationSeparator" w:id="0">
    <w:p w14:paraId="2F88E80C" w14:textId="77777777" w:rsidR="008967B9" w:rsidRDefault="008967B9"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26D4E50B" w14:textId="77777777" w:rsidR="001B23B7" w:rsidRPr="006045CB" w:rsidRDefault="008B222D"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612E08">
          <w:rPr>
            <w:rFonts w:ascii="Times New Roman" w:hAnsi="Times New Roman" w:cs="Times New Roman"/>
            <w:noProof/>
            <w:sz w:val="24"/>
            <w:szCs w:val="24"/>
          </w:rPr>
          <w:t>2</w:t>
        </w:r>
        <w:r w:rsidRPr="006045CB">
          <w:rPr>
            <w:rFonts w:ascii="Times New Roman" w:hAnsi="Times New Roman" w:cs="Times New Roman"/>
            <w:sz w:val="24"/>
            <w:szCs w:val="24"/>
          </w:rPr>
          <w:fldChar w:fldCharType="end"/>
        </w:r>
      </w:p>
    </w:sdtContent>
  </w:sdt>
  <w:p w14:paraId="5063AA3E" w14:textId="77777777" w:rsidR="001B23B7" w:rsidRDefault="001B23B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2414C0" w14:textId="77777777" w:rsidR="008967B9" w:rsidRDefault="008967B9" w:rsidP="001B23B7">
      <w:pPr>
        <w:spacing w:after="0" w:line="240" w:lineRule="auto"/>
      </w:pPr>
      <w:r>
        <w:separator/>
      </w:r>
    </w:p>
  </w:footnote>
  <w:footnote w:type="continuationSeparator" w:id="0">
    <w:p w14:paraId="45ED7BD2" w14:textId="77777777" w:rsidR="008967B9" w:rsidRDefault="008967B9" w:rsidP="001B2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30BED" w14:textId="77777777" w:rsidR="001B23B7" w:rsidRPr="006045CB" w:rsidRDefault="001B23B7" w:rsidP="001B23B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1</w:t>
    </w:r>
  </w:p>
  <w:p w14:paraId="5DDD5644" w14:textId="77777777" w:rsidR="001B23B7" w:rsidRDefault="001B23B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6F5821"/>
    <w:multiLevelType w:val="hybridMultilevel"/>
    <w:tmpl w:val="357426E8"/>
    <w:lvl w:ilvl="0" w:tplc="CD2CCB2A">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16cid:durableId="711852719">
    <w:abstractNumId w:val="1"/>
  </w:num>
  <w:num w:numId="2" w16cid:durableId="7505876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3B7"/>
    <w:rsid w:val="000013C3"/>
    <w:rsid w:val="00007AE6"/>
    <w:rsid w:val="000227B0"/>
    <w:rsid w:val="00043706"/>
    <w:rsid w:val="000531B3"/>
    <w:rsid w:val="00097069"/>
    <w:rsid w:val="000D348F"/>
    <w:rsid w:val="000D6329"/>
    <w:rsid w:val="000F2BE9"/>
    <w:rsid w:val="00113AE4"/>
    <w:rsid w:val="00156064"/>
    <w:rsid w:val="00177D71"/>
    <w:rsid w:val="00187182"/>
    <w:rsid w:val="00192840"/>
    <w:rsid w:val="00197BD3"/>
    <w:rsid w:val="001B23B7"/>
    <w:rsid w:val="001E2661"/>
    <w:rsid w:val="001E3562"/>
    <w:rsid w:val="00203EE3"/>
    <w:rsid w:val="002243BB"/>
    <w:rsid w:val="0023360B"/>
    <w:rsid w:val="00243652"/>
    <w:rsid w:val="002F6ADB"/>
    <w:rsid w:val="003145AE"/>
    <w:rsid w:val="003553ED"/>
    <w:rsid w:val="003A057B"/>
    <w:rsid w:val="003A381E"/>
    <w:rsid w:val="003F40E4"/>
    <w:rsid w:val="00411898"/>
    <w:rsid w:val="0049476D"/>
    <w:rsid w:val="004A4383"/>
    <w:rsid w:val="004C6831"/>
    <w:rsid w:val="004E47A0"/>
    <w:rsid w:val="0052234F"/>
    <w:rsid w:val="00591EC6"/>
    <w:rsid w:val="00591ED3"/>
    <w:rsid w:val="00612E08"/>
    <w:rsid w:val="006206CE"/>
    <w:rsid w:val="006261AB"/>
    <w:rsid w:val="00643A59"/>
    <w:rsid w:val="006874EE"/>
    <w:rsid w:val="006F678E"/>
    <w:rsid w:val="006F6B62"/>
    <w:rsid w:val="00720322"/>
    <w:rsid w:val="0075197E"/>
    <w:rsid w:val="00761208"/>
    <w:rsid w:val="007756BE"/>
    <w:rsid w:val="007B40C1"/>
    <w:rsid w:val="007C5312"/>
    <w:rsid w:val="007D6F2C"/>
    <w:rsid w:val="007E5F96"/>
    <w:rsid w:val="007F30FB"/>
    <w:rsid w:val="007F587A"/>
    <w:rsid w:val="0080042A"/>
    <w:rsid w:val="00830AB6"/>
    <w:rsid w:val="008601E9"/>
    <w:rsid w:val="00865E81"/>
    <w:rsid w:val="008801B5"/>
    <w:rsid w:val="00881E07"/>
    <w:rsid w:val="008967B9"/>
    <w:rsid w:val="008B222D"/>
    <w:rsid w:val="008C79B7"/>
    <w:rsid w:val="009431E3"/>
    <w:rsid w:val="009475F5"/>
    <w:rsid w:val="0095248E"/>
    <w:rsid w:val="009717F5"/>
    <w:rsid w:val="0097221C"/>
    <w:rsid w:val="0098472E"/>
    <w:rsid w:val="009C424C"/>
    <w:rsid w:val="009E09F7"/>
    <w:rsid w:val="009F4832"/>
    <w:rsid w:val="00A311E7"/>
    <w:rsid w:val="00A340BB"/>
    <w:rsid w:val="00A60413"/>
    <w:rsid w:val="00A7788F"/>
    <w:rsid w:val="00A941B6"/>
    <w:rsid w:val="00AC30D6"/>
    <w:rsid w:val="00B00B6E"/>
    <w:rsid w:val="00B547F5"/>
    <w:rsid w:val="00B84F87"/>
    <w:rsid w:val="00B9476F"/>
    <w:rsid w:val="00BA2BF4"/>
    <w:rsid w:val="00C21791"/>
    <w:rsid w:val="00C5000E"/>
    <w:rsid w:val="00C7193A"/>
    <w:rsid w:val="00C86714"/>
    <w:rsid w:val="00C94E4E"/>
    <w:rsid w:val="00CB08AE"/>
    <w:rsid w:val="00CD338B"/>
    <w:rsid w:val="00CD6E04"/>
    <w:rsid w:val="00CE6AAE"/>
    <w:rsid w:val="00CF1A25"/>
    <w:rsid w:val="00CF7725"/>
    <w:rsid w:val="00D2313B"/>
    <w:rsid w:val="00D26A4B"/>
    <w:rsid w:val="00D36BFC"/>
    <w:rsid w:val="00D50F1E"/>
    <w:rsid w:val="00D56228"/>
    <w:rsid w:val="00DF357C"/>
    <w:rsid w:val="00DF7988"/>
    <w:rsid w:val="00E440B4"/>
    <w:rsid w:val="00EB76F2"/>
    <w:rsid w:val="00ED165A"/>
    <w:rsid w:val="00ED1AC0"/>
    <w:rsid w:val="00ED4B5F"/>
    <w:rsid w:val="00F50A84"/>
    <w:rsid w:val="00F87681"/>
    <w:rsid w:val="00FA02D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3BEF0"/>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paragraph" w:styleId="Odsekzoznamu">
    <w:name w:val="List Paragraph"/>
    <w:basedOn w:val="Normlny"/>
    <w:uiPriority w:val="34"/>
    <w:qFormat/>
    <w:rsid w:val="007E5F96"/>
    <w:pPr>
      <w:ind w:left="720"/>
      <w:contextualSpacing/>
    </w:pPr>
  </w:style>
  <w:style w:type="character" w:styleId="Hypertextovprepojenie">
    <w:name w:val="Hyperlink"/>
    <w:basedOn w:val="Predvolenpsmoodseku"/>
    <w:uiPriority w:val="99"/>
    <w:unhideWhenUsed/>
    <w:rsid w:val="007E5F96"/>
    <w:rPr>
      <w:color w:val="0563C1" w:themeColor="hyperlink"/>
      <w:u w:val="single"/>
    </w:rPr>
  </w:style>
  <w:style w:type="character" w:styleId="Nevyrieenzmienka">
    <w:name w:val="Unresolved Mention"/>
    <w:basedOn w:val="Predvolenpsmoodseku"/>
    <w:uiPriority w:val="99"/>
    <w:semiHidden/>
    <w:unhideWhenUsed/>
    <w:rsid w:val="007E5F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7164798">
      <w:bodyDiv w:val="1"/>
      <w:marLeft w:val="0"/>
      <w:marRight w:val="0"/>
      <w:marTop w:val="0"/>
      <w:marBottom w:val="0"/>
      <w:divBdr>
        <w:top w:val="none" w:sz="0" w:space="0" w:color="auto"/>
        <w:left w:val="none" w:sz="0" w:space="0" w:color="auto"/>
        <w:bottom w:val="none" w:sz="0" w:space="0" w:color="auto"/>
        <w:right w:val="none" w:sz="0" w:space="0" w:color="auto"/>
      </w:divBdr>
    </w:div>
    <w:div w:id="1545673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nbs.sk"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7DF836FA-8205-4FB5-BB14-B4B7ED06A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5</Pages>
  <Words>2462</Words>
  <Characters>14036</Characters>
  <Application>Microsoft Office Word</Application>
  <DocSecurity>0</DocSecurity>
  <Lines>116</Lines>
  <Paragraphs>32</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16466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Vlkolinsky Robert</cp:lastModifiedBy>
  <cp:revision>17</cp:revision>
  <dcterms:created xsi:type="dcterms:W3CDTF">2025-02-12T05:52:00Z</dcterms:created>
  <dcterms:modified xsi:type="dcterms:W3CDTF">2025-07-28T09:15:00Z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ies>
</file>