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C5A283" w14:textId="77777777" w:rsidR="00054C41" w:rsidRPr="00895898" w:rsidRDefault="00054C41" w:rsidP="00054C41">
      <w:pPr>
        <w:jc w:val="center"/>
        <w:rPr>
          <w:rFonts w:ascii="Times New Roman" w:eastAsia="Calibri" w:hAnsi="Times New Roman" w:cs="Times New Roman"/>
          <w:b/>
          <w:sz w:val="28"/>
          <w:szCs w:val="28"/>
        </w:rPr>
      </w:pPr>
      <w:r w:rsidRPr="00895898">
        <w:rPr>
          <w:rFonts w:ascii="Times New Roman" w:eastAsia="Calibri" w:hAnsi="Times New Roman" w:cs="Times New Roman"/>
          <w:b/>
          <w:sz w:val="28"/>
          <w:szCs w:val="28"/>
        </w:rPr>
        <w:t>Analýza vplyvov na podnikateľské prostredie</w:t>
      </w:r>
    </w:p>
    <w:p w14:paraId="7AF84A90" w14:textId="77777777" w:rsidR="00054C41" w:rsidRPr="00895898" w:rsidRDefault="00054C41" w:rsidP="00054C41">
      <w:pPr>
        <w:jc w:val="both"/>
        <w:rPr>
          <w:rFonts w:ascii="Times New Roman" w:eastAsia="Calibri" w:hAnsi="Times New Roman" w:cs="Times New Roman"/>
          <w:b/>
          <w:sz w:val="24"/>
          <w:szCs w:val="24"/>
        </w:rPr>
      </w:pPr>
    </w:p>
    <w:p w14:paraId="5A494476" w14:textId="37594CE9" w:rsidR="00DF237C" w:rsidRPr="008F59BB" w:rsidRDefault="00054C41" w:rsidP="00DF237C">
      <w:pPr>
        <w:spacing w:after="0" w:line="240" w:lineRule="auto"/>
        <w:ind w:left="1843" w:hanging="1843"/>
        <w:jc w:val="both"/>
        <w:rPr>
          <w:rFonts w:ascii="Times New Roman" w:eastAsia="Times New Roman" w:hAnsi="Times New Roman" w:cs="Times New Roman"/>
          <w:noProof/>
          <w:sz w:val="24"/>
          <w:szCs w:val="24"/>
          <w:lang w:eastAsia="sk-SK"/>
        </w:rPr>
      </w:pPr>
      <w:r w:rsidRPr="001F1B43">
        <w:rPr>
          <w:rFonts w:ascii="Times New Roman" w:eastAsia="Calibri" w:hAnsi="Times New Roman" w:cs="Times New Roman"/>
          <w:b/>
          <w:sz w:val="24"/>
          <w:szCs w:val="24"/>
        </w:rPr>
        <w:t>Názov materiálu:</w:t>
      </w:r>
      <w:r w:rsidR="00DF237C">
        <w:rPr>
          <w:rFonts w:ascii="Times New Roman" w:eastAsia="Calibri" w:hAnsi="Times New Roman" w:cs="Times New Roman"/>
          <w:b/>
          <w:sz w:val="24"/>
          <w:szCs w:val="24"/>
        </w:rPr>
        <w:t xml:space="preserve"> </w:t>
      </w:r>
      <w:r w:rsidR="00DF237C" w:rsidRPr="00890338">
        <w:rPr>
          <w:rFonts w:ascii="Times New Roman" w:eastAsia="Times New Roman" w:hAnsi="Times New Roman" w:cs="Times New Roman"/>
          <w:noProof/>
          <w:color w:val="000000"/>
          <w:sz w:val="24"/>
          <w:szCs w:val="24"/>
          <w:lang w:eastAsia="sk-SK"/>
        </w:rPr>
        <w:t xml:space="preserve">Návrh zákona </w:t>
      </w:r>
      <w:r w:rsidR="00DF237C" w:rsidRPr="00890338">
        <w:rPr>
          <w:rFonts w:ascii="Times New Roman" w:eastAsia="Times New Roman" w:hAnsi="Times New Roman" w:cs="Times New Roman"/>
          <w:noProof/>
          <w:sz w:val="24"/>
          <w:szCs w:val="24"/>
          <w:lang w:eastAsia="sk-SK"/>
        </w:rPr>
        <w:t xml:space="preserve">z ... </w:t>
      </w:r>
      <w:r w:rsidR="00CF66DD">
        <w:rPr>
          <w:rFonts w:ascii="Times New Roman" w:eastAsia="Times New Roman" w:hAnsi="Times New Roman" w:cs="Times New Roman"/>
          <w:noProof/>
          <w:sz w:val="24"/>
          <w:szCs w:val="24"/>
          <w:lang w:eastAsia="sk-SK"/>
        </w:rPr>
        <w:t>/</w:t>
      </w:r>
      <w:r w:rsidR="00DF237C" w:rsidRPr="00890338">
        <w:rPr>
          <w:rFonts w:ascii="Times New Roman" w:eastAsia="Times New Roman" w:hAnsi="Times New Roman" w:cs="Times New Roman"/>
          <w:noProof/>
          <w:sz w:val="24"/>
          <w:szCs w:val="24"/>
          <w:lang w:eastAsia="sk-SK"/>
        </w:rPr>
        <w:t xml:space="preserve">2025, </w:t>
      </w:r>
      <w:bookmarkStart w:id="0" w:name="_Hlk190869702"/>
      <w:r w:rsidR="00DF237C" w:rsidRPr="00890338">
        <w:rPr>
          <w:rFonts w:ascii="Times New Roman" w:eastAsia="Times New Roman" w:hAnsi="Times New Roman" w:cs="Times New Roman"/>
          <w:noProof/>
          <w:sz w:val="24"/>
          <w:szCs w:val="24"/>
          <w:lang w:eastAsia="sk-SK"/>
        </w:rPr>
        <w:t>ktorým sa mení a dopĺňa zákon č. 566/2001 Z. z. o cenných papieroch a investičných službách a o zmene a doplnení niektorých zákonov (zákon o cenných papieroch) v znení neskorších predpisov a ktorým sa mení a dopĺňa zákon č. 429/2002 Z. z. o burze cenných papierov v znení neskorších predpisov</w:t>
      </w:r>
    </w:p>
    <w:bookmarkEnd w:id="0"/>
    <w:p w14:paraId="22516163" w14:textId="47D4562F" w:rsidR="00054C41" w:rsidRPr="001F1B43" w:rsidRDefault="00054C41" w:rsidP="00054C41">
      <w:pPr>
        <w:jc w:val="both"/>
        <w:rPr>
          <w:rFonts w:ascii="Times New Roman" w:eastAsia="Calibri" w:hAnsi="Times New Roman" w:cs="Times New Roman"/>
          <w:b/>
          <w:sz w:val="24"/>
          <w:szCs w:val="24"/>
        </w:rPr>
      </w:pPr>
    </w:p>
    <w:p w14:paraId="2711DC2C" w14:textId="22B671A6" w:rsidR="00054C41" w:rsidRPr="001F1B43" w:rsidRDefault="00054C41" w:rsidP="00DF237C">
      <w:pPr>
        <w:ind w:left="1843" w:hanging="1843"/>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Predkladateľ:</w:t>
      </w:r>
      <w:r w:rsidR="00DF237C">
        <w:rPr>
          <w:rFonts w:ascii="Times New Roman" w:eastAsia="Calibri" w:hAnsi="Times New Roman" w:cs="Times New Roman"/>
          <w:b/>
          <w:sz w:val="24"/>
          <w:szCs w:val="24"/>
        </w:rPr>
        <w:t xml:space="preserve"> </w:t>
      </w:r>
      <w:r w:rsidR="00DF237C">
        <w:rPr>
          <w:rFonts w:ascii="Times New Roman" w:eastAsia="Calibri" w:hAnsi="Times New Roman" w:cs="Times New Roman"/>
          <w:b/>
          <w:sz w:val="24"/>
          <w:szCs w:val="24"/>
        </w:rPr>
        <w:tab/>
      </w:r>
      <w:r w:rsidR="00DF237C" w:rsidRPr="00890338">
        <w:rPr>
          <w:rFonts w:ascii="Times New Roman" w:eastAsia="Calibri" w:hAnsi="Times New Roman" w:cs="Times New Roman"/>
          <w:bCs/>
          <w:sz w:val="24"/>
          <w:szCs w:val="24"/>
        </w:rPr>
        <w:t>Ministerstvo  financií Slovenskej republiky</w:t>
      </w:r>
    </w:p>
    <w:p w14:paraId="515DBCE3"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3.1 Náklady regulácie</w:t>
      </w:r>
    </w:p>
    <w:p w14:paraId="14243EB0" w14:textId="77777777" w:rsidR="00054C41" w:rsidRPr="001F1B43" w:rsidRDefault="00054C41" w:rsidP="00C21399">
      <w:pPr>
        <w:tabs>
          <w:tab w:val="left" w:pos="8025"/>
        </w:tabs>
        <w:rPr>
          <w:rFonts w:ascii="Times New Roman" w:eastAsia="Calibri" w:hAnsi="Times New Roman" w:cs="Times New Roman"/>
          <w:bCs/>
          <w:i/>
          <w:iCs/>
          <w:sz w:val="24"/>
          <w:szCs w:val="24"/>
        </w:rPr>
      </w:pPr>
      <w:r w:rsidRPr="001F1B43">
        <w:rPr>
          <w:rFonts w:ascii="Times New Roman" w:eastAsia="Calibri" w:hAnsi="Times New Roman" w:cs="Times New Roman"/>
          <w:b/>
          <w:i/>
          <w:iCs/>
          <w:sz w:val="24"/>
          <w:szCs w:val="24"/>
        </w:rPr>
        <w:t xml:space="preserve">3.1.1 Súhrnná tabuľka nákladov regulácie </w:t>
      </w:r>
      <w:r w:rsidR="00C21399">
        <w:rPr>
          <w:rFonts w:ascii="Times New Roman" w:eastAsia="Calibri" w:hAnsi="Times New Roman" w:cs="Times New Roman"/>
          <w:b/>
          <w:i/>
          <w:iCs/>
          <w:sz w:val="24"/>
          <w:szCs w:val="24"/>
        </w:rPr>
        <w:tab/>
      </w:r>
    </w:p>
    <w:p w14:paraId="4D85A0D5" w14:textId="77777777" w:rsidR="00054C41" w:rsidRPr="00D8247C"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1: Zmeny nákladov (ročne) v prepočte na podnikateľské prostredie (PP), vyhodnotenie mechanizmu znižovania byrokracie a náklado</w:t>
      </w:r>
      <w:r w:rsidR="000A6B7F">
        <w:rPr>
          <w:rFonts w:ascii="Times New Roman" w:eastAsia="Calibri" w:hAnsi="Times New Roman" w:cs="Times New Roman"/>
          <w:i/>
          <w:sz w:val="24"/>
          <w:szCs w:val="24"/>
        </w:rPr>
        <w:t>v</w:t>
      </w:r>
      <w:r w:rsidR="00C929AE">
        <w:rPr>
          <w:rFonts w:ascii="Times New Roman" w:eastAsia="Calibri" w:hAnsi="Times New Roman" w:cs="Times New Roman"/>
          <w:i/>
          <w:sz w:val="24"/>
          <w:szCs w:val="24"/>
        </w:rPr>
        <w:t xml:space="preserve">, náklady </w:t>
      </w:r>
      <w:proofErr w:type="spellStart"/>
      <w:r w:rsidR="00C929AE" w:rsidRPr="00804BC8">
        <w:rPr>
          <w:rFonts w:ascii="Times New Roman" w:eastAsia="Calibri" w:hAnsi="Times New Roman" w:cs="Times New Roman"/>
          <w:i/>
          <w:sz w:val="24"/>
          <w:szCs w:val="24"/>
        </w:rPr>
        <w:t>goldplatingu</w:t>
      </w:r>
      <w:proofErr w:type="spellEnd"/>
      <w:r w:rsidR="00C929AE">
        <w:rPr>
          <w:rStyle w:val="Odkaznapoznmkupodiarou"/>
          <w:rFonts w:ascii="Times New Roman" w:eastAsia="Calibri" w:hAnsi="Times New Roman" w:cs="Times New Roman"/>
          <w:i/>
          <w:sz w:val="24"/>
          <w:szCs w:val="24"/>
        </w:rPr>
        <w:footnoteReference w:id="1"/>
      </w:r>
      <w:r w:rsidR="000A6B7F">
        <w:rPr>
          <w:rFonts w:ascii="Times New Roman" w:eastAsia="Calibri" w:hAnsi="Times New Roman" w:cs="Times New Roman"/>
          <w:i/>
          <w:sz w:val="24"/>
          <w:szCs w:val="24"/>
        </w:rPr>
        <w:t xml:space="preserve"> </w:t>
      </w:r>
      <w:r w:rsidR="00C929AE">
        <w:rPr>
          <w:rFonts w:ascii="Times New Roman" w:eastAsia="Calibri" w:hAnsi="Times New Roman" w:cs="Times New Roman"/>
          <w:i/>
          <w:sz w:val="24"/>
          <w:szCs w:val="24"/>
        </w:rPr>
        <w:t>na podnikateľské prostredie</w:t>
      </w:r>
      <w:r w:rsidRPr="00D8247C">
        <w:rPr>
          <w:rFonts w:ascii="Times New Roman" w:eastAsia="Calibri" w:hAnsi="Times New Roman" w:cs="Times New Roman"/>
          <w:i/>
          <w:sz w:val="24"/>
          <w:szCs w:val="24"/>
        </w:rPr>
        <w:t xml:space="preserve">. </w:t>
      </w:r>
    </w:p>
    <w:p w14:paraId="1A77DC61" w14:textId="77777777" w:rsidR="00054C41" w:rsidRPr="00D8247C" w:rsidRDefault="00054C41" w:rsidP="00B40EA7">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Nahraďte rovnakou tabuľkou po vyplnení Kalkulačky nákladov podnikateľského prostredia, ktorá je povinnou prílohou tejto analýzy a nájdete ju na </w:t>
      </w:r>
      <w:hyperlink r:id="rId9" w:history="1">
        <w:r w:rsidRPr="00D8247C">
          <w:rPr>
            <w:rFonts w:ascii="Times New Roman" w:eastAsia="Calibri" w:hAnsi="Times New Roman" w:cs="Times New Roman"/>
            <w:i/>
            <w:color w:val="0563C1"/>
            <w:sz w:val="24"/>
            <w:szCs w:val="24"/>
            <w:u w:val="single"/>
          </w:rPr>
          <w:t>webovom sídle MH SR</w:t>
        </w:r>
      </w:hyperlink>
      <w:r w:rsidRPr="00D8247C">
        <w:rPr>
          <w:rFonts w:ascii="Times New Roman" w:eastAsia="Calibri" w:hAnsi="Times New Roman" w:cs="Times New Roman"/>
          <w:i/>
          <w:sz w:val="24"/>
          <w:szCs w:val="24"/>
        </w:rPr>
        <w:t xml:space="preserve">, (ďalej len </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Kalkulačka nákladov</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w:t>
      </w:r>
    </w:p>
    <w:tbl>
      <w:tblPr>
        <w:tblW w:w="9514" w:type="dxa"/>
        <w:tblInd w:w="70" w:type="dxa"/>
        <w:tblLayout w:type="fixed"/>
        <w:tblCellMar>
          <w:left w:w="70" w:type="dxa"/>
          <w:right w:w="70" w:type="dxa"/>
        </w:tblCellMar>
        <w:tblLook w:val="04A0" w:firstRow="1" w:lastRow="0" w:firstColumn="1" w:lastColumn="0" w:noHBand="0" w:noVBand="1"/>
      </w:tblPr>
      <w:tblGrid>
        <w:gridCol w:w="161"/>
        <w:gridCol w:w="14"/>
        <w:gridCol w:w="3520"/>
        <w:gridCol w:w="2619"/>
        <w:gridCol w:w="169"/>
        <w:gridCol w:w="160"/>
        <w:gridCol w:w="2289"/>
        <w:gridCol w:w="422"/>
        <w:gridCol w:w="160"/>
      </w:tblGrid>
      <w:tr w:rsidR="00C929AE" w:rsidRPr="00C929AE" w14:paraId="74CF9C31" w14:textId="77777777" w:rsidTr="005613D9">
        <w:trPr>
          <w:trHeight w:val="270"/>
        </w:trPr>
        <w:tc>
          <w:tcPr>
            <w:tcW w:w="175" w:type="dxa"/>
            <w:gridSpan w:val="2"/>
            <w:tcBorders>
              <w:top w:val="nil"/>
              <w:left w:val="nil"/>
              <w:bottom w:val="nil"/>
              <w:right w:val="nil"/>
            </w:tcBorders>
            <w:shd w:val="clear" w:color="auto" w:fill="auto"/>
            <w:noWrap/>
            <w:vAlign w:val="bottom"/>
            <w:hideMark/>
          </w:tcPr>
          <w:p w14:paraId="034E3648"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20" w:type="dxa"/>
            <w:tcBorders>
              <w:top w:val="nil"/>
              <w:left w:val="nil"/>
              <w:bottom w:val="nil"/>
              <w:right w:val="nil"/>
            </w:tcBorders>
            <w:shd w:val="clear" w:color="auto" w:fill="auto"/>
            <w:noWrap/>
            <w:vAlign w:val="bottom"/>
            <w:hideMark/>
          </w:tcPr>
          <w:p w14:paraId="6A850EBE"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88" w:type="dxa"/>
            <w:gridSpan w:val="2"/>
            <w:tcBorders>
              <w:top w:val="nil"/>
              <w:left w:val="nil"/>
              <w:bottom w:val="nil"/>
              <w:right w:val="nil"/>
            </w:tcBorders>
            <w:shd w:val="clear" w:color="auto" w:fill="auto"/>
            <w:noWrap/>
            <w:vAlign w:val="bottom"/>
            <w:hideMark/>
          </w:tcPr>
          <w:p w14:paraId="0D937DC6"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160" w:type="dxa"/>
            <w:tcBorders>
              <w:top w:val="nil"/>
              <w:left w:val="nil"/>
              <w:bottom w:val="nil"/>
              <w:right w:val="nil"/>
            </w:tcBorders>
            <w:shd w:val="clear" w:color="auto" w:fill="auto"/>
            <w:noWrap/>
            <w:vAlign w:val="bottom"/>
            <w:hideMark/>
          </w:tcPr>
          <w:p w14:paraId="6E4CCAE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11" w:type="dxa"/>
            <w:gridSpan w:val="2"/>
            <w:tcBorders>
              <w:top w:val="nil"/>
              <w:left w:val="nil"/>
              <w:bottom w:val="nil"/>
              <w:right w:val="nil"/>
            </w:tcBorders>
            <w:shd w:val="clear" w:color="auto" w:fill="auto"/>
            <w:noWrap/>
            <w:vAlign w:val="bottom"/>
            <w:hideMark/>
          </w:tcPr>
          <w:p w14:paraId="130FEB3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160" w:type="dxa"/>
            <w:tcBorders>
              <w:top w:val="nil"/>
              <w:left w:val="nil"/>
              <w:bottom w:val="nil"/>
              <w:right w:val="nil"/>
            </w:tcBorders>
            <w:shd w:val="clear" w:color="auto" w:fill="auto"/>
            <w:noWrap/>
            <w:vAlign w:val="bottom"/>
            <w:hideMark/>
          </w:tcPr>
          <w:p w14:paraId="64BE54FF" w14:textId="77777777" w:rsidR="00C929AE" w:rsidRPr="00C929AE" w:rsidRDefault="00C929AE" w:rsidP="00C929AE">
            <w:pPr>
              <w:spacing w:after="0" w:line="240" w:lineRule="auto"/>
              <w:jc w:val="center"/>
              <w:rPr>
                <w:rFonts w:ascii="Times New Roman" w:eastAsia="Times New Roman" w:hAnsi="Times New Roman" w:cs="Times New Roman"/>
                <w:color w:val="000000"/>
                <w:sz w:val="20"/>
                <w:szCs w:val="20"/>
                <w:lang w:eastAsia="sk-SK"/>
              </w:rPr>
            </w:pPr>
          </w:p>
        </w:tc>
      </w:tr>
      <w:tr w:rsidR="00F16F66" w:rsidRPr="00C929AE" w14:paraId="7BEF3D83" w14:textId="77777777" w:rsidTr="005613D9">
        <w:trPr>
          <w:gridAfter w:val="2"/>
          <w:wAfter w:w="582" w:type="dxa"/>
          <w:trHeight w:val="451"/>
        </w:trPr>
        <w:tc>
          <w:tcPr>
            <w:tcW w:w="161" w:type="dxa"/>
            <w:tcBorders>
              <w:top w:val="nil"/>
              <w:left w:val="nil"/>
              <w:bottom w:val="nil"/>
              <w:right w:val="nil"/>
            </w:tcBorders>
            <w:shd w:val="clear" w:color="auto" w:fill="auto"/>
            <w:noWrap/>
            <w:vAlign w:val="bottom"/>
            <w:hideMark/>
          </w:tcPr>
          <w:p w14:paraId="5BA7F0AC" w14:textId="77777777" w:rsidR="00F16F66" w:rsidRPr="00C929AE" w:rsidRDefault="00F16F66" w:rsidP="00F16F66">
            <w:pPr>
              <w:spacing w:after="0" w:line="240" w:lineRule="auto"/>
              <w:rPr>
                <w:rFonts w:ascii="Times New Roman" w:eastAsia="Times New Roman" w:hAnsi="Times New Roman" w:cs="Times New Roman"/>
                <w:color w:val="000000"/>
                <w:sz w:val="20"/>
                <w:szCs w:val="20"/>
                <w:lang w:eastAsia="sk-SK"/>
              </w:rPr>
            </w:pPr>
          </w:p>
        </w:tc>
        <w:tc>
          <w:tcPr>
            <w:tcW w:w="3534" w:type="dxa"/>
            <w:gridSpan w:val="2"/>
            <w:tcBorders>
              <w:top w:val="single" w:sz="8" w:space="0" w:color="auto"/>
              <w:left w:val="single" w:sz="8" w:space="0" w:color="auto"/>
              <w:bottom w:val="single" w:sz="4" w:space="0" w:color="auto"/>
              <w:right w:val="single" w:sz="4" w:space="0" w:color="auto"/>
            </w:tcBorders>
            <w:shd w:val="clear" w:color="auto" w:fill="auto"/>
            <w:vAlign w:val="center"/>
            <w:hideMark/>
          </w:tcPr>
          <w:p w14:paraId="54C8CD7A" w14:textId="0931EF91" w:rsidR="00F16F66" w:rsidRPr="00C929AE" w:rsidRDefault="00F16F66" w:rsidP="00F16F66">
            <w:pPr>
              <w:spacing w:after="0" w:line="240" w:lineRule="auto"/>
              <w:jc w:val="center"/>
              <w:rPr>
                <w:rFonts w:ascii="Times New Roman" w:eastAsia="Times New Roman" w:hAnsi="Times New Roman" w:cs="Times New Roman"/>
                <w:b/>
                <w:bCs/>
                <w:i/>
                <w:iCs/>
                <w:color w:val="000000"/>
                <w:sz w:val="20"/>
                <w:szCs w:val="20"/>
                <w:lang w:eastAsia="sk-SK"/>
              </w:rPr>
            </w:pPr>
            <w:r>
              <w:rPr>
                <w:b/>
                <w:bCs/>
                <w:i/>
                <w:iCs/>
                <w:color w:val="000000"/>
                <w:sz w:val="20"/>
                <w:szCs w:val="20"/>
              </w:rPr>
              <w:t>TYP NÁKLADOV</w:t>
            </w:r>
          </w:p>
        </w:tc>
        <w:tc>
          <w:tcPr>
            <w:tcW w:w="2619" w:type="dxa"/>
            <w:tcBorders>
              <w:top w:val="single" w:sz="8" w:space="0" w:color="auto"/>
              <w:left w:val="nil"/>
              <w:bottom w:val="single" w:sz="4" w:space="0" w:color="auto"/>
              <w:right w:val="single" w:sz="4" w:space="0" w:color="auto"/>
            </w:tcBorders>
            <w:shd w:val="clear" w:color="000000" w:fill="FFC000"/>
            <w:vAlign w:val="center"/>
            <w:hideMark/>
          </w:tcPr>
          <w:p w14:paraId="367F96BD" w14:textId="7B95AF8F" w:rsidR="00F16F66" w:rsidRPr="00C929AE" w:rsidRDefault="00F16F66" w:rsidP="00F16F66">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Zvýšenie nákladov v € na PP</w:t>
            </w:r>
          </w:p>
        </w:tc>
        <w:tc>
          <w:tcPr>
            <w:tcW w:w="2618" w:type="dxa"/>
            <w:gridSpan w:val="3"/>
            <w:tcBorders>
              <w:top w:val="single" w:sz="8" w:space="0" w:color="auto"/>
              <w:left w:val="nil"/>
              <w:bottom w:val="single" w:sz="4" w:space="0" w:color="auto"/>
              <w:right w:val="single" w:sz="8" w:space="0" w:color="000000"/>
            </w:tcBorders>
            <w:shd w:val="clear" w:color="000000" w:fill="92D050"/>
            <w:vAlign w:val="center"/>
            <w:hideMark/>
          </w:tcPr>
          <w:p w14:paraId="57C6AD32" w14:textId="2CA25DF0" w:rsidR="00F16F66" w:rsidRPr="00C929AE" w:rsidRDefault="00F16F66" w:rsidP="00F16F66">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Zníženie nákladov v € na PP</w:t>
            </w:r>
          </w:p>
        </w:tc>
      </w:tr>
      <w:tr w:rsidR="003E500E" w:rsidRPr="00C929AE" w14:paraId="0F790483" w14:textId="77777777" w:rsidTr="005613D9">
        <w:trPr>
          <w:gridAfter w:val="2"/>
          <w:wAfter w:w="582" w:type="dxa"/>
          <w:trHeight w:val="600"/>
        </w:trPr>
        <w:tc>
          <w:tcPr>
            <w:tcW w:w="161" w:type="dxa"/>
            <w:tcBorders>
              <w:top w:val="nil"/>
              <w:left w:val="nil"/>
              <w:bottom w:val="nil"/>
              <w:right w:val="nil"/>
            </w:tcBorders>
            <w:shd w:val="clear" w:color="auto" w:fill="auto"/>
            <w:noWrap/>
            <w:vAlign w:val="bottom"/>
            <w:hideMark/>
          </w:tcPr>
          <w:p w14:paraId="2417CF71" w14:textId="77777777" w:rsidR="003E500E" w:rsidRPr="00C929AE" w:rsidRDefault="003E500E" w:rsidP="003E500E">
            <w:pPr>
              <w:spacing w:after="0" w:line="240" w:lineRule="auto"/>
              <w:rPr>
                <w:rFonts w:ascii="Times New Roman" w:eastAsia="Times New Roman" w:hAnsi="Times New Roman" w:cs="Times New Roman"/>
                <w:color w:val="000000"/>
                <w:sz w:val="20"/>
                <w:szCs w:val="20"/>
                <w:lang w:eastAsia="sk-SK"/>
              </w:rPr>
            </w:pPr>
          </w:p>
        </w:tc>
        <w:tc>
          <w:tcPr>
            <w:tcW w:w="3534" w:type="dxa"/>
            <w:gridSpan w:val="2"/>
            <w:tcBorders>
              <w:top w:val="nil"/>
              <w:left w:val="single" w:sz="8" w:space="0" w:color="auto"/>
              <w:bottom w:val="single" w:sz="4" w:space="0" w:color="auto"/>
              <w:right w:val="single" w:sz="4" w:space="0" w:color="auto"/>
            </w:tcBorders>
            <w:shd w:val="clear" w:color="auto" w:fill="auto"/>
            <w:vAlign w:val="center"/>
            <w:hideMark/>
          </w:tcPr>
          <w:p w14:paraId="407DD77A" w14:textId="03E05F2A" w:rsidR="003E500E" w:rsidRPr="00C929AE" w:rsidRDefault="003E500E" w:rsidP="003E500E">
            <w:pPr>
              <w:spacing w:after="0" w:line="240" w:lineRule="auto"/>
              <w:rPr>
                <w:rFonts w:ascii="Times New Roman" w:eastAsia="Times New Roman" w:hAnsi="Times New Roman" w:cs="Times New Roman"/>
                <w:b/>
                <w:bCs/>
                <w:i/>
                <w:iCs/>
                <w:color w:val="000000"/>
                <w:sz w:val="20"/>
                <w:szCs w:val="20"/>
                <w:lang w:eastAsia="sk-SK"/>
              </w:rPr>
            </w:pPr>
            <w:proofErr w:type="spellStart"/>
            <w:r>
              <w:rPr>
                <w:b/>
                <w:bCs/>
                <w:i/>
                <w:iCs/>
                <w:color w:val="000000"/>
                <w:sz w:val="20"/>
                <w:szCs w:val="20"/>
              </w:rPr>
              <w:t>A.Dane</w:t>
            </w:r>
            <w:proofErr w:type="spellEnd"/>
            <w:r>
              <w:rPr>
                <w:b/>
                <w:bCs/>
                <w:i/>
                <w:iCs/>
                <w:color w:val="000000"/>
                <w:sz w:val="20"/>
                <w:szCs w:val="20"/>
              </w:rPr>
              <w:t xml:space="preserve">, odvody, clá a poplatky, ktorých cieľom je znižovať negatívne </w:t>
            </w:r>
            <w:proofErr w:type="spellStart"/>
            <w:r>
              <w:rPr>
                <w:b/>
                <w:bCs/>
                <w:i/>
                <w:iCs/>
                <w:color w:val="000000"/>
                <w:sz w:val="20"/>
                <w:szCs w:val="20"/>
              </w:rPr>
              <w:t>externality</w:t>
            </w:r>
            <w:proofErr w:type="spellEnd"/>
          </w:p>
        </w:tc>
        <w:tc>
          <w:tcPr>
            <w:tcW w:w="2619" w:type="dxa"/>
            <w:tcBorders>
              <w:top w:val="single" w:sz="4" w:space="0" w:color="auto"/>
              <w:left w:val="nil"/>
              <w:bottom w:val="single" w:sz="4" w:space="0" w:color="auto"/>
              <w:right w:val="single" w:sz="4" w:space="0" w:color="auto"/>
            </w:tcBorders>
            <w:shd w:val="clear" w:color="000000" w:fill="FFC000"/>
            <w:vAlign w:val="center"/>
            <w:hideMark/>
          </w:tcPr>
          <w:p w14:paraId="36C02A5A" w14:textId="7CE3E89E" w:rsidR="003E500E" w:rsidRPr="00C929AE" w:rsidRDefault="003E500E" w:rsidP="003E500E">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0</w:t>
            </w:r>
          </w:p>
        </w:tc>
        <w:tc>
          <w:tcPr>
            <w:tcW w:w="2618" w:type="dxa"/>
            <w:gridSpan w:val="3"/>
            <w:tcBorders>
              <w:top w:val="single" w:sz="4" w:space="0" w:color="auto"/>
              <w:left w:val="nil"/>
              <w:bottom w:val="single" w:sz="4" w:space="0" w:color="auto"/>
              <w:right w:val="single" w:sz="8" w:space="0" w:color="000000"/>
            </w:tcBorders>
            <w:shd w:val="clear" w:color="000000" w:fill="92D050"/>
            <w:vAlign w:val="center"/>
            <w:hideMark/>
          </w:tcPr>
          <w:p w14:paraId="0525A008" w14:textId="4E5FEAF6" w:rsidR="003E500E" w:rsidRPr="00C929AE" w:rsidRDefault="003E500E" w:rsidP="003E500E">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0</w:t>
            </w:r>
          </w:p>
        </w:tc>
      </w:tr>
      <w:tr w:rsidR="003E500E" w:rsidRPr="00C929AE" w14:paraId="37B64D12" w14:textId="77777777" w:rsidTr="005613D9">
        <w:trPr>
          <w:gridAfter w:val="2"/>
          <w:wAfter w:w="582" w:type="dxa"/>
          <w:trHeight w:val="420"/>
        </w:trPr>
        <w:tc>
          <w:tcPr>
            <w:tcW w:w="161" w:type="dxa"/>
            <w:tcBorders>
              <w:top w:val="nil"/>
              <w:left w:val="nil"/>
              <w:bottom w:val="nil"/>
              <w:right w:val="nil"/>
            </w:tcBorders>
            <w:shd w:val="clear" w:color="auto" w:fill="auto"/>
            <w:noWrap/>
            <w:vAlign w:val="bottom"/>
            <w:hideMark/>
          </w:tcPr>
          <w:p w14:paraId="30AED282" w14:textId="77777777" w:rsidR="003E500E" w:rsidRPr="00C929AE" w:rsidRDefault="003E500E" w:rsidP="003E500E">
            <w:pPr>
              <w:spacing w:after="0" w:line="240" w:lineRule="auto"/>
              <w:rPr>
                <w:rFonts w:ascii="Times New Roman" w:eastAsia="Times New Roman" w:hAnsi="Times New Roman" w:cs="Times New Roman"/>
                <w:color w:val="000000"/>
                <w:sz w:val="20"/>
                <w:szCs w:val="20"/>
                <w:lang w:eastAsia="sk-SK"/>
              </w:rPr>
            </w:pPr>
          </w:p>
        </w:tc>
        <w:tc>
          <w:tcPr>
            <w:tcW w:w="3534" w:type="dxa"/>
            <w:gridSpan w:val="2"/>
            <w:tcBorders>
              <w:top w:val="nil"/>
              <w:left w:val="single" w:sz="8" w:space="0" w:color="auto"/>
              <w:bottom w:val="single" w:sz="4" w:space="0" w:color="auto"/>
              <w:right w:val="single" w:sz="4" w:space="0" w:color="auto"/>
            </w:tcBorders>
            <w:shd w:val="clear" w:color="auto" w:fill="auto"/>
            <w:vAlign w:val="center"/>
            <w:hideMark/>
          </w:tcPr>
          <w:p w14:paraId="3DCE928E" w14:textId="06B308CE" w:rsidR="003E500E" w:rsidRPr="00C929AE" w:rsidRDefault="003E500E" w:rsidP="003E500E">
            <w:pPr>
              <w:spacing w:after="0" w:line="240" w:lineRule="auto"/>
              <w:rPr>
                <w:rFonts w:ascii="Times New Roman" w:eastAsia="Times New Roman" w:hAnsi="Times New Roman" w:cs="Times New Roman"/>
                <w:b/>
                <w:bCs/>
                <w:i/>
                <w:iCs/>
                <w:color w:val="000000"/>
                <w:sz w:val="20"/>
                <w:szCs w:val="20"/>
                <w:lang w:eastAsia="sk-SK"/>
              </w:rPr>
            </w:pPr>
            <w:r>
              <w:rPr>
                <w:b/>
                <w:bCs/>
                <w:i/>
                <w:iCs/>
                <w:color w:val="000000"/>
                <w:sz w:val="20"/>
                <w:szCs w:val="20"/>
              </w:rPr>
              <w:t>B. Iné poplatky</w:t>
            </w:r>
          </w:p>
        </w:tc>
        <w:tc>
          <w:tcPr>
            <w:tcW w:w="2619" w:type="dxa"/>
            <w:tcBorders>
              <w:top w:val="single" w:sz="4" w:space="0" w:color="auto"/>
              <w:left w:val="nil"/>
              <w:bottom w:val="single" w:sz="4" w:space="0" w:color="auto"/>
              <w:right w:val="single" w:sz="4" w:space="0" w:color="auto"/>
            </w:tcBorders>
            <w:shd w:val="clear" w:color="000000" w:fill="FFC000"/>
            <w:vAlign w:val="center"/>
            <w:hideMark/>
          </w:tcPr>
          <w:p w14:paraId="38D91672" w14:textId="50C5B90E" w:rsidR="003E500E" w:rsidRPr="00C929AE" w:rsidRDefault="003E500E" w:rsidP="003E500E">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0</w:t>
            </w:r>
          </w:p>
        </w:tc>
        <w:tc>
          <w:tcPr>
            <w:tcW w:w="2618" w:type="dxa"/>
            <w:gridSpan w:val="3"/>
            <w:tcBorders>
              <w:top w:val="single" w:sz="4" w:space="0" w:color="auto"/>
              <w:left w:val="nil"/>
              <w:bottom w:val="single" w:sz="4" w:space="0" w:color="auto"/>
              <w:right w:val="single" w:sz="8" w:space="0" w:color="000000"/>
            </w:tcBorders>
            <w:shd w:val="clear" w:color="000000" w:fill="92D050"/>
            <w:vAlign w:val="center"/>
            <w:hideMark/>
          </w:tcPr>
          <w:p w14:paraId="7B3EEA7A" w14:textId="4C59382F" w:rsidR="003E500E" w:rsidRPr="00C929AE" w:rsidRDefault="003E500E" w:rsidP="003E500E">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0</w:t>
            </w:r>
          </w:p>
        </w:tc>
      </w:tr>
      <w:tr w:rsidR="003E500E" w:rsidRPr="00C929AE" w14:paraId="21231540" w14:textId="77777777" w:rsidTr="005613D9">
        <w:trPr>
          <w:gridAfter w:val="2"/>
          <w:wAfter w:w="582" w:type="dxa"/>
          <w:trHeight w:val="435"/>
        </w:trPr>
        <w:tc>
          <w:tcPr>
            <w:tcW w:w="161" w:type="dxa"/>
            <w:tcBorders>
              <w:top w:val="nil"/>
              <w:left w:val="nil"/>
              <w:bottom w:val="nil"/>
              <w:right w:val="nil"/>
            </w:tcBorders>
            <w:shd w:val="clear" w:color="auto" w:fill="auto"/>
            <w:noWrap/>
            <w:vAlign w:val="bottom"/>
            <w:hideMark/>
          </w:tcPr>
          <w:p w14:paraId="67B78407" w14:textId="77777777" w:rsidR="003E500E" w:rsidRPr="00C929AE" w:rsidRDefault="003E500E" w:rsidP="003E500E">
            <w:pPr>
              <w:spacing w:after="0" w:line="240" w:lineRule="auto"/>
              <w:rPr>
                <w:rFonts w:ascii="Times New Roman" w:eastAsia="Times New Roman" w:hAnsi="Times New Roman" w:cs="Times New Roman"/>
                <w:color w:val="000000"/>
                <w:sz w:val="20"/>
                <w:szCs w:val="20"/>
                <w:lang w:eastAsia="sk-SK"/>
              </w:rPr>
            </w:pPr>
          </w:p>
        </w:tc>
        <w:tc>
          <w:tcPr>
            <w:tcW w:w="3534" w:type="dxa"/>
            <w:gridSpan w:val="2"/>
            <w:tcBorders>
              <w:top w:val="nil"/>
              <w:left w:val="single" w:sz="8" w:space="0" w:color="auto"/>
              <w:bottom w:val="single" w:sz="4" w:space="0" w:color="auto"/>
              <w:right w:val="single" w:sz="4" w:space="0" w:color="auto"/>
            </w:tcBorders>
            <w:shd w:val="clear" w:color="auto" w:fill="auto"/>
            <w:vAlign w:val="center"/>
            <w:hideMark/>
          </w:tcPr>
          <w:p w14:paraId="0650EE3E" w14:textId="22F5C2CD" w:rsidR="003E500E" w:rsidRPr="00C929AE" w:rsidRDefault="003E500E" w:rsidP="003E500E">
            <w:pPr>
              <w:spacing w:after="0" w:line="240" w:lineRule="auto"/>
              <w:rPr>
                <w:rFonts w:ascii="Times New Roman" w:eastAsia="Times New Roman" w:hAnsi="Times New Roman" w:cs="Times New Roman"/>
                <w:b/>
                <w:bCs/>
                <w:i/>
                <w:iCs/>
                <w:color w:val="000000"/>
                <w:sz w:val="20"/>
                <w:szCs w:val="20"/>
                <w:lang w:eastAsia="sk-SK"/>
              </w:rPr>
            </w:pPr>
            <w:r>
              <w:rPr>
                <w:b/>
                <w:bCs/>
                <w:i/>
                <w:iCs/>
                <w:color w:val="000000"/>
                <w:sz w:val="20"/>
                <w:szCs w:val="20"/>
              </w:rPr>
              <w:t>C. Sankcie a pokuty</w:t>
            </w:r>
          </w:p>
        </w:tc>
        <w:tc>
          <w:tcPr>
            <w:tcW w:w="2619" w:type="dxa"/>
            <w:tcBorders>
              <w:top w:val="single" w:sz="4" w:space="0" w:color="auto"/>
              <w:left w:val="nil"/>
              <w:bottom w:val="single" w:sz="4" w:space="0" w:color="auto"/>
              <w:right w:val="single" w:sz="4" w:space="0" w:color="auto"/>
            </w:tcBorders>
            <w:shd w:val="clear" w:color="000000" w:fill="FFC000"/>
            <w:vAlign w:val="center"/>
            <w:hideMark/>
          </w:tcPr>
          <w:p w14:paraId="69D07100" w14:textId="15CD44B5" w:rsidR="003E500E" w:rsidRPr="00C929AE" w:rsidRDefault="003E500E" w:rsidP="003E500E">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1 000</w:t>
            </w:r>
          </w:p>
        </w:tc>
        <w:tc>
          <w:tcPr>
            <w:tcW w:w="2618" w:type="dxa"/>
            <w:gridSpan w:val="3"/>
            <w:tcBorders>
              <w:top w:val="single" w:sz="4" w:space="0" w:color="auto"/>
              <w:left w:val="nil"/>
              <w:bottom w:val="single" w:sz="4" w:space="0" w:color="auto"/>
              <w:right w:val="single" w:sz="8" w:space="0" w:color="000000"/>
            </w:tcBorders>
            <w:shd w:val="clear" w:color="000000" w:fill="92D050"/>
            <w:vAlign w:val="center"/>
            <w:hideMark/>
          </w:tcPr>
          <w:p w14:paraId="7C8BFAD7" w14:textId="7ED1A13A" w:rsidR="003E500E" w:rsidRPr="00C929AE" w:rsidRDefault="003E500E" w:rsidP="003E500E">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0</w:t>
            </w:r>
          </w:p>
        </w:tc>
      </w:tr>
      <w:tr w:rsidR="003E500E" w:rsidRPr="00C929AE" w14:paraId="280383DA" w14:textId="77777777" w:rsidTr="005613D9">
        <w:trPr>
          <w:gridAfter w:val="2"/>
          <w:wAfter w:w="582" w:type="dxa"/>
          <w:trHeight w:val="480"/>
        </w:trPr>
        <w:tc>
          <w:tcPr>
            <w:tcW w:w="161" w:type="dxa"/>
            <w:tcBorders>
              <w:top w:val="nil"/>
              <w:left w:val="nil"/>
              <w:bottom w:val="nil"/>
              <w:right w:val="nil"/>
            </w:tcBorders>
            <w:shd w:val="clear" w:color="auto" w:fill="auto"/>
            <w:noWrap/>
            <w:vAlign w:val="bottom"/>
            <w:hideMark/>
          </w:tcPr>
          <w:p w14:paraId="59F2F790" w14:textId="77777777" w:rsidR="003E500E" w:rsidRPr="00C929AE" w:rsidRDefault="003E500E" w:rsidP="003E500E">
            <w:pPr>
              <w:spacing w:after="0" w:line="240" w:lineRule="auto"/>
              <w:rPr>
                <w:rFonts w:ascii="Times New Roman" w:eastAsia="Times New Roman" w:hAnsi="Times New Roman" w:cs="Times New Roman"/>
                <w:color w:val="000000"/>
                <w:sz w:val="20"/>
                <w:szCs w:val="20"/>
                <w:lang w:eastAsia="sk-SK"/>
              </w:rPr>
            </w:pPr>
          </w:p>
        </w:tc>
        <w:tc>
          <w:tcPr>
            <w:tcW w:w="3534" w:type="dxa"/>
            <w:gridSpan w:val="2"/>
            <w:tcBorders>
              <w:top w:val="nil"/>
              <w:left w:val="single" w:sz="8" w:space="0" w:color="auto"/>
              <w:bottom w:val="single" w:sz="4" w:space="0" w:color="auto"/>
              <w:right w:val="single" w:sz="4" w:space="0" w:color="auto"/>
            </w:tcBorders>
            <w:shd w:val="clear" w:color="auto" w:fill="auto"/>
            <w:vAlign w:val="center"/>
            <w:hideMark/>
          </w:tcPr>
          <w:p w14:paraId="59103BCF" w14:textId="213167EB" w:rsidR="003E500E" w:rsidRPr="00C929AE" w:rsidRDefault="003E500E" w:rsidP="003E500E">
            <w:pPr>
              <w:spacing w:after="0" w:line="240" w:lineRule="auto"/>
              <w:rPr>
                <w:rFonts w:ascii="Times New Roman" w:eastAsia="Times New Roman" w:hAnsi="Times New Roman" w:cs="Times New Roman"/>
                <w:b/>
                <w:bCs/>
                <w:i/>
                <w:iCs/>
                <w:color w:val="000000"/>
                <w:sz w:val="20"/>
                <w:szCs w:val="20"/>
                <w:lang w:eastAsia="sk-SK"/>
              </w:rPr>
            </w:pPr>
            <w:r>
              <w:rPr>
                <w:b/>
                <w:bCs/>
                <w:i/>
                <w:iCs/>
                <w:color w:val="000000"/>
                <w:sz w:val="20"/>
                <w:szCs w:val="20"/>
              </w:rPr>
              <w:t>D. Nepriame finančné náklady</w:t>
            </w:r>
          </w:p>
        </w:tc>
        <w:tc>
          <w:tcPr>
            <w:tcW w:w="2619" w:type="dxa"/>
            <w:tcBorders>
              <w:top w:val="single" w:sz="4" w:space="0" w:color="auto"/>
              <w:left w:val="nil"/>
              <w:bottom w:val="single" w:sz="4" w:space="0" w:color="auto"/>
              <w:right w:val="single" w:sz="4" w:space="0" w:color="auto"/>
            </w:tcBorders>
            <w:shd w:val="clear" w:color="000000" w:fill="FFC000"/>
            <w:vAlign w:val="center"/>
            <w:hideMark/>
          </w:tcPr>
          <w:p w14:paraId="5ED34EA3" w14:textId="2FA87B5D" w:rsidR="003E500E" w:rsidRPr="00C929AE" w:rsidRDefault="003E500E" w:rsidP="003E500E">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114 125</w:t>
            </w:r>
          </w:p>
        </w:tc>
        <w:tc>
          <w:tcPr>
            <w:tcW w:w="2618" w:type="dxa"/>
            <w:gridSpan w:val="3"/>
            <w:tcBorders>
              <w:top w:val="single" w:sz="4" w:space="0" w:color="auto"/>
              <w:left w:val="nil"/>
              <w:bottom w:val="single" w:sz="4" w:space="0" w:color="auto"/>
              <w:right w:val="single" w:sz="8" w:space="0" w:color="000000"/>
            </w:tcBorders>
            <w:shd w:val="clear" w:color="000000" w:fill="92D050"/>
            <w:vAlign w:val="center"/>
            <w:hideMark/>
          </w:tcPr>
          <w:p w14:paraId="6B7CA645" w14:textId="6D917A1F" w:rsidR="003E500E" w:rsidRPr="00C929AE" w:rsidRDefault="003E500E" w:rsidP="003E500E">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0</w:t>
            </w:r>
          </w:p>
        </w:tc>
      </w:tr>
      <w:tr w:rsidR="003E500E" w:rsidRPr="00C929AE" w14:paraId="547BC8DA" w14:textId="77777777" w:rsidTr="005613D9">
        <w:trPr>
          <w:gridAfter w:val="2"/>
          <w:wAfter w:w="582" w:type="dxa"/>
          <w:trHeight w:val="480"/>
        </w:trPr>
        <w:tc>
          <w:tcPr>
            <w:tcW w:w="161" w:type="dxa"/>
            <w:tcBorders>
              <w:top w:val="nil"/>
              <w:left w:val="nil"/>
              <w:bottom w:val="nil"/>
              <w:right w:val="nil"/>
            </w:tcBorders>
            <w:shd w:val="clear" w:color="auto" w:fill="auto"/>
            <w:noWrap/>
            <w:vAlign w:val="bottom"/>
          </w:tcPr>
          <w:p w14:paraId="29E6137F" w14:textId="77777777" w:rsidR="003E500E" w:rsidRPr="00C929AE" w:rsidRDefault="003E500E" w:rsidP="003E500E">
            <w:pPr>
              <w:spacing w:after="0" w:line="240" w:lineRule="auto"/>
              <w:rPr>
                <w:rFonts w:ascii="Times New Roman" w:eastAsia="Times New Roman" w:hAnsi="Times New Roman" w:cs="Times New Roman"/>
                <w:color w:val="000000"/>
                <w:sz w:val="20"/>
                <w:szCs w:val="20"/>
                <w:lang w:eastAsia="sk-SK"/>
              </w:rPr>
            </w:pPr>
          </w:p>
        </w:tc>
        <w:tc>
          <w:tcPr>
            <w:tcW w:w="3534" w:type="dxa"/>
            <w:gridSpan w:val="2"/>
            <w:tcBorders>
              <w:top w:val="nil"/>
              <w:left w:val="single" w:sz="8" w:space="0" w:color="auto"/>
              <w:bottom w:val="single" w:sz="4" w:space="0" w:color="auto"/>
              <w:right w:val="single" w:sz="4" w:space="0" w:color="auto"/>
            </w:tcBorders>
            <w:shd w:val="clear" w:color="auto" w:fill="auto"/>
            <w:vAlign w:val="center"/>
          </w:tcPr>
          <w:p w14:paraId="7A86A5AE" w14:textId="12D599E7" w:rsidR="003E500E" w:rsidRPr="00C929AE" w:rsidRDefault="003E500E" w:rsidP="003E500E">
            <w:pPr>
              <w:spacing w:after="0" w:line="240" w:lineRule="auto"/>
              <w:rPr>
                <w:rFonts w:ascii="Times New Roman" w:eastAsia="Times New Roman" w:hAnsi="Times New Roman" w:cs="Times New Roman"/>
                <w:b/>
                <w:bCs/>
                <w:i/>
                <w:iCs/>
                <w:color w:val="000000"/>
                <w:sz w:val="20"/>
                <w:szCs w:val="20"/>
                <w:lang w:eastAsia="sk-SK"/>
              </w:rPr>
            </w:pPr>
            <w:r>
              <w:rPr>
                <w:b/>
                <w:bCs/>
                <w:i/>
                <w:iCs/>
                <w:color w:val="000000"/>
                <w:sz w:val="20"/>
                <w:szCs w:val="20"/>
              </w:rPr>
              <w:t>E. Administratívne náklady</w:t>
            </w:r>
          </w:p>
        </w:tc>
        <w:tc>
          <w:tcPr>
            <w:tcW w:w="2619" w:type="dxa"/>
            <w:tcBorders>
              <w:top w:val="single" w:sz="4" w:space="0" w:color="auto"/>
              <w:left w:val="nil"/>
              <w:bottom w:val="single" w:sz="4" w:space="0" w:color="auto"/>
              <w:right w:val="single" w:sz="4" w:space="0" w:color="auto"/>
            </w:tcBorders>
            <w:shd w:val="clear" w:color="000000" w:fill="FFC000"/>
            <w:vAlign w:val="center"/>
          </w:tcPr>
          <w:p w14:paraId="1A8F0D68" w14:textId="7FFAA875" w:rsidR="003E500E" w:rsidRPr="00C929AE" w:rsidRDefault="003E500E" w:rsidP="003E500E">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208 939</w:t>
            </w:r>
          </w:p>
        </w:tc>
        <w:tc>
          <w:tcPr>
            <w:tcW w:w="2618" w:type="dxa"/>
            <w:gridSpan w:val="3"/>
            <w:tcBorders>
              <w:top w:val="single" w:sz="4" w:space="0" w:color="auto"/>
              <w:left w:val="nil"/>
              <w:bottom w:val="single" w:sz="4" w:space="0" w:color="auto"/>
              <w:right w:val="single" w:sz="8" w:space="0" w:color="000000"/>
            </w:tcBorders>
            <w:shd w:val="clear" w:color="000000" w:fill="92D050"/>
            <w:vAlign w:val="center"/>
          </w:tcPr>
          <w:p w14:paraId="7D0218BB" w14:textId="4E1D9A86" w:rsidR="003E500E" w:rsidRPr="00C929AE" w:rsidRDefault="003E500E" w:rsidP="003E500E">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0</w:t>
            </w:r>
          </w:p>
        </w:tc>
      </w:tr>
      <w:tr w:rsidR="003E500E" w:rsidRPr="00C929AE" w14:paraId="10B7BDC5" w14:textId="77777777" w:rsidTr="005613D9">
        <w:trPr>
          <w:gridAfter w:val="2"/>
          <w:wAfter w:w="582" w:type="dxa"/>
          <w:trHeight w:val="600"/>
        </w:trPr>
        <w:tc>
          <w:tcPr>
            <w:tcW w:w="161" w:type="dxa"/>
            <w:tcBorders>
              <w:top w:val="nil"/>
              <w:left w:val="nil"/>
              <w:bottom w:val="nil"/>
              <w:right w:val="nil"/>
            </w:tcBorders>
            <w:shd w:val="clear" w:color="auto" w:fill="auto"/>
            <w:noWrap/>
            <w:vAlign w:val="bottom"/>
            <w:hideMark/>
          </w:tcPr>
          <w:p w14:paraId="2BD5240B" w14:textId="77777777" w:rsidR="003E500E" w:rsidRPr="00C929AE" w:rsidRDefault="003E500E" w:rsidP="003E500E">
            <w:pPr>
              <w:spacing w:after="0" w:line="240" w:lineRule="auto"/>
              <w:rPr>
                <w:rFonts w:ascii="Times New Roman" w:eastAsia="Times New Roman" w:hAnsi="Times New Roman" w:cs="Times New Roman"/>
                <w:color w:val="000000"/>
                <w:sz w:val="20"/>
                <w:szCs w:val="20"/>
                <w:lang w:eastAsia="sk-SK"/>
              </w:rPr>
            </w:pPr>
          </w:p>
        </w:tc>
        <w:tc>
          <w:tcPr>
            <w:tcW w:w="3534" w:type="dxa"/>
            <w:gridSpan w:val="2"/>
            <w:tcBorders>
              <w:top w:val="nil"/>
              <w:left w:val="single" w:sz="8" w:space="0" w:color="auto"/>
              <w:bottom w:val="single" w:sz="8" w:space="0" w:color="auto"/>
              <w:right w:val="single" w:sz="4" w:space="0" w:color="auto"/>
            </w:tcBorders>
            <w:shd w:val="clear" w:color="auto" w:fill="auto"/>
            <w:vAlign w:val="center"/>
            <w:hideMark/>
          </w:tcPr>
          <w:p w14:paraId="2AD49376" w14:textId="5A03F19F" w:rsidR="003E500E" w:rsidRPr="00C929AE" w:rsidRDefault="003E500E" w:rsidP="003E500E">
            <w:pPr>
              <w:spacing w:after="0" w:line="240" w:lineRule="auto"/>
              <w:rPr>
                <w:rFonts w:ascii="Times New Roman" w:eastAsia="Times New Roman" w:hAnsi="Times New Roman" w:cs="Times New Roman"/>
                <w:b/>
                <w:bCs/>
                <w:i/>
                <w:iCs/>
                <w:color w:val="000000"/>
                <w:sz w:val="20"/>
                <w:szCs w:val="20"/>
                <w:lang w:eastAsia="sk-SK"/>
              </w:rPr>
            </w:pPr>
            <w:r>
              <w:rPr>
                <w:b/>
                <w:bCs/>
                <w:i/>
                <w:iCs/>
                <w:color w:val="000000"/>
                <w:sz w:val="20"/>
                <w:szCs w:val="20"/>
              </w:rPr>
              <w:t>Spolu = A+B+C+D+E</w:t>
            </w:r>
          </w:p>
        </w:tc>
        <w:tc>
          <w:tcPr>
            <w:tcW w:w="2619" w:type="dxa"/>
            <w:tcBorders>
              <w:top w:val="single" w:sz="4" w:space="0" w:color="auto"/>
              <w:left w:val="nil"/>
              <w:bottom w:val="single" w:sz="8" w:space="0" w:color="auto"/>
              <w:right w:val="single" w:sz="4" w:space="0" w:color="auto"/>
            </w:tcBorders>
            <w:shd w:val="clear" w:color="000000" w:fill="FFC000"/>
            <w:vAlign w:val="center"/>
            <w:hideMark/>
          </w:tcPr>
          <w:p w14:paraId="3829EB10" w14:textId="6EAEA7BF" w:rsidR="003E500E" w:rsidRPr="00C929AE" w:rsidRDefault="003E500E" w:rsidP="003E500E">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324 064</w:t>
            </w:r>
          </w:p>
        </w:tc>
        <w:tc>
          <w:tcPr>
            <w:tcW w:w="2618" w:type="dxa"/>
            <w:gridSpan w:val="3"/>
            <w:tcBorders>
              <w:top w:val="single" w:sz="4" w:space="0" w:color="auto"/>
              <w:left w:val="nil"/>
              <w:bottom w:val="single" w:sz="8" w:space="0" w:color="auto"/>
              <w:right w:val="single" w:sz="8" w:space="0" w:color="000000"/>
            </w:tcBorders>
            <w:shd w:val="clear" w:color="000000" w:fill="92D050"/>
            <w:vAlign w:val="center"/>
            <w:hideMark/>
          </w:tcPr>
          <w:p w14:paraId="3B2B8C72" w14:textId="3D6634DC" w:rsidR="003E500E" w:rsidRPr="00C929AE" w:rsidRDefault="003E500E" w:rsidP="003E500E">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0</w:t>
            </w:r>
          </w:p>
        </w:tc>
      </w:tr>
      <w:tr w:rsidR="005613D9" w:rsidRPr="00C929AE" w14:paraId="3B916623" w14:textId="77777777" w:rsidTr="005613D9">
        <w:trPr>
          <w:trHeight w:val="270"/>
        </w:trPr>
        <w:tc>
          <w:tcPr>
            <w:tcW w:w="161" w:type="dxa"/>
            <w:tcBorders>
              <w:top w:val="nil"/>
              <w:left w:val="nil"/>
              <w:bottom w:val="nil"/>
              <w:right w:val="nil"/>
            </w:tcBorders>
            <w:shd w:val="clear" w:color="auto" w:fill="auto"/>
            <w:noWrap/>
            <w:vAlign w:val="bottom"/>
            <w:hideMark/>
          </w:tcPr>
          <w:p w14:paraId="73F7E590" w14:textId="77777777" w:rsidR="005613D9" w:rsidRPr="00C929AE" w:rsidRDefault="005613D9" w:rsidP="005613D9">
            <w:pPr>
              <w:spacing w:after="0" w:line="240" w:lineRule="auto"/>
              <w:rPr>
                <w:rFonts w:ascii="Times New Roman" w:eastAsia="Times New Roman" w:hAnsi="Times New Roman" w:cs="Times New Roman"/>
                <w:color w:val="000000"/>
                <w:sz w:val="20"/>
                <w:szCs w:val="20"/>
                <w:lang w:eastAsia="sk-SK"/>
              </w:rPr>
            </w:pPr>
          </w:p>
        </w:tc>
        <w:tc>
          <w:tcPr>
            <w:tcW w:w="3534" w:type="dxa"/>
            <w:gridSpan w:val="2"/>
            <w:tcBorders>
              <w:top w:val="nil"/>
              <w:left w:val="nil"/>
              <w:bottom w:val="nil"/>
              <w:right w:val="nil"/>
            </w:tcBorders>
            <w:shd w:val="clear" w:color="auto" w:fill="auto"/>
            <w:noWrap/>
            <w:vAlign w:val="center"/>
            <w:hideMark/>
          </w:tcPr>
          <w:p w14:paraId="082EAB98" w14:textId="77777777" w:rsidR="005613D9" w:rsidRPr="00C929AE" w:rsidRDefault="005613D9" w:rsidP="005613D9">
            <w:pPr>
              <w:spacing w:after="0" w:line="240" w:lineRule="auto"/>
              <w:rPr>
                <w:rFonts w:ascii="Times New Roman" w:eastAsia="Times New Roman" w:hAnsi="Times New Roman" w:cs="Times New Roman"/>
                <w:color w:val="000000"/>
                <w:sz w:val="20"/>
                <w:szCs w:val="20"/>
                <w:lang w:eastAsia="sk-SK"/>
              </w:rPr>
            </w:pPr>
          </w:p>
        </w:tc>
        <w:tc>
          <w:tcPr>
            <w:tcW w:w="2788" w:type="dxa"/>
            <w:gridSpan w:val="2"/>
            <w:tcBorders>
              <w:top w:val="nil"/>
              <w:left w:val="nil"/>
              <w:bottom w:val="nil"/>
              <w:right w:val="nil"/>
            </w:tcBorders>
            <w:shd w:val="clear" w:color="auto" w:fill="auto"/>
            <w:vAlign w:val="center"/>
            <w:hideMark/>
          </w:tcPr>
          <w:p w14:paraId="01799773" w14:textId="77777777" w:rsidR="005613D9" w:rsidRPr="00C929AE" w:rsidRDefault="005613D9" w:rsidP="005613D9">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30B3D738" w14:textId="77777777" w:rsidR="005613D9" w:rsidRPr="00C929AE" w:rsidRDefault="005613D9" w:rsidP="005613D9">
            <w:pPr>
              <w:spacing w:after="0" w:line="240" w:lineRule="auto"/>
              <w:rPr>
                <w:rFonts w:ascii="Times New Roman" w:eastAsia="Times New Roman" w:hAnsi="Times New Roman" w:cs="Times New Roman"/>
                <w:i/>
                <w:iCs/>
                <w:color w:val="000000"/>
                <w:sz w:val="20"/>
                <w:szCs w:val="20"/>
                <w:lang w:eastAsia="sk-SK"/>
              </w:rPr>
            </w:pPr>
          </w:p>
        </w:tc>
        <w:tc>
          <w:tcPr>
            <w:tcW w:w="2711" w:type="dxa"/>
            <w:gridSpan w:val="2"/>
            <w:tcBorders>
              <w:top w:val="nil"/>
              <w:left w:val="nil"/>
              <w:bottom w:val="nil"/>
              <w:right w:val="nil"/>
            </w:tcBorders>
            <w:shd w:val="clear" w:color="auto" w:fill="auto"/>
            <w:vAlign w:val="center"/>
            <w:hideMark/>
          </w:tcPr>
          <w:p w14:paraId="7E543AE9" w14:textId="77777777" w:rsidR="005613D9" w:rsidRPr="00C929AE" w:rsidRDefault="005613D9" w:rsidP="005613D9">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0064F180" w14:textId="77777777" w:rsidR="005613D9" w:rsidRPr="00C929AE" w:rsidRDefault="005613D9" w:rsidP="005613D9">
            <w:pPr>
              <w:spacing w:after="0" w:line="240" w:lineRule="auto"/>
              <w:rPr>
                <w:rFonts w:ascii="Times New Roman" w:eastAsia="Times New Roman" w:hAnsi="Times New Roman" w:cs="Times New Roman"/>
                <w:i/>
                <w:iCs/>
                <w:color w:val="000000"/>
                <w:sz w:val="20"/>
                <w:szCs w:val="20"/>
                <w:lang w:eastAsia="sk-SK"/>
              </w:rPr>
            </w:pPr>
          </w:p>
        </w:tc>
      </w:tr>
      <w:tr w:rsidR="005613D9" w:rsidRPr="00C929AE" w14:paraId="52849A6C" w14:textId="77777777" w:rsidTr="005613D9">
        <w:trPr>
          <w:gridAfter w:val="2"/>
          <w:wAfter w:w="582" w:type="dxa"/>
          <w:trHeight w:val="412"/>
        </w:trPr>
        <w:tc>
          <w:tcPr>
            <w:tcW w:w="161" w:type="dxa"/>
            <w:tcBorders>
              <w:top w:val="nil"/>
              <w:left w:val="nil"/>
              <w:bottom w:val="nil"/>
              <w:right w:val="nil"/>
            </w:tcBorders>
            <w:shd w:val="clear" w:color="auto" w:fill="auto"/>
            <w:noWrap/>
            <w:vAlign w:val="bottom"/>
            <w:hideMark/>
          </w:tcPr>
          <w:p w14:paraId="54080DC1" w14:textId="77777777" w:rsidR="005613D9" w:rsidRPr="00C929AE" w:rsidRDefault="005613D9" w:rsidP="005613D9">
            <w:pPr>
              <w:spacing w:after="0" w:line="240" w:lineRule="auto"/>
              <w:rPr>
                <w:rFonts w:ascii="Times New Roman" w:eastAsia="Times New Roman" w:hAnsi="Times New Roman" w:cs="Times New Roman"/>
                <w:color w:val="000000"/>
                <w:sz w:val="20"/>
                <w:szCs w:val="20"/>
                <w:lang w:eastAsia="sk-SK"/>
              </w:rPr>
            </w:pPr>
          </w:p>
        </w:tc>
        <w:tc>
          <w:tcPr>
            <w:tcW w:w="3534" w:type="dxa"/>
            <w:gridSpan w:val="2"/>
            <w:tcBorders>
              <w:top w:val="single" w:sz="8" w:space="0" w:color="auto"/>
              <w:left w:val="single" w:sz="8" w:space="0" w:color="auto"/>
              <w:bottom w:val="single" w:sz="4" w:space="0" w:color="auto"/>
              <w:right w:val="single" w:sz="4" w:space="0" w:color="auto"/>
            </w:tcBorders>
            <w:shd w:val="clear" w:color="auto" w:fill="auto"/>
            <w:vAlign w:val="center"/>
            <w:hideMark/>
          </w:tcPr>
          <w:p w14:paraId="54048073" w14:textId="1CD34D58" w:rsidR="005613D9" w:rsidRPr="00C929AE" w:rsidRDefault="005613D9" w:rsidP="005613D9">
            <w:pPr>
              <w:spacing w:after="0" w:line="240" w:lineRule="auto"/>
              <w:rPr>
                <w:rFonts w:ascii="Times New Roman" w:eastAsia="Times New Roman" w:hAnsi="Times New Roman" w:cs="Times New Roman"/>
                <w:i/>
                <w:iCs/>
                <w:color w:val="000000"/>
                <w:lang w:eastAsia="sk-SK"/>
              </w:rPr>
            </w:pPr>
            <w:r>
              <w:rPr>
                <w:b/>
                <w:bCs/>
                <w:i/>
                <w:iCs/>
                <w:color w:val="000000"/>
                <w:sz w:val="20"/>
                <w:szCs w:val="20"/>
              </w:rPr>
              <w:t>Harmonizácia práva EÚ</w:t>
            </w:r>
          </w:p>
        </w:tc>
        <w:tc>
          <w:tcPr>
            <w:tcW w:w="2619" w:type="dxa"/>
            <w:tcBorders>
              <w:top w:val="single" w:sz="8" w:space="0" w:color="auto"/>
              <w:left w:val="nil"/>
              <w:bottom w:val="single" w:sz="4" w:space="0" w:color="auto"/>
              <w:right w:val="single" w:sz="4" w:space="0" w:color="auto"/>
            </w:tcBorders>
            <w:shd w:val="clear" w:color="000000" w:fill="FFC000"/>
            <w:vAlign w:val="center"/>
            <w:hideMark/>
          </w:tcPr>
          <w:p w14:paraId="4BC0A5BA" w14:textId="22945AE1" w:rsidR="005613D9" w:rsidRPr="00C929AE" w:rsidRDefault="005613D9" w:rsidP="005613D9">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Zvýšenie nákladov v € na PP</w:t>
            </w:r>
          </w:p>
        </w:tc>
        <w:tc>
          <w:tcPr>
            <w:tcW w:w="2618" w:type="dxa"/>
            <w:gridSpan w:val="3"/>
            <w:tcBorders>
              <w:top w:val="single" w:sz="8" w:space="0" w:color="auto"/>
              <w:left w:val="nil"/>
              <w:bottom w:val="single" w:sz="4" w:space="0" w:color="auto"/>
              <w:right w:val="single" w:sz="8" w:space="0" w:color="000000"/>
            </w:tcBorders>
            <w:shd w:val="clear" w:color="000000" w:fill="92D050"/>
            <w:vAlign w:val="center"/>
            <w:hideMark/>
          </w:tcPr>
          <w:p w14:paraId="38A2A444" w14:textId="36CE1E75" w:rsidR="005613D9" w:rsidRPr="00C929AE" w:rsidRDefault="005613D9" w:rsidP="005613D9">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Zníženie nákladov v € na PP</w:t>
            </w:r>
          </w:p>
        </w:tc>
      </w:tr>
      <w:tr w:rsidR="003E500E" w:rsidRPr="00C929AE" w14:paraId="26126FD6" w14:textId="77777777" w:rsidTr="005613D9">
        <w:trPr>
          <w:gridAfter w:val="2"/>
          <w:wAfter w:w="582" w:type="dxa"/>
          <w:trHeight w:val="840"/>
        </w:trPr>
        <w:tc>
          <w:tcPr>
            <w:tcW w:w="161" w:type="dxa"/>
            <w:tcBorders>
              <w:top w:val="nil"/>
              <w:left w:val="nil"/>
              <w:bottom w:val="nil"/>
              <w:right w:val="nil"/>
            </w:tcBorders>
            <w:shd w:val="clear" w:color="auto" w:fill="auto"/>
            <w:noWrap/>
            <w:vAlign w:val="bottom"/>
            <w:hideMark/>
          </w:tcPr>
          <w:p w14:paraId="4424F348" w14:textId="77777777" w:rsidR="003E500E" w:rsidRPr="00C929AE" w:rsidRDefault="003E500E" w:rsidP="003E500E">
            <w:pPr>
              <w:spacing w:after="0" w:line="240" w:lineRule="auto"/>
              <w:rPr>
                <w:rFonts w:ascii="Times New Roman" w:eastAsia="Times New Roman" w:hAnsi="Times New Roman" w:cs="Times New Roman"/>
                <w:color w:val="000000"/>
                <w:sz w:val="20"/>
                <w:szCs w:val="20"/>
                <w:lang w:eastAsia="sk-SK"/>
              </w:rPr>
            </w:pPr>
          </w:p>
        </w:tc>
        <w:tc>
          <w:tcPr>
            <w:tcW w:w="3534" w:type="dxa"/>
            <w:gridSpan w:val="2"/>
            <w:tcBorders>
              <w:top w:val="nil"/>
              <w:left w:val="single" w:sz="8" w:space="0" w:color="auto"/>
              <w:bottom w:val="single" w:sz="4" w:space="0" w:color="auto"/>
              <w:right w:val="single" w:sz="4" w:space="0" w:color="auto"/>
            </w:tcBorders>
            <w:shd w:val="clear" w:color="auto" w:fill="auto"/>
            <w:vAlign w:val="center"/>
            <w:hideMark/>
          </w:tcPr>
          <w:p w14:paraId="5895E706" w14:textId="134E0D88" w:rsidR="003E500E" w:rsidRPr="00C929AE" w:rsidRDefault="003E500E" w:rsidP="003E500E">
            <w:pPr>
              <w:spacing w:after="0" w:line="240" w:lineRule="auto"/>
              <w:rPr>
                <w:rFonts w:ascii="Times New Roman" w:eastAsia="Times New Roman" w:hAnsi="Times New Roman" w:cs="Times New Roman"/>
                <w:b/>
                <w:bCs/>
                <w:i/>
                <w:iCs/>
                <w:color w:val="000000"/>
                <w:sz w:val="20"/>
                <w:szCs w:val="20"/>
                <w:lang w:eastAsia="sk-SK"/>
              </w:rPr>
            </w:pPr>
            <w:r>
              <w:rPr>
                <w:b/>
                <w:bCs/>
                <w:i/>
                <w:iCs/>
                <w:color w:val="000000"/>
                <w:sz w:val="20"/>
                <w:szCs w:val="20"/>
              </w:rPr>
              <w:t>F. Úplná harmonizácia práva EÚ</w:t>
            </w:r>
            <w:r>
              <w:rPr>
                <w:b/>
                <w:bCs/>
                <w:i/>
                <w:iCs/>
                <w:color w:val="000000"/>
                <w:sz w:val="20"/>
                <w:szCs w:val="20"/>
              </w:rPr>
              <w:br/>
            </w:r>
            <w:r>
              <w:rPr>
                <w:i/>
                <w:iCs/>
                <w:color w:val="000000"/>
                <w:sz w:val="16"/>
                <w:szCs w:val="16"/>
              </w:rPr>
              <w:t xml:space="preserve">(okrem daní, odvodov, ciel a poplatkov, ktorých cieľom je znižovať negatívne </w:t>
            </w:r>
            <w:proofErr w:type="spellStart"/>
            <w:r>
              <w:rPr>
                <w:i/>
                <w:iCs/>
                <w:color w:val="000000"/>
                <w:sz w:val="16"/>
                <w:szCs w:val="16"/>
              </w:rPr>
              <w:t>externality</w:t>
            </w:r>
            <w:proofErr w:type="spellEnd"/>
            <w:r>
              <w:rPr>
                <w:i/>
                <w:iCs/>
                <w:color w:val="000000"/>
                <w:sz w:val="16"/>
                <w:szCs w:val="16"/>
              </w:rPr>
              <w:t>)</w:t>
            </w:r>
          </w:p>
        </w:tc>
        <w:tc>
          <w:tcPr>
            <w:tcW w:w="2619" w:type="dxa"/>
            <w:tcBorders>
              <w:top w:val="single" w:sz="4" w:space="0" w:color="auto"/>
              <w:left w:val="nil"/>
              <w:bottom w:val="single" w:sz="4" w:space="0" w:color="auto"/>
              <w:right w:val="single" w:sz="4" w:space="0" w:color="auto"/>
            </w:tcBorders>
            <w:shd w:val="clear" w:color="000000" w:fill="FFC000"/>
            <w:vAlign w:val="center"/>
            <w:hideMark/>
          </w:tcPr>
          <w:p w14:paraId="09CCB12B" w14:textId="3E1E8403" w:rsidR="003E500E" w:rsidRPr="00C929AE" w:rsidRDefault="003E500E" w:rsidP="003E500E">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324 064</w:t>
            </w:r>
          </w:p>
        </w:tc>
        <w:tc>
          <w:tcPr>
            <w:tcW w:w="2618" w:type="dxa"/>
            <w:gridSpan w:val="3"/>
            <w:tcBorders>
              <w:top w:val="single" w:sz="4" w:space="0" w:color="auto"/>
              <w:left w:val="nil"/>
              <w:bottom w:val="single" w:sz="4" w:space="0" w:color="auto"/>
              <w:right w:val="single" w:sz="8" w:space="0" w:color="000000"/>
            </w:tcBorders>
            <w:shd w:val="clear" w:color="000000" w:fill="92D050"/>
            <w:vAlign w:val="center"/>
            <w:hideMark/>
          </w:tcPr>
          <w:p w14:paraId="0CB565E3" w14:textId="33BB37A4" w:rsidR="003E500E" w:rsidRPr="00C929AE" w:rsidRDefault="003E500E" w:rsidP="003E500E">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0</w:t>
            </w:r>
          </w:p>
        </w:tc>
      </w:tr>
      <w:tr w:rsidR="003E500E" w:rsidRPr="00C929AE" w14:paraId="2B062396" w14:textId="77777777" w:rsidTr="005613D9">
        <w:trPr>
          <w:gridAfter w:val="2"/>
          <w:wAfter w:w="582" w:type="dxa"/>
          <w:trHeight w:val="486"/>
        </w:trPr>
        <w:tc>
          <w:tcPr>
            <w:tcW w:w="161" w:type="dxa"/>
            <w:tcBorders>
              <w:top w:val="nil"/>
              <w:left w:val="nil"/>
              <w:bottom w:val="nil"/>
              <w:right w:val="nil"/>
            </w:tcBorders>
            <w:shd w:val="clear" w:color="auto" w:fill="auto"/>
            <w:noWrap/>
            <w:vAlign w:val="bottom"/>
            <w:hideMark/>
          </w:tcPr>
          <w:p w14:paraId="2C592B53" w14:textId="77777777" w:rsidR="003E500E" w:rsidRPr="00C929AE" w:rsidRDefault="003E500E" w:rsidP="003E500E">
            <w:pPr>
              <w:spacing w:after="0" w:line="240" w:lineRule="auto"/>
              <w:rPr>
                <w:rFonts w:ascii="Times New Roman" w:eastAsia="Times New Roman" w:hAnsi="Times New Roman" w:cs="Times New Roman"/>
                <w:color w:val="000000"/>
                <w:sz w:val="20"/>
                <w:szCs w:val="20"/>
                <w:lang w:eastAsia="sk-SK"/>
              </w:rPr>
            </w:pPr>
          </w:p>
        </w:tc>
        <w:tc>
          <w:tcPr>
            <w:tcW w:w="3534" w:type="dxa"/>
            <w:gridSpan w:val="2"/>
            <w:tcBorders>
              <w:top w:val="nil"/>
              <w:left w:val="single" w:sz="8" w:space="0" w:color="auto"/>
              <w:bottom w:val="single" w:sz="8" w:space="0" w:color="auto"/>
              <w:right w:val="single" w:sz="4" w:space="0" w:color="auto"/>
            </w:tcBorders>
            <w:shd w:val="clear" w:color="auto" w:fill="auto"/>
            <w:vAlign w:val="center"/>
            <w:hideMark/>
          </w:tcPr>
          <w:p w14:paraId="73DFED09" w14:textId="300FA9E0" w:rsidR="003E500E" w:rsidRPr="00C929AE" w:rsidRDefault="003E500E" w:rsidP="003E500E">
            <w:pPr>
              <w:spacing w:after="0" w:line="240" w:lineRule="auto"/>
              <w:rPr>
                <w:rFonts w:ascii="Times New Roman" w:eastAsia="Times New Roman" w:hAnsi="Times New Roman" w:cs="Times New Roman"/>
                <w:b/>
                <w:bCs/>
                <w:i/>
                <w:iCs/>
                <w:color w:val="000000"/>
                <w:sz w:val="20"/>
                <w:szCs w:val="20"/>
                <w:lang w:eastAsia="sk-SK"/>
              </w:rPr>
            </w:pPr>
            <w:r>
              <w:rPr>
                <w:b/>
                <w:bCs/>
                <w:i/>
                <w:iCs/>
                <w:color w:val="000000"/>
                <w:sz w:val="20"/>
                <w:szCs w:val="20"/>
              </w:rPr>
              <w:t>G. Goldplating</w:t>
            </w:r>
          </w:p>
        </w:tc>
        <w:tc>
          <w:tcPr>
            <w:tcW w:w="2619" w:type="dxa"/>
            <w:tcBorders>
              <w:top w:val="single" w:sz="4" w:space="0" w:color="auto"/>
              <w:left w:val="nil"/>
              <w:bottom w:val="single" w:sz="8" w:space="0" w:color="auto"/>
              <w:right w:val="single" w:sz="4" w:space="0" w:color="auto"/>
            </w:tcBorders>
            <w:shd w:val="clear" w:color="000000" w:fill="FFC000"/>
            <w:vAlign w:val="center"/>
            <w:hideMark/>
          </w:tcPr>
          <w:p w14:paraId="709562F6" w14:textId="30524C2C" w:rsidR="003E500E" w:rsidRPr="00C929AE" w:rsidRDefault="003E500E" w:rsidP="003E500E">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0</w:t>
            </w:r>
          </w:p>
        </w:tc>
        <w:tc>
          <w:tcPr>
            <w:tcW w:w="2618" w:type="dxa"/>
            <w:gridSpan w:val="3"/>
            <w:tcBorders>
              <w:top w:val="single" w:sz="4" w:space="0" w:color="auto"/>
              <w:left w:val="nil"/>
              <w:bottom w:val="single" w:sz="8" w:space="0" w:color="auto"/>
              <w:right w:val="single" w:sz="8" w:space="0" w:color="000000"/>
            </w:tcBorders>
            <w:shd w:val="clear" w:color="000000" w:fill="92D050"/>
            <w:vAlign w:val="center"/>
            <w:hideMark/>
          </w:tcPr>
          <w:p w14:paraId="2E025867" w14:textId="6040F34C" w:rsidR="003E500E" w:rsidRPr="00C929AE" w:rsidRDefault="003E500E" w:rsidP="003E500E">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0</w:t>
            </w:r>
          </w:p>
        </w:tc>
      </w:tr>
      <w:tr w:rsidR="005613D9" w:rsidRPr="00C929AE" w14:paraId="665D2803" w14:textId="77777777" w:rsidTr="005613D9">
        <w:trPr>
          <w:trHeight w:val="360"/>
        </w:trPr>
        <w:tc>
          <w:tcPr>
            <w:tcW w:w="161" w:type="dxa"/>
            <w:tcBorders>
              <w:top w:val="nil"/>
              <w:left w:val="nil"/>
              <w:bottom w:val="nil"/>
              <w:right w:val="nil"/>
            </w:tcBorders>
            <w:shd w:val="clear" w:color="auto" w:fill="auto"/>
            <w:noWrap/>
            <w:vAlign w:val="bottom"/>
            <w:hideMark/>
          </w:tcPr>
          <w:p w14:paraId="259005DD" w14:textId="77777777" w:rsidR="005613D9" w:rsidRPr="00C929AE" w:rsidRDefault="005613D9" w:rsidP="005613D9">
            <w:pPr>
              <w:spacing w:after="0" w:line="240" w:lineRule="auto"/>
              <w:rPr>
                <w:rFonts w:ascii="Times New Roman" w:eastAsia="Times New Roman" w:hAnsi="Times New Roman" w:cs="Times New Roman"/>
                <w:color w:val="000000"/>
                <w:sz w:val="20"/>
                <w:szCs w:val="20"/>
                <w:lang w:eastAsia="sk-SK"/>
              </w:rPr>
            </w:pPr>
          </w:p>
        </w:tc>
        <w:tc>
          <w:tcPr>
            <w:tcW w:w="3534" w:type="dxa"/>
            <w:gridSpan w:val="2"/>
            <w:tcBorders>
              <w:top w:val="nil"/>
              <w:left w:val="nil"/>
              <w:bottom w:val="nil"/>
              <w:right w:val="nil"/>
            </w:tcBorders>
            <w:shd w:val="clear" w:color="auto" w:fill="auto"/>
            <w:noWrap/>
            <w:vAlign w:val="bottom"/>
            <w:hideMark/>
          </w:tcPr>
          <w:p w14:paraId="213DB6FE" w14:textId="77777777" w:rsidR="005613D9" w:rsidRPr="00C929AE" w:rsidRDefault="005613D9" w:rsidP="005613D9">
            <w:pPr>
              <w:spacing w:after="0" w:line="240" w:lineRule="auto"/>
              <w:rPr>
                <w:rFonts w:ascii="Times New Roman" w:eastAsia="Times New Roman" w:hAnsi="Times New Roman" w:cs="Times New Roman"/>
                <w:color w:val="000000"/>
                <w:sz w:val="20"/>
                <w:szCs w:val="20"/>
                <w:lang w:eastAsia="sk-SK"/>
              </w:rPr>
            </w:pPr>
          </w:p>
        </w:tc>
        <w:tc>
          <w:tcPr>
            <w:tcW w:w="2788" w:type="dxa"/>
            <w:gridSpan w:val="2"/>
            <w:tcBorders>
              <w:top w:val="nil"/>
              <w:left w:val="nil"/>
              <w:bottom w:val="nil"/>
              <w:right w:val="nil"/>
            </w:tcBorders>
            <w:shd w:val="clear" w:color="auto" w:fill="auto"/>
            <w:vAlign w:val="center"/>
            <w:hideMark/>
          </w:tcPr>
          <w:p w14:paraId="57A20198" w14:textId="77777777" w:rsidR="005613D9" w:rsidRPr="00C929AE" w:rsidRDefault="005613D9" w:rsidP="005613D9">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7D23FD74" w14:textId="77777777" w:rsidR="005613D9" w:rsidRPr="00C929AE" w:rsidRDefault="005613D9" w:rsidP="005613D9">
            <w:pPr>
              <w:spacing w:after="0" w:line="240" w:lineRule="auto"/>
              <w:rPr>
                <w:rFonts w:ascii="Times New Roman" w:eastAsia="Times New Roman" w:hAnsi="Times New Roman" w:cs="Times New Roman"/>
                <w:i/>
                <w:iCs/>
                <w:color w:val="000000"/>
                <w:sz w:val="20"/>
                <w:szCs w:val="20"/>
                <w:lang w:eastAsia="sk-SK"/>
              </w:rPr>
            </w:pPr>
          </w:p>
        </w:tc>
        <w:tc>
          <w:tcPr>
            <w:tcW w:w="2711" w:type="dxa"/>
            <w:gridSpan w:val="2"/>
            <w:tcBorders>
              <w:top w:val="nil"/>
              <w:left w:val="nil"/>
              <w:bottom w:val="nil"/>
              <w:right w:val="nil"/>
            </w:tcBorders>
            <w:shd w:val="clear" w:color="auto" w:fill="auto"/>
            <w:vAlign w:val="center"/>
            <w:hideMark/>
          </w:tcPr>
          <w:p w14:paraId="68BF5827" w14:textId="77777777" w:rsidR="005613D9" w:rsidRPr="00C929AE" w:rsidRDefault="005613D9" w:rsidP="005613D9">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0FA5CAAE" w14:textId="77777777" w:rsidR="005613D9" w:rsidRPr="00C929AE" w:rsidRDefault="005613D9" w:rsidP="005613D9">
            <w:pPr>
              <w:spacing w:after="0" w:line="240" w:lineRule="auto"/>
              <w:rPr>
                <w:rFonts w:ascii="Times New Roman" w:eastAsia="Times New Roman" w:hAnsi="Times New Roman" w:cs="Times New Roman"/>
                <w:i/>
                <w:iCs/>
                <w:color w:val="000000"/>
                <w:sz w:val="20"/>
                <w:szCs w:val="20"/>
                <w:lang w:eastAsia="sk-SK"/>
              </w:rPr>
            </w:pPr>
          </w:p>
        </w:tc>
      </w:tr>
      <w:tr w:rsidR="005613D9" w:rsidRPr="00C929AE" w14:paraId="578385C8" w14:textId="77777777" w:rsidTr="005613D9">
        <w:trPr>
          <w:gridAfter w:val="2"/>
          <w:wAfter w:w="582" w:type="dxa"/>
          <w:trHeight w:val="390"/>
        </w:trPr>
        <w:tc>
          <w:tcPr>
            <w:tcW w:w="161" w:type="dxa"/>
            <w:tcBorders>
              <w:top w:val="nil"/>
              <w:left w:val="nil"/>
              <w:bottom w:val="nil"/>
              <w:right w:val="nil"/>
            </w:tcBorders>
            <w:shd w:val="clear" w:color="auto" w:fill="auto"/>
            <w:noWrap/>
            <w:vAlign w:val="bottom"/>
            <w:hideMark/>
          </w:tcPr>
          <w:p w14:paraId="1ED4DAC7" w14:textId="77777777" w:rsidR="005613D9" w:rsidRPr="00C929AE" w:rsidRDefault="005613D9" w:rsidP="005613D9">
            <w:pPr>
              <w:spacing w:after="0" w:line="240" w:lineRule="auto"/>
              <w:rPr>
                <w:rFonts w:ascii="Times New Roman" w:eastAsia="Times New Roman" w:hAnsi="Times New Roman" w:cs="Times New Roman"/>
                <w:color w:val="000000"/>
                <w:sz w:val="20"/>
                <w:szCs w:val="20"/>
                <w:lang w:eastAsia="sk-SK"/>
              </w:rPr>
            </w:pPr>
          </w:p>
        </w:tc>
        <w:tc>
          <w:tcPr>
            <w:tcW w:w="3534" w:type="dxa"/>
            <w:gridSpan w:val="2"/>
            <w:tcBorders>
              <w:top w:val="single" w:sz="8" w:space="0" w:color="auto"/>
              <w:left w:val="single" w:sz="8" w:space="0" w:color="auto"/>
              <w:bottom w:val="single" w:sz="4" w:space="0" w:color="auto"/>
              <w:right w:val="single" w:sz="4" w:space="0" w:color="auto"/>
            </w:tcBorders>
            <w:shd w:val="clear" w:color="auto" w:fill="auto"/>
            <w:vAlign w:val="center"/>
            <w:hideMark/>
          </w:tcPr>
          <w:p w14:paraId="66D9B60B" w14:textId="0AA2A31C" w:rsidR="005613D9" w:rsidRPr="00C929AE" w:rsidRDefault="005613D9" w:rsidP="005613D9">
            <w:pPr>
              <w:spacing w:after="0" w:line="240" w:lineRule="auto"/>
              <w:rPr>
                <w:rFonts w:ascii="Times New Roman" w:eastAsia="Times New Roman" w:hAnsi="Times New Roman" w:cs="Times New Roman"/>
                <w:i/>
                <w:iCs/>
                <w:color w:val="000000"/>
                <w:sz w:val="20"/>
                <w:szCs w:val="20"/>
                <w:lang w:eastAsia="sk-SK"/>
              </w:rPr>
            </w:pPr>
            <w:r>
              <w:rPr>
                <w:i/>
                <w:iCs/>
                <w:color w:val="000000"/>
                <w:sz w:val="20"/>
                <w:szCs w:val="20"/>
              </w:rPr>
              <w:t>VÝPOČET PRAVIDLA 1in2out:</w:t>
            </w:r>
          </w:p>
        </w:tc>
        <w:tc>
          <w:tcPr>
            <w:tcW w:w="2619" w:type="dxa"/>
            <w:tcBorders>
              <w:top w:val="single" w:sz="8" w:space="0" w:color="auto"/>
              <w:left w:val="nil"/>
              <w:bottom w:val="single" w:sz="4" w:space="0" w:color="auto"/>
              <w:right w:val="single" w:sz="4" w:space="0" w:color="000000"/>
            </w:tcBorders>
            <w:shd w:val="clear" w:color="000000" w:fill="FFC000"/>
            <w:vAlign w:val="center"/>
            <w:hideMark/>
          </w:tcPr>
          <w:p w14:paraId="4929B536" w14:textId="114AD087" w:rsidR="005613D9" w:rsidRPr="00C929AE" w:rsidRDefault="005613D9" w:rsidP="005613D9">
            <w:pPr>
              <w:spacing w:after="0" w:line="240" w:lineRule="auto"/>
              <w:jc w:val="center"/>
              <w:rPr>
                <w:rFonts w:ascii="Times New Roman" w:eastAsia="Times New Roman" w:hAnsi="Times New Roman" w:cs="Times New Roman"/>
                <w:color w:val="000000"/>
                <w:sz w:val="20"/>
                <w:szCs w:val="20"/>
                <w:lang w:eastAsia="sk-SK"/>
              </w:rPr>
            </w:pPr>
            <w:r>
              <w:rPr>
                <w:b/>
                <w:bCs/>
                <w:color w:val="000000"/>
                <w:sz w:val="20"/>
                <w:szCs w:val="20"/>
              </w:rPr>
              <w:t>IN</w:t>
            </w:r>
          </w:p>
        </w:tc>
        <w:tc>
          <w:tcPr>
            <w:tcW w:w="2618" w:type="dxa"/>
            <w:gridSpan w:val="3"/>
            <w:tcBorders>
              <w:top w:val="single" w:sz="8" w:space="0" w:color="auto"/>
              <w:left w:val="nil"/>
              <w:bottom w:val="single" w:sz="4" w:space="0" w:color="auto"/>
              <w:right w:val="single" w:sz="8" w:space="0" w:color="000000"/>
            </w:tcBorders>
            <w:shd w:val="clear" w:color="000000" w:fill="92D050"/>
            <w:vAlign w:val="center"/>
            <w:hideMark/>
          </w:tcPr>
          <w:p w14:paraId="6019C410" w14:textId="7E2E7500" w:rsidR="005613D9" w:rsidRPr="00C929AE" w:rsidRDefault="005613D9" w:rsidP="005613D9">
            <w:pPr>
              <w:spacing w:after="0" w:line="240" w:lineRule="auto"/>
              <w:jc w:val="center"/>
              <w:rPr>
                <w:rFonts w:ascii="Times New Roman" w:eastAsia="Times New Roman" w:hAnsi="Times New Roman" w:cs="Times New Roman"/>
                <w:color w:val="000000"/>
                <w:sz w:val="20"/>
                <w:szCs w:val="20"/>
                <w:lang w:eastAsia="sk-SK"/>
              </w:rPr>
            </w:pPr>
            <w:r>
              <w:rPr>
                <w:b/>
                <w:bCs/>
                <w:color w:val="000000"/>
                <w:sz w:val="20"/>
                <w:szCs w:val="20"/>
              </w:rPr>
              <w:t>OUT</w:t>
            </w:r>
          </w:p>
        </w:tc>
      </w:tr>
      <w:tr w:rsidR="003E500E" w:rsidRPr="00C929AE" w14:paraId="4C7053DD" w14:textId="77777777" w:rsidTr="005613D9">
        <w:trPr>
          <w:gridAfter w:val="2"/>
          <w:wAfter w:w="582" w:type="dxa"/>
          <w:trHeight w:val="390"/>
        </w:trPr>
        <w:tc>
          <w:tcPr>
            <w:tcW w:w="161" w:type="dxa"/>
            <w:tcBorders>
              <w:top w:val="nil"/>
              <w:left w:val="nil"/>
              <w:bottom w:val="nil"/>
              <w:right w:val="nil"/>
            </w:tcBorders>
            <w:shd w:val="clear" w:color="auto" w:fill="auto"/>
            <w:noWrap/>
            <w:vAlign w:val="bottom"/>
            <w:hideMark/>
          </w:tcPr>
          <w:p w14:paraId="6BB0400A" w14:textId="77777777" w:rsidR="003E500E" w:rsidRPr="00C929AE" w:rsidRDefault="003E500E" w:rsidP="003E500E">
            <w:pPr>
              <w:spacing w:after="0" w:line="240" w:lineRule="auto"/>
              <w:rPr>
                <w:rFonts w:ascii="Times New Roman" w:eastAsia="Times New Roman" w:hAnsi="Times New Roman" w:cs="Times New Roman"/>
                <w:color w:val="000000"/>
                <w:sz w:val="20"/>
                <w:szCs w:val="20"/>
                <w:lang w:eastAsia="sk-SK"/>
              </w:rPr>
            </w:pPr>
          </w:p>
        </w:tc>
        <w:tc>
          <w:tcPr>
            <w:tcW w:w="3534" w:type="dxa"/>
            <w:gridSpan w:val="2"/>
            <w:tcBorders>
              <w:top w:val="nil"/>
              <w:left w:val="single" w:sz="8" w:space="0" w:color="auto"/>
              <w:bottom w:val="single" w:sz="8" w:space="0" w:color="auto"/>
              <w:right w:val="single" w:sz="4" w:space="0" w:color="auto"/>
            </w:tcBorders>
            <w:shd w:val="clear" w:color="auto" w:fill="auto"/>
            <w:vAlign w:val="center"/>
            <w:hideMark/>
          </w:tcPr>
          <w:p w14:paraId="6395BF89" w14:textId="0F3C21D1" w:rsidR="003E500E" w:rsidRPr="00751DA9" w:rsidRDefault="003E500E" w:rsidP="003E500E">
            <w:pPr>
              <w:spacing w:after="0" w:line="240" w:lineRule="auto"/>
              <w:rPr>
                <w:rFonts w:ascii="Times New Roman" w:eastAsia="Times New Roman" w:hAnsi="Times New Roman" w:cs="Times New Roman"/>
                <w:i/>
                <w:iCs/>
                <w:color w:val="000000"/>
                <w:sz w:val="20"/>
                <w:szCs w:val="20"/>
                <w:lang w:eastAsia="sk-SK"/>
              </w:rPr>
            </w:pPr>
            <w:r>
              <w:rPr>
                <w:i/>
                <w:iCs/>
                <w:color w:val="000000"/>
                <w:sz w:val="20"/>
                <w:szCs w:val="20"/>
              </w:rPr>
              <w:t>H</w:t>
            </w:r>
            <w:r>
              <w:rPr>
                <w:b/>
                <w:bCs/>
                <w:i/>
                <w:iCs/>
                <w:color w:val="000000"/>
                <w:sz w:val="20"/>
                <w:szCs w:val="20"/>
              </w:rPr>
              <w:t>.</w:t>
            </w:r>
            <w:r>
              <w:rPr>
                <w:i/>
                <w:iCs/>
                <w:color w:val="000000"/>
                <w:sz w:val="20"/>
                <w:szCs w:val="20"/>
              </w:rPr>
              <w:t xml:space="preserve"> Náklady okrem výnimiek = B+D+E-F</w:t>
            </w:r>
          </w:p>
        </w:tc>
        <w:tc>
          <w:tcPr>
            <w:tcW w:w="2619" w:type="dxa"/>
            <w:tcBorders>
              <w:top w:val="single" w:sz="4" w:space="0" w:color="auto"/>
              <w:left w:val="nil"/>
              <w:bottom w:val="single" w:sz="8" w:space="0" w:color="auto"/>
              <w:right w:val="single" w:sz="4" w:space="0" w:color="000000"/>
            </w:tcBorders>
            <w:shd w:val="clear" w:color="000000" w:fill="FFC000"/>
            <w:vAlign w:val="center"/>
          </w:tcPr>
          <w:p w14:paraId="02E1C703" w14:textId="622BC13F" w:rsidR="003E500E" w:rsidRPr="00C929AE" w:rsidRDefault="003E500E" w:rsidP="003E500E">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0</w:t>
            </w:r>
          </w:p>
        </w:tc>
        <w:tc>
          <w:tcPr>
            <w:tcW w:w="2618" w:type="dxa"/>
            <w:gridSpan w:val="3"/>
            <w:tcBorders>
              <w:top w:val="single" w:sz="4" w:space="0" w:color="auto"/>
              <w:left w:val="nil"/>
              <w:bottom w:val="single" w:sz="8" w:space="0" w:color="auto"/>
              <w:right w:val="single" w:sz="8" w:space="0" w:color="000000"/>
            </w:tcBorders>
            <w:shd w:val="clear" w:color="000000" w:fill="92D050"/>
            <w:vAlign w:val="center"/>
          </w:tcPr>
          <w:p w14:paraId="2A9C6235" w14:textId="43A170F1" w:rsidR="003E500E" w:rsidRPr="00C929AE" w:rsidRDefault="003E500E" w:rsidP="003E500E">
            <w:pPr>
              <w:spacing w:after="0" w:line="240" w:lineRule="auto"/>
              <w:jc w:val="center"/>
              <w:rPr>
                <w:rFonts w:ascii="Times New Roman" w:eastAsia="Times New Roman" w:hAnsi="Times New Roman" w:cs="Times New Roman"/>
                <w:b/>
                <w:bCs/>
                <w:color w:val="000000"/>
                <w:sz w:val="20"/>
                <w:szCs w:val="20"/>
                <w:lang w:eastAsia="sk-SK"/>
              </w:rPr>
            </w:pPr>
            <w:r>
              <w:rPr>
                <w:b/>
                <w:bCs/>
                <w:color w:val="000000"/>
                <w:sz w:val="20"/>
                <w:szCs w:val="20"/>
              </w:rPr>
              <w:t>0</w:t>
            </w:r>
          </w:p>
        </w:tc>
      </w:tr>
    </w:tbl>
    <w:p w14:paraId="0C4E1024" w14:textId="77777777" w:rsidR="00054C41" w:rsidRPr="00895898" w:rsidRDefault="00054C41" w:rsidP="00054C41">
      <w:pPr>
        <w:rPr>
          <w:rFonts w:ascii="Times New Roman" w:eastAsia="Calibri" w:hAnsi="Times New Roman" w:cs="Times New Roman"/>
          <w:b/>
          <w:sz w:val="24"/>
          <w:szCs w:val="24"/>
        </w:rPr>
        <w:sectPr w:rsidR="00054C41" w:rsidRPr="00895898" w:rsidSect="00142154">
          <w:headerReference w:type="default" r:id="rId10"/>
          <w:footerReference w:type="default" r:id="rId11"/>
          <w:pgSz w:w="11906" w:h="16838"/>
          <w:pgMar w:top="993" w:right="1417" w:bottom="1417" w:left="1417" w:header="708" w:footer="708" w:gutter="0"/>
          <w:pgNumType w:start="1"/>
          <w:cols w:space="708"/>
          <w:docGrid w:linePitch="360"/>
        </w:sectPr>
      </w:pPr>
    </w:p>
    <w:p w14:paraId="29CDFA2A" w14:textId="77777777" w:rsidR="00054C41" w:rsidRPr="001F1B43" w:rsidRDefault="00054C41" w:rsidP="00054C41">
      <w:pPr>
        <w:rPr>
          <w:rFonts w:ascii="Times New Roman" w:eastAsia="Calibri" w:hAnsi="Times New Roman" w:cs="Times New Roman"/>
          <w:b/>
          <w:i/>
          <w:iCs/>
          <w:sz w:val="24"/>
          <w:szCs w:val="24"/>
        </w:rPr>
      </w:pPr>
      <w:r w:rsidRPr="001F1B43">
        <w:rPr>
          <w:rFonts w:ascii="Times New Roman" w:eastAsia="Calibri" w:hAnsi="Times New Roman" w:cs="Times New Roman"/>
          <w:b/>
          <w:i/>
          <w:iCs/>
          <w:sz w:val="24"/>
          <w:szCs w:val="24"/>
        </w:rPr>
        <w:lastRenderedPageBreak/>
        <w:t>3.1.2 Výpočty vplyvov jednotlivých regulácií na zmeny v nákladoch podnikateľov</w:t>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p>
    <w:p w14:paraId="5E02E2DD" w14:textId="77777777" w:rsidR="00054C41"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2: Výpočet vplyvov jednotlivých regulácií (nahraďte rovnakou tabuľkou po vyplnení Kalkulačky nákladov):</w:t>
      </w:r>
    </w:p>
    <w:p w14:paraId="38B80F98" w14:textId="77777777" w:rsidR="00F16F66" w:rsidRDefault="00F16F66" w:rsidP="00054C41">
      <w:pPr>
        <w:jc w:val="both"/>
        <w:rPr>
          <w:rFonts w:ascii="Times New Roman" w:eastAsia="Calibri" w:hAnsi="Times New Roman" w:cs="Times New Roman"/>
          <w:i/>
        </w:rPr>
      </w:pPr>
    </w:p>
    <w:tbl>
      <w:tblPr>
        <w:tblW w:w="14189" w:type="dxa"/>
        <w:tblLayout w:type="fixed"/>
        <w:tblCellMar>
          <w:left w:w="70" w:type="dxa"/>
          <w:right w:w="70" w:type="dxa"/>
        </w:tblCellMar>
        <w:tblLook w:val="04A0" w:firstRow="1" w:lastRow="0" w:firstColumn="1" w:lastColumn="0" w:noHBand="0" w:noVBand="1"/>
      </w:tblPr>
      <w:tblGrid>
        <w:gridCol w:w="528"/>
        <w:gridCol w:w="2098"/>
        <w:gridCol w:w="1266"/>
        <w:gridCol w:w="1435"/>
        <w:gridCol w:w="1258"/>
        <w:gridCol w:w="933"/>
        <w:gridCol w:w="1280"/>
        <w:gridCol w:w="973"/>
        <w:gridCol w:w="704"/>
        <w:gridCol w:w="719"/>
        <w:gridCol w:w="992"/>
        <w:gridCol w:w="992"/>
        <w:gridCol w:w="851"/>
        <w:gridCol w:w="160"/>
      </w:tblGrid>
      <w:tr w:rsidR="00F16F66" w:rsidRPr="00F16F66" w14:paraId="2826560E" w14:textId="77777777" w:rsidTr="00F16F66">
        <w:trPr>
          <w:gridAfter w:val="1"/>
          <w:wAfter w:w="160" w:type="dxa"/>
          <w:trHeight w:val="450"/>
        </w:trPr>
        <w:tc>
          <w:tcPr>
            <w:tcW w:w="528"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30AF7553" w14:textId="77777777" w:rsidR="00F16F66" w:rsidRPr="00F16F66" w:rsidRDefault="00F16F66" w:rsidP="00F16F66">
            <w:pPr>
              <w:spacing w:after="0" w:line="240" w:lineRule="auto"/>
              <w:jc w:val="center"/>
              <w:rPr>
                <w:rFonts w:ascii="Times New Roman" w:eastAsia="Times New Roman" w:hAnsi="Times New Roman" w:cs="Times New Roman"/>
                <w:b/>
                <w:bCs/>
                <w:color w:val="000000"/>
                <w:sz w:val="20"/>
                <w:szCs w:val="20"/>
                <w:lang w:eastAsia="sk-SK"/>
              </w:rPr>
            </w:pPr>
            <w:proofErr w:type="spellStart"/>
            <w:r w:rsidRPr="00F16F66">
              <w:rPr>
                <w:rFonts w:ascii="Times New Roman" w:eastAsia="Times New Roman" w:hAnsi="Times New Roman" w:cs="Times New Roman"/>
                <w:b/>
                <w:bCs/>
                <w:color w:val="000000"/>
                <w:sz w:val="20"/>
                <w:szCs w:val="20"/>
                <w:lang w:eastAsia="sk-SK"/>
              </w:rPr>
              <w:t>P.č</w:t>
            </w:r>
            <w:proofErr w:type="spellEnd"/>
            <w:r w:rsidRPr="00F16F66">
              <w:rPr>
                <w:rFonts w:ascii="Times New Roman" w:eastAsia="Times New Roman" w:hAnsi="Times New Roman" w:cs="Times New Roman"/>
                <w:b/>
                <w:bCs/>
                <w:color w:val="000000"/>
                <w:sz w:val="20"/>
                <w:szCs w:val="20"/>
                <w:lang w:eastAsia="sk-SK"/>
              </w:rPr>
              <w:t>.</w:t>
            </w:r>
          </w:p>
        </w:tc>
        <w:tc>
          <w:tcPr>
            <w:tcW w:w="2098"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5634C4D9" w14:textId="77777777" w:rsidR="00F16F66" w:rsidRPr="00F16F66" w:rsidRDefault="00F16F66" w:rsidP="00F16F66">
            <w:pPr>
              <w:spacing w:after="0" w:line="240" w:lineRule="auto"/>
              <w:jc w:val="center"/>
              <w:rPr>
                <w:rFonts w:ascii="Times New Roman" w:eastAsia="Times New Roman" w:hAnsi="Times New Roman" w:cs="Times New Roman"/>
                <w:b/>
                <w:bCs/>
                <w:color w:val="000000"/>
                <w:sz w:val="20"/>
                <w:szCs w:val="20"/>
                <w:lang w:eastAsia="sk-SK"/>
              </w:rPr>
            </w:pPr>
            <w:r w:rsidRPr="00F16F66">
              <w:rPr>
                <w:rFonts w:ascii="Times New Roman" w:eastAsia="Times New Roman" w:hAnsi="Times New Roman" w:cs="Times New Roman"/>
                <w:b/>
                <w:bCs/>
                <w:color w:val="000000"/>
                <w:sz w:val="20"/>
                <w:szCs w:val="20"/>
                <w:lang w:eastAsia="sk-SK"/>
              </w:rPr>
              <w:t xml:space="preserve">Zrozumiteľný a stručný opis regulácie </w:t>
            </w:r>
            <w:r w:rsidRPr="00F16F66">
              <w:rPr>
                <w:rFonts w:ascii="Times New Roman" w:eastAsia="Times New Roman" w:hAnsi="Times New Roman" w:cs="Times New Roman"/>
                <w:b/>
                <w:bCs/>
                <w:color w:val="000000"/>
                <w:sz w:val="20"/>
                <w:szCs w:val="20"/>
                <w:lang w:eastAsia="sk-SK"/>
              </w:rPr>
              <w:br/>
              <w:t xml:space="preserve">(dôvod zvýšenia/zníženia nákladov na PP a dôvod ponechania nákladov na PP, ktoré </w:t>
            </w:r>
            <w:proofErr w:type="spellStart"/>
            <w:r w:rsidRPr="00F16F66">
              <w:rPr>
                <w:rFonts w:ascii="Times New Roman" w:eastAsia="Times New Roman" w:hAnsi="Times New Roman" w:cs="Times New Roman"/>
                <w:b/>
                <w:bCs/>
                <w:color w:val="000000"/>
                <w:sz w:val="20"/>
                <w:szCs w:val="20"/>
                <w:lang w:eastAsia="sk-SK"/>
              </w:rPr>
              <w:t>su</w:t>
            </w:r>
            <w:proofErr w:type="spellEnd"/>
            <w:r w:rsidRPr="00F16F66">
              <w:rPr>
                <w:rFonts w:ascii="Times New Roman" w:eastAsia="Times New Roman" w:hAnsi="Times New Roman" w:cs="Times New Roman"/>
                <w:b/>
                <w:bCs/>
                <w:color w:val="000000"/>
                <w:sz w:val="20"/>
                <w:szCs w:val="20"/>
                <w:lang w:eastAsia="sk-SK"/>
              </w:rPr>
              <w:t xml:space="preserve"> </w:t>
            </w:r>
            <w:proofErr w:type="spellStart"/>
            <w:r w:rsidRPr="00F16F66">
              <w:rPr>
                <w:rFonts w:ascii="Times New Roman" w:eastAsia="Times New Roman" w:hAnsi="Times New Roman" w:cs="Times New Roman"/>
                <w:b/>
                <w:bCs/>
                <w:color w:val="000000"/>
                <w:sz w:val="20"/>
                <w:szCs w:val="20"/>
                <w:lang w:eastAsia="sk-SK"/>
              </w:rPr>
              <w:t>goldplatingom</w:t>
            </w:r>
            <w:proofErr w:type="spellEnd"/>
            <w:r w:rsidRPr="00F16F66">
              <w:rPr>
                <w:rFonts w:ascii="Times New Roman" w:eastAsia="Times New Roman" w:hAnsi="Times New Roman" w:cs="Times New Roman"/>
                <w:b/>
                <w:bCs/>
                <w:color w:val="000000"/>
                <w:sz w:val="20"/>
                <w:szCs w:val="20"/>
                <w:lang w:eastAsia="sk-SK"/>
              </w:rPr>
              <w:t>)</w:t>
            </w:r>
          </w:p>
        </w:tc>
        <w:tc>
          <w:tcPr>
            <w:tcW w:w="1266" w:type="dxa"/>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14:paraId="41708E8D" w14:textId="77777777" w:rsidR="00F16F66" w:rsidRPr="00F16F66" w:rsidRDefault="00F16F66" w:rsidP="00F16F66">
            <w:pPr>
              <w:spacing w:after="0" w:line="240" w:lineRule="auto"/>
              <w:jc w:val="center"/>
              <w:rPr>
                <w:rFonts w:ascii="Times New Roman" w:eastAsia="Times New Roman" w:hAnsi="Times New Roman" w:cs="Times New Roman"/>
                <w:b/>
                <w:bCs/>
                <w:color w:val="000000"/>
                <w:sz w:val="20"/>
                <w:szCs w:val="20"/>
                <w:lang w:eastAsia="sk-SK"/>
              </w:rPr>
            </w:pPr>
            <w:r w:rsidRPr="00F16F66">
              <w:rPr>
                <w:rFonts w:ascii="Times New Roman" w:eastAsia="Times New Roman" w:hAnsi="Times New Roman" w:cs="Times New Roman"/>
                <w:b/>
                <w:bCs/>
                <w:color w:val="000000"/>
                <w:sz w:val="20"/>
                <w:szCs w:val="20"/>
                <w:lang w:eastAsia="sk-SK"/>
              </w:rPr>
              <w:t>Číslo normy</w:t>
            </w:r>
            <w:r w:rsidRPr="00F16F66">
              <w:rPr>
                <w:rFonts w:ascii="Times New Roman" w:eastAsia="Times New Roman" w:hAnsi="Times New Roman" w:cs="Times New Roman"/>
                <w:b/>
                <w:bCs/>
                <w:color w:val="000000"/>
                <w:sz w:val="20"/>
                <w:szCs w:val="20"/>
                <w:lang w:eastAsia="sk-SK"/>
              </w:rPr>
              <w:br/>
            </w:r>
            <w:r w:rsidRPr="00F16F66">
              <w:rPr>
                <w:rFonts w:ascii="Times New Roman" w:eastAsia="Times New Roman" w:hAnsi="Times New Roman" w:cs="Times New Roman"/>
                <w:color w:val="000000"/>
                <w:sz w:val="20"/>
                <w:szCs w:val="20"/>
                <w:lang w:eastAsia="sk-SK"/>
              </w:rPr>
              <w:t>(zákona, vyhlášky a pod.)</w:t>
            </w:r>
          </w:p>
        </w:tc>
        <w:tc>
          <w:tcPr>
            <w:tcW w:w="1435" w:type="dxa"/>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14:paraId="16198946" w14:textId="77777777" w:rsidR="00F16F66" w:rsidRPr="00F16F66" w:rsidRDefault="00F16F66" w:rsidP="00F16F66">
            <w:pPr>
              <w:spacing w:after="0" w:line="240" w:lineRule="auto"/>
              <w:jc w:val="center"/>
              <w:rPr>
                <w:rFonts w:ascii="Times New Roman" w:eastAsia="Times New Roman" w:hAnsi="Times New Roman" w:cs="Times New Roman"/>
                <w:b/>
                <w:bCs/>
                <w:color w:val="000000"/>
                <w:sz w:val="20"/>
                <w:szCs w:val="20"/>
                <w:lang w:eastAsia="sk-SK"/>
              </w:rPr>
            </w:pPr>
            <w:r w:rsidRPr="00F16F66">
              <w:rPr>
                <w:rFonts w:ascii="Times New Roman" w:eastAsia="Times New Roman" w:hAnsi="Times New Roman" w:cs="Times New Roman"/>
                <w:b/>
                <w:bCs/>
                <w:color w:val="000000"/>
                <w:sz w:val="20"/>
                <w:szCs w:val="20"/>
                <w:lang w:eastAsia="sk-SK"/>
              </w:rPr>
              <w:t>Lokalizácia</w:t>
            </w:r>
            <w:r w:rsidRPr="00F16F66">
              <w:rPr>
                <w:rFonts w:ascii="Times New Roman" w:eastAsia="Times New Roman" w:hAnsi="Times New Roman" w:cs="Times New Roman"/>
                <w:b/>
                <w:bCs/>
                <w:color w:val="000000"/>
                <w:sz w:val="20"/>
                <w:szCs w:val="20"/>
                <w:lang w:eastAsia="sk-SK"/>
              </w:rPr>
              <w:br/>
              <w:t>(§, ods., čl.,...)</w:t>
            </w:r>
          </w:p>
        </w:tc>
        <w:tc>
          <w:tcPr>
            <w:tcW w:w="1258"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6CB3F1EF" w14:textId="77777777" w:rsidR="00F16F66" w:rsidRPr="00F16F66" w:rsidRDefault="00F16F66" w:rsidP="00F16F66">
            <w:pPr>
              <w:spacing w:after="0" w:line="240" w:lineRule="auto"/>
              <w:jc w:val="center"/>
              <w:rPr>
                <w:rFonts w:ascii="Times New Roman" w:eastAsia="Times New Roman" w:hAnsi="Times New Roman" w:cs="Times New Roman"/>
                <w:b/>
                <w:bCs/>
                <w:color w:val="000000"/>
                <w:sz w:val="20"/>
                <w:szCs w:val="20"/>
                <w:lang w:eastAsia="sk-SK"/>
              </w:rPr>
            </w:pPr>
            <w:r w:rsidRPr="00F16F66">
              <w:rPr>
                <w:rFonts w:ascii="Times New Roman" w:eastAsia="Times New Roman" w:hAnsi="Times New Roman" w:cs="Times New Roman"/>
                <w:b/>
                <w:bCs/>
                <w:color w:val="000000"/>
                <w:sz w:val="20"/>
                <w:szCs w:val="20"/>
                <w:lang w:eastAsia="sk-SK"/>
              </w:rPr>
              <w:t xml:space="preserve">Pôvod regulácie: </w:t>
            </w:r>
            <w:r w:rsidRPr="00F16F66">
              <w:rPr>
                <w:rFonts w:ascii="Times New Roman" w:eastAsia="Times New Roman" w:hAnsi="Times New Roman" w:cs="Times New Roman"/>
                <w:b/>
                <w:bCs/>
                <w:color w:val="000000"/>
                <w:sz w:val="20"/>
                <w:szCs w:val="20"/>
                <w:lang w:eastAsia="sk-SK"/>
              </w:rPr>
              <w:br/>
            </w:r>
            <w:r w:rsidRPr="00F16F66">
              <w:rPr>
                <w:rFonts w:ascii="Times New Roman" w:eastAsia="Times New Roman" w:hAnsi="Times New Roman" w:cs="Times New Roman"/>
                <w:color w:val="000000"/>
                <w:sz w:val="20"/>
                <w:szCs w:val="20"/>
                <w:lang w:eastAsia="sk-SK"/>
              </w:rPr>
              <w:t xml:space="preserve">SK/EÚ úplná </w:t>
            </w:r>
            <w:proofErr w:type="spellStart"/>
            <w:r w:rsidRPr="00F16F66">
              <w:rPr>
                <w:rFonts w:ascii="Times New Roman" w:eastAsia="Times New Roman" w:hAnsi="Times New Roman" w:cs="Times New Roman"/>
                <w:color w:val="000000"/>
                <w:sz w:val="20"/>
                <w:szCs w:val="20"/>
                <w:lang w:eastAsia="sk-SK"/>
              </w:rPr>
              <w:t>harm</w:t>
            </w:r>
            <w:proofErr w:type="spellEnd"/>
            <w:r w:rsidRPr="00F16F66">
              <w:rPr>
                <w:rFonts w:ascii="Times New Roman" w:eastAsia="Times New Roman" w:hAnsi="Times New Roman" w:cs="Times New Roman"/>
                <w:color w:val="000000"/>
                <w:sz w:val="20"/>
                <w:szCs w:val="20"/>
                <w:lang w:eastAsia="sk-SK"/>
              </w:rPr>
              <w:t>./</w:t>
            </w:r>
            <w:r w:rsidRPr="00F16F66">
              <w:rPr>
                <w:rFonts w:ascii="Times New Roman" w:eastAsia="Times New Roman" w:hAnsi="Times New Roman" w:cs="Times New Roman"/>
                <w:color w:val="000000"/>
                <w:sz w:val="20"/>
                <w:szCs w:val="20"/>
                <w:lang w:eastAsia="sk-SK"/>
              </w:rPr>
              <w:br/>
              <w:t>goldplating</w:t>
            </w:r>
          </w:p>
        </w:tc>
        <w:tc>
          <w:tcPr>
            <w:tcW w:w="933"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4E553DCF" w14:textId="77777777" w:rsidR="00F16F66" w:rsidRPr="00F16F66" w:rsidRDefault="00F16F66" w:rsidP="00F16F66">
            <w:pPr>
              <w:spacing w:after="0" w:line="240" w:lineRule="auto"/>
              <w:jc w:val="center"/>
              <w:rPr>
                <w:rFonts w:ascii="Times New Roman" w:eastAsia="Times New Roman" w:hAnsi="Times New Roman" w:cs="Times New Roman"/>
                <w:b/>
                <w:bCs/>
                <w:color w:val="000000"/>
                <w:sz w:val="20"/>
                <w:szCs w:val="20"/>
                <w:lang w:eastAsia="sk-SK"/>
              </w:rPr>
            </w:pPr>
            <w:r w:rsidRPr="00F16F66">
              <w:rPr>
                <w:rFonts w:ascii="Times New Roman" w:eastAsia="Times New Roman" w:hAnsi="Times New Roman" w:cs="Times New Roman"/>
                <w:b/>
                <w:bCs/>
                <w:color w:val="000000"/>
                <w:sz w:val="20"/>
                <w:szCs w:val="20"/>
                <w:lang w:eastAsia="sk-SK"/>
              </w:rPr>
              <w:t>Účinnosť regulácie</w:t>
            </w:r>
          </w:p>
        </w:tc>
        <w:tc>
          <w:tcPr>
            <w:tcW w:w="1280"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3730FBE7" w14:textId="77777777" w:rsidR="00F16F66" w:rsidRPr="00F16F66" w:rsidRDefault="00F16F66" w:rsidP="00F16F66">
            <w:pPr>
              <w:spacing w:after="0" w:line="240" w:lineRule="auto"/>
              <w:jc w:val="center"/>
              <w:rPr>
                <w:rFonts w:ascii="Times New Roman" w:eastAsia="Times New Roman" w:hAnsi="Times New Roman" w:cs="Times New Roman"/>
                <w:b/>
                <w:bCs/>
                <w:color w:val="000000"/>
                <w:sz w:val="20"/>
                <w:szCs w:val="20"/>
                <w:lang w:eastAsia="sk-SK"/>
              </w:rPr>
            </w:pPr>
            <w:r w:rsidRPr="00F16F66">
              <w:rPr>
                <w:rFonts w:ascii="Times New Roman" w:eastAsia="Times New Roman" w:hAnsi="Times New Roman" w:cs="Times New Roman"/>
                <w:b/>
                <w:bCs/>
                <w:color w:val="000000"/>
                <w:sz w:val="20"/>
                <w:szCs w:val="20"/>
                <w:lang w:eastAsia="sk-SK"/>
              </w:rPr>
              <w:t xml:space="preserve">Kategória </w:t>
            </w:r>
            <w:proofErr w:type="spellStart"/>
            <w:r w:rsidRPr="00F16F66">
              <w:rPr>
                <w:rFonts w:ascii="Times New Roman" w:eastAsia="Times New Roman" w:hAnsi="Times New Roman" w:cs="Times New Roman"/>
                <w:b/>
                <w:bCs/>
                <w:color w:val="000000"/>
                <w:sz w:val="20"/>
                <w:szCs w:val="20"/>
                <w:lang w:eastAsia="sk-SK"/>
              </w:rPr>
              <w:t>dotk</w:t>
            </w:r>
            <w:proofErr w:type="spellEnd"/>
            <w:r w:rsidRPr="00F16F66">
              <w:rPr>
                <w:rFonts w:ascii="Times New Roman" w:eastAsia="Times New Roman" w:hAnsi="Times New Roman" w:cs="Times New Roman"/>
                <w:b/>
                <w:bCs/>
                <w:color w:val="000000"/>
                <w:sz w:val="20"/>
                <w:szCs w:val="20"/>
                <w:lang w:eastAsia="sk-SK"/>
              </w:rPr>
              <w:t>. subjektov</w:t>
            </w:r>
          </w:p>
        </w:tc>
        <w:tc>
          <w:tcPr>
            <w:tcW w:w="973"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6D3C8E41" w14:textId="77777777" w:rsidR="00F16F66" w:rsidRPr="00F16F66" w:rsidRDefault="00F16F66" w:rsidP="00F16F66">
            <w:pPr>
              <w:spacing w:after="0" w:line="240" w:lineRule="auto"/>
              <w:jc w:val="center"/>
              <w:rPr>
                <w:rFonts w:ascii="Times New Roman" w:eastAsia="Times New Roman" w:hAnsi="Times New Roman" w:cs="Times New Roman"/>
                <w:b/>
                <w:bCs/>
                <w:color w:val="000000"/>
                <w:sz w:val="20"/>
                <w:szCs w:val="20"/>
                <w:lang w:eastAsia="sk-SK"/>
              </w:rPr>
            </w:pPr>
            <w:r w:rsidRPr="00F16F66">
              <w:rPr>
                <w:rFonts w:ascii="Times New Roman" w:eastAsia="Times New Roman" w:hAnsi="Times New Roman" w:cs="Times New Roman"/>
                <w:b/>
                <w:bCs/>
                <w:color w:val="000000"/>
                <w:sz w:val="20"/>
                <w:szCs w:val="20"/>
                <w:lang w:eastAsia="sk-SK"/>
              </w:rPr>
              <w:t xml:space="preserve">Počet </w:t>
            </w:r>
            <w:proofErr w:type="spellStart"/>
            <w:r w:rsidRPr="00F16F66">
              <w:rPr>
                <w:rFonts w:ascii="Times New Roman" w:eastAsia="Times New Roman" w:hAnsi="Times New Roman" w:cs="Times New Roman"/>
                <w:b/>
                <w:bCs/>
                <w:color w:val="000000"/>
                <w:sz w:val="20"/>
                <w:szCs w:val="20"/>
                <w:lang w:eastAsia="sk-SK"/>
              </w:rPr>
              <w:t>dotk</w:t>
            </w:r>
            <w:proofErr w:type="spellEnd"/>
            <w:r w:rsidRPr="00F16F66">
              <w:rPr>
                <w:rFonts w:ascii="Times New Roman" w:eastAsia="Times New Roman" w:hAnsi="Times New Roman" w:cs="Times New Roman"/>
                <w:b/>
                <w:bCs/>
                <w:color w:val="000000"/>
                <w:sz w:val="20"/>
                <w:szCs w:val="20"/>
                <w:lang w:eastAsia="sk-SK"/>
              </w:rPr>
              <w:t xml:space="preserve">. subjektov spolu </w:t>
            </w:r>
          </w:p>
        </w:tc>
        <w:tc>
          <w:tcPr>
            <w:tcW w:w="704"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472A3C70" w14:textId="77777777" w:rsidR="00F16F66" w:rsidRPr="00F16F66" w:rsidRDefault="00F16F66" w:rsidP="00F16F66">
            <w:pPr>
              <w:spacing w:after="0" w:line="240" w:lineRule="auto"/>
              <w:jc w:val="center"/>
              <w:rPr>
                <w:rFonts w:ascii="Times New Roman" w:eastAsia="Times New Roman" w:hAnsi="Times New Roman" w:cs="Times New Roman"/>
                <w:b/>
                <w:bCs/>
                <w:color w:val="000000"/>
                <w:sz w:val="20"/>
                <w:szCs w:val="20"/>
                <w:lang w:eastAsia="sk-SK"/>
              </w:rPr>
            </w:pPr>
            <w:r w:rsidRPr="00F16F66">
              <w:rPr>
                <w:rFonts w:ascii="Times New Roman" w:eastAsia="Times New Roman" w:hAnsi="Times New Roman" w:cs="Times New Roman"/>
                <w:b/>
                <w:bCs/>
                <w:color w:val="000000"/>
                <w:sz w:val="20"/>
                <w:szCs w:val="20"/>
                <w:lang w:eastAsia="sk-SK"/>
              </w:rPr>
              <w:t>Vplyv na 1 podnik. v €</w:t>
            </w:r>
          </w:p>
        </w:tc>
        <w:tc>
          <w:tcPr>
            <w:tcW w:w="719"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3A5D7306" w14:textId="77777777" w:rsidR="00F16F66" w:rsidRPr="00F16F66" w:rsidRDefault="00F16F66" w:rsidP="00F16F66">
            <w:pPr>
              <w:spacing w:after="0" w:line="240" w:lineRule="auto"/>
              <w:jc w:val="center"/>
              <w:rPr>
                <w:rFonts w:ascii="Times New Roman" w:eastAsia="Times New Roman" w:hAnsi="Times New Roman" w:cs="Times New Roman"/>
                <w:b/>
                <w:bCs/>
                <w:color w:val="000000"/>
                <w:sz w:val="20"/>
                <w:szCs w:val="20"/>
                <w:lang w:eastAsia="sk-SK"/>
              </w:rPr>
            </w:pPr>
            <w:r w:rsidRPr="00F16F66">
              <w:rPr>
                <w:rFonts w:ascii="Times New Roman" w:eastAsia="Times New Roman" w:hAnsi="Times New Roman" w:cs="Times New Roman"/>
                <w:b/>
                <w:bCs/>
                <w:color w:val="000000"/>
                <w:sz w:val="20"/>
                <w:szCs w:val="20"/>
                <w:lang w:eastAsia="sk-SK"/>
              </w:rPr>
              <w:t xml:space="preserve">Vplyv na kategóriu </w:t>
            </w:r>
            <w:proofErr w:type="spellStart"/>
            <w:r w:rsidRPr="00F16F66">
              <w:rPr>
                <w:rFonts w:ascii="Times New Roman" w:eastAsia="Times New Roman" w:hAnsi="Times New Roman" w:cs="Times New Roman"/>
                <w:b/>
                <w:bCs/>
                <w:color w:val="000000"/>
                <w:sz w:val="20"/>
                <w:szCs w:val="20"/>
                <w:lang w:eastAsia="sk-SK"/>
              </w:rPr>
              <w:t>dotk</w:t>
            </w:r>
            <w:proofErr w:type="spellEnd"/>
            <w:r w:rsidRPr="00F16F66">
              <w:rPr>
                <w:rFonts w:ascii="Times New Roman" w:eastAsia="Times New Roman" w:hAnsi="Times New Roman" w:cs="Times New Roman"/>
                <w:b/>
                <w:bCs/>
                <w:color w:val="000000"/>
                <w:sz w:val="20"/>
                <w:szCs w:val="20"/>
                <w:lang w:eastAsia="sk-SK"/>
              </w:rPr>
              <w:t>. subjektov v €</w:t>
            </w: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2E127AF5" w14:textId="77777777" w:rsidR="00F16F66" w:rsidRPr="00F16F66" w:rsidRDefault="00F16F66" w:rsidP="00F16F66">
            <w:pPr>
              <w:spacing w:after="0" w:line="240" w:lineRule="auto"/>
              <w:jc w:val="center"/>
              <w:rPr>
                <w:rFonts w:ascii="Times New Roman" w:eastAsia="Times New Roman" w:hAnsi="Times New Roman" w:cs="Times New Roman"/>
                <w:b/>
                <w:bCs/>
                <w:color w:val="000000"/>
                <w:sz w:val="20"/>
                <w:szCs w:val="20"/>
                <w:lang w:eastAsia="sk-SK"/>
              </w:rPr>
            </w:pPr>
            <w:r w:rsidRPr="00F16F66">
              <w:rPr>
                <w:rFonts w:ascii="Times New Roman" w:eastAsia="Times New Roman" w:hAnsi="Times New Roman" w:cs="Times New Roman"/>
                <w:b/>
                <w:bCs/>
                <w:color w:val="000000"/>
                <w:sz w:val="20"/>
                <w:szCs w:val="20"/>
                <w:lang w:eastAsia="sk-SK"/>
              </w:rPr>
              <w:t>Druh vplyvu</w:t>
            </w:r>
            <w:r w:rsidRPr="00F16F66">
              <w:rPr>
                <w:rFonts w:ascii="Times New Roman" w:eastAsia="Times New Roman" w:hAnsi="Times New Roman" w:cs="Times New Roman"/>
                <w:b/>
                <w:bCs/>
                <w:color w:val="000000"/>
                <w:sz w:val="20"/>
                <w:szCs w:val="20"/>
                <w:lang w:eastAsia="sk-SK"/>
              </w:rPr>
              <w:br/>
            </w:r>
            <w:r w:rsidRPr="00F16F66">
              <w:rPr>
                <w:rFonts w:ascii="Times New Roman" w:eastAsia="Times New Roman" w:hAnsi="Times New Roman" w:cs="Times New Roman"/>
                <w:color w:val="000000"/>
                <w:sz w:val="20"/>
                <w:szCs w:val="20"/>
                <w:lang w:eastAsia="sk-SK"/>
              </w:rPr>
              <w:t xml:space="preserve">In (zvyšuje náklady) / </w:t>
            </w:r>
            <w:r w:rsidRPr="00F16F66">
              <w:rPr>
                <w:rFonts w:ascii="Times New Roman" w:eastAsia="Times New Roman" w:hAnsi="Times New Roman" w:cs="Times New Roman"/>
                <w:color w:val="000000"/>
                <w:sz w:val="20"/>
                <w:szCs w:val="20"/>
                <w:lang w:eastAsia="sk-SK"/>
              </w:rPr>
              <w:br/>
            </w:r>
            <w:proofErr w:type="spellStart"/>
            <w:r w:rsidRPr="00F16F66">
              <w:rPr>
                <w:rFonts w:ascii="Times New Roman" w:eastAsia="Times New Roman" w:hAnsi="Times New Roman" w:cs="Times New Roman"/>
                <w:color w:val="000000"/>
                <w:sz w:val="20"/>
                <w:szCs w:val="20"/>
                <w:lang w:eastAsia="sk-SK"/>
              </w:rPr>
              <w:t>Out</w:t>
            </w:r>
            <w:proofErr w:type="spellEnd"/>
            <w:r w:rsidRPr="00F16F66">
              <w:rPr>
                <w:rFonts w:ascii="Times New Roman" w:eastAsia="Times New Roman" w:hAnsi="Times New Roman" w:cs="Times New Roman"/>
                <w:color w:val="000000"/>
                <w:sz w:val="20"/>
                <w:szCs w:val="20"/>
                <w:lang w:eastAsia="sk-SK"/>
              </w:rPr>
              <w:t xml:space="preserve"> (znižuje náklady) / Nemení sa</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603D150" w14:textId="77777777" w:rsidR="00F16F66" w:rsidRPr="00F16F66" w:rsidRDefault="00F16F66" w:rsidP="00F16F66">
            <w:pPr>
              <w:spacing w:after="0" w:line="240" w:lineRule="auto"/>
              <w:jc w:val="center"/>
              <w:rPr>
                <w:rFonts w:ascii="Times New Roman" w:eastAsia="Times New Roman" w:hAnsi="Times New Roman" w:cs="Times New Roman"/>
                <w:b/>
                <w:bCs/>
                <w:color w:val="000000"/>
                <w:sz w:val="20"/>
                <w:szCs w:val="20"/>
                <w:lang w:eastAsia="sk-SK"/>
              </w:rPr>
            </w:pPr>
            <w:r w:rsidRPr="00F16F66">
              <w:rPr>
                <w:rFonts w:ascii="Times New Roman" w:eastAsia="Times New Roman" w:hAnsi="Times New Roman" w:cs="Times New Roman"/>
                <w:b/>
                <w:bCs/>
                <w:color w:val="000000"/>
                <w:sz w:val="20"/>
                <w:szCs w:val="20"/>
                <w:lang w:eastAsia="sk-SK"/>
              </w:rPr>
              <w:t xml:space="preserve">1in2out </w:t>
            </w:r>
            <w:r w:rsidRPr="00F16F66">
              <w:rPr>
                <w:rFonts w:ascii="Times New Roman" w:eastAsia="Times New Roman" w:hAnsi="Times New Roman" w:cs="Times New Roman"/>
                <w:b/>
                <w:bCs/>
                <w:color w:val="000000"/>
                <w:sz w:val="20"/>
                <w:szCs w:val="20"/>
                <w:lang w:eastAsia="sk-SK"/>
              </w:rPr>
              <w:br/>
              <w:t>celkom</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B81A868" w14:textId="77777777" w:rsidR="00F16F66" w:rsidRPr="00F16F66" w:rsidRDefault="00F16F66" w:rsidP="00F16F66">
            <w:pPr>
              <w:spacing w:after="0" w:line="240" w:lineRule="auto"/>
              <w:jc w:val="center"/>
              <w:rPr>
                <w:rFonts w:ascii="Times New Roman" w:eastAsia="Times New Roman" w:hAnsi="Times New Roman" w:cs="Times New Roman"/>
                <w:b/>
                <w:bCs/>
                <w:color w:val="000000"/>
                <w:sz w:val="20"/>
                <w:szCs w:val="20"/>
                <w:lang w:eastAsia="sk-SK"/>
              </w:rPr>
            </w:pPr>
            <w:r w:rsidRPr="00F16F66">
              <w:rPr>
                <w:rFonts w:ascii="Times New Roman" w:eastAsia="Times New Roman" w:hAnsi="Times New Roman" w:cs="Times New Roman"/>
                <w:b/>
                <w:bCs/>
                <w:color w:val="000000"/>
                <w:sz w:val="20"/>
                <w:szCs w:val="20"/>
                <w:lang w:eastAsia="sk-SK"/>
              </w:rPr>
              <w:t>Goldplating celkom</w:t>
            </w:r>
          </w:p>
        </w:tc>
      </w:tr>
      <w:tr w:rsidR="00F16F66" w:rsidRPr="00F16F66" w14:paraId="63B6028E" w14:textId="77777777" w:rsidTr="00F16F66">
        <w:trPr>
          <w:trHeight w:val="255"/>
        </w:trPr>
        <w:tc>
          <w:tcPr>
            <w:tcW w:w="528" w:type="dxa"/>
            <w:vMerge/>
            <w:tcBorders>
              <w:top w:val="single" w:sz="4" w:space="0" w:color="auto"/>
              <w:left w:val="single" w:sz="4" w:space="0" w:color="auto"/>
              <w:bottom w:val="single" w:sz="4" w:space="0" w:color="auto"/>
              <w:right w:val="single" w:sz="4" w:space="0" w:color="auto"/>
            </w:tcBorders>
            <w:vAlign w:val="center"/>
            <w:hideMark/>
          </w:tcPr>
          <w:p w14:paraId="61C01A5F" w14:textId="77777777" w:rsidR="00F16F66" w:rsidRPr="00F16F66" w:rsidRDefault="00F16F66" w:rsidP="00F16F66">
            <w:pPr>
              <w:spacing w:after="0" w:line="240" w:lineRule="auto"/>
              <w:rPr>
                <w:rFonts w:ascii="Times New Roman" w:eastAsia="Times New Roman" w:hAnsi="Times New Roman" w:cs="Times New Roman"/>
                <w:b/>
                <w:bCs/>
                <w:color w:val="000000"/>
                <w:sz w:val="20"/>
                <w:szCs w:val="20"/>
                <w:lang w:eastAsia="sk-SK"/>
              </w:rPr>
            </w:pPr>
          </w:p>
        </w:tc>
        <w:tc>
          <w:tcPr>
            <w:tcW w:w="2098" w:type="dxa"/>
            <w:vMerge/>
            <w:tcBorders>
              <w:top w:val="single" w:sz="4" w:space="0" w:color="auto"/>
              <w:left w:val="single" w:sz="4" w:space="0" w:color="auto"/>
              <w:bottom w:val="single" w:sz="4" w:space="0" w:color="auto"/>
              <w:right w:val="single" w:sz="4" w:space="0" w:color="auto"/>
            </w:tcBorders>
            <w:vAlign w:val="center"/>
            <w:hideMark/>
          </w:tcPr>
          <w:p w14:paraId="21C08CB3" w14:textId="77777777" w:rsidR="00F16F66" w:rsidRPr="00F16F66" w:rsidRDefault="00F16F66" w:rsidP="00F16F66">
            <w:pPr>
              <w:spacing w:after="0" w:line="240" w:lineRule="auto"/>
              <w:rPr>
                <w:rFonts w:ascii="Times New Roman" w:eastAsia="Times New Roman" w:hAnsi="Times New Roman" w:cs="Times New Roman"/>
                <w:b/>
                <w:bCs/>
                <w:color w:val="000000"/>
                <w:sz w:val="20"/>
                <w:szCs w:val="20"/>
                <w:lang w:eastAsia="sk-SK"/>
              </w:rPr>
            </w:pPr>
          </w:p>
        </w:tc>
        <w:tc>
          <w:tcPr>
            <w:tcW w:w="1266" w:type="dxa"/>
            <w:vMerge/>
            <w:tcBorders>
              <w:top w:val="single" w:sz="4" w:space="0" w:color="auto"/>
              <w:left w:val="single" w:sz="4" w:space="0" w:color="auto"/>
              <w:bottom w:val="single" w:sz="4" w:space="0" w:color="000000"/>
              <w:right w:val="single" w:sz="4" w:space="0" w:color="auto"/>
            </w:tcBorders>
            <w:vAlign w:val="center"/>
            <w:hideMark/>
          </w:tcPr>
          <w:p w14:paraId="72E26EDD" w14:textId="77777777" w:rsidR="00F16F66" w:rsidRPr="00F16F66" w:rsidRDefault="00F16F66" w:rsidP="00F16F66">
            <w:pPr>
              <w:spacing w:after="0" w:line="240" w:lineRule="auto"/>
              <w:rPr>
                <w:rFonts w:ascii="Times New Roman" w:eastAsia="Times New Roman" w:hAnsi="Times New Roman" w:cs="Times New Roman"/>
                <w:b/>
                <w:bCs/>
                <w:color w:val="000000"/>
                <w:sz w:val="20"/>
                <w:szCs w:val="20"/>
                <w:lang w:eastAsia="sk-SK"/>
              </w:rPr>
            </w:pPr>
          </w:p>
        </w:tc>
        <w:tc>
          <w:tcPr>
            <w:tcW w:w="1435" w:type="dxa"/>
            <w:vMerge/>
            <w:tcBorders>
              <w:top w:val="single" w:sz="4" w:space="0" w:color="auto"/>
              <w:left w:val="single" w:sz="4" w:space="0" w:color="auto"/>
              <w:bottom w:val="single" w:sz="4" w:space="0" w:color="000000"/>
              <w:right w:val="single" w:sz="4" w:space="0" w:color="auto"/>
            </w:tcBorders>
            <w:vAlign w:val="center"/>
            <w:hideMark/>
          </w:tcPr>
          <w:p w14:paraId="73C40B32" w14:textId="77777777" w:rsidR="00F16F66" w:rsidRPr="00F16F66" w:rsidRDefault="00F16F66" w:rsidP="00F16F66">
            <w:pPr>
              <w:spacing w:after="0" w:line="240" w:lineRule="auto"/>
              <w:rPr>
                <w:rFonts w:ascii="Times New Roman" w:eastAsia="Times New Roman" w:hAnsi="Times New Roman" w:cs="Times New Roman"/>
                <w:b/>
                <w:bCs/>
                <w:color w:val="000000"/>
                <w:sz w:val="20"/>
                <w:szCs w:val="20"/>
                <w:lang w:eastAsia="sk-SK"/>
              </w:rPr>
            </w:pPr>
          </w:p>
        </w:tc>
        <w:tc>
          <w:tcPr>
            <w:tcW w:w="1258" w:type="dxa"/>
            <w:vMerge/>
            <w:tcBorders>
              <w:top w:val="single" w:sz="4" w:space="0" w:color="auto"/>
              <w:left w:val="single" w:sz="4" w:space="0" w:color="auto"/>
              <w:bottom w:val="single" w:sz="4" w:space="0" w:color="auto"/>
              <w:right w:val="single" w:sz="4" w:space="0" w:color="auto"/>
            </w:tcBorders>
            <w:vAlign w:val="center"/>
            <w:hideMark/>
          </w:tcPr>
          <w:p w14:paraId="42EE6132" w14:textId="77777777" w:rsidR="00F16F66" w:rsidRPr="00F16F66" w:rsidRDefault="00F16F66" w:rsidP="00F16F66">
            <w:pPr>
              <w:spacing w:after="0" w:line="240" w:lineRule="auto"/>
              <w:rPr>
                <w:rFonts w:ascii="Times New Roman" w:eastAsia="Times New Roman" w:hAnsi="Times New Roman" w:cs="Times New Roman"/>
                <w:b/>
                <w:bCs/>
                <w:color w:val="000000"/>
                <w:sz w:val="20"/>
                <w:szCs w:val="20"/>
                <w:lang w:eastAsia="sk-SK"/>
              </w:rPr>
            </w:pPr>
          </w:p>
        </w:tc>
        <w:tc>
          <w:tcPr>
            <w:tcW w:w="933" w:type="dxa"/>
            <w:vMerge/>
            <w:tcBorders>
              <w:top w:val="single" w:sz="4" w:space="0" w:color="auto"/>
              <w:left w:val="single" w:sz="4" w:space="0" w:color="auto"/>
              <w:bottom w:val="single" w:sz="4" w:space="0" w:color="auto"/>
              <w:right w:val="single" w:sz="4" w:space="0" w:color="auto"/>
            </w:tcBorders>
            <w:vAlign w:val="center"/>
            <w:hideMark/>
          </w:tcPr>
          <w:p w14:paraId="4E138185" w14:textId="77777777" w:rsidR="00F16F66" w:rsidRPr="00F16F66" w:rsidRDefault="00F16F66" w:rsidP="00F16F66">
            <w:pPr>
              <w:spacing w:after="0" w:line="240" w:lineRule="auto"/>
              <w:rPr>
                <w:rFonts w:ascii="Times New Roman" w:eastAsia="Times New Roman" w:hAnsi="Times New Roman" w:cs="Times New Roman"/>
                <w:b/>
                <w:bCs/>
                <w:color w:val="000000"/>
                <w:sz w:val="20"/>
                <w:szCs w:val="20"/>
                <w:lang w:eastAsia="sk-SK"/>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14:paraId="5D5CBAA9" w14:textId="77777777" w:rsidR="00F16F66" w:rsidRPr="00F16F66" w:rsidRDefault="00F16F66" w:rsidP="00F16F66">
            <w:pPr>
              <w:spacing w:after="0" w:line="240" w:lineRule="auto"/>
              <w:rPr>
                <w:rFonts w:ascii="Times New Roman" w:eastAsia="Times New Roman" w:hAnsi="Times New Roman" w:cs="Times New Roman"/>
                <w:b/>
                <w:bCs/>
                <w:color w:val="000000"/>
                <w:sz w:val="20"/>
                <w:szCs w:val="20"/>
                <w:lang w:eastAsia="sk-SK"/>
              </w:rPr>
            </w:pPr>
          </w:p>
        </w:tc>
        <w:tc>
          <w:tcPr>
            <w:tcW w:w="973" w:type="dxa"/>
            <w:vMerge/>
            <w:tcBorders>
              <w:top w:val="single" w:sz="4" w:space="0" w:color="auto"/>
              <w:left w:val="single" w:sz="4" w:space="0" w:color="auto"/>
              <w:bottom w:val="single" w:sz="4" w:space="0" w:color="auto"/>
              <w:right w:val="single" w:sz="4" w:space="0" w:color="auto"/>
            </w:tcBorders>
            <w:vAlign w:val="center"/>
            <w:hideMark/>
          </w:tcPr>
          <w:p w14:paraId="4971BC16" w14:textId="77777777" w:rsidR="00F16F66" w:rsidRPr="00F16F66" w:rsidRDefault="00F16F66" w:rsidP="00F16F66">
            <w:pPr>
              <w:spacing w:after="0" w:line="240" w:lineRule="auto"/>
              <w:rPr>
                <w:rFonts w:ascii="Times New Roman" w:eastAsia="Times New Roman" w:hAnsi="Times New Roman" w:cs="Times New Roman"/>
                <w:b/>
                <w:bCs/>
                <w:color w:val="000000"/>
                <w:sz w:val="20"/>
                <w:szCs w:val="20"/>
                <w:lang w:eastAsia="sk-SK"/>
              </w:rPr>
            </w:pPr>
          </w:p>
        </w:tc>
        <w:tc>
          <w:tcPr>
            <w:tcW w:w="704" w:type="dxa"/>
            <w:vMerge/>
            <w:tcBorders>
              <w:top w:val="single" w:sz="4" w:space="0" w:color="auto"/>
              <w:left w:val="single" w:sz="4" w:space="0" w:color="auto"/>
              <w:bottom w:val="single" w:sz="4" w:space="0" w:color="auto"/>
              <w:right w:val="single" w:sz="4" w:space="0" w:color="auto"/>
            </w:tcBorders>
            <w:vAlign w:val="center"/>
            <w:hideMark/>
          </w:tcPr>
          <w:p w14:paraId="2B4977E7" w14:textId="77777777" w:rsidR="00F16F66" w:rsidRPr="00F16F66" w:rsidRDefault="00F16F66" w:rsidP="00F16F66">
            <w:pPr>
              <w:spacing w:after="0" w:line="240" w:lineRule="auto"/>
              <w:rPr>
                <w:rFonts w:ascii="Times New Roman" w:eastAsia="Times New Roman" w:hAnsi="Times New Roman" w:cs="Times New Roman"/>
                <w:b/>
                <w:bCs/>
                <w:color w:val="000000"/>
                <w:sz w:val="20"/>
                <w:szCs w:val="20"/>
                <w:lang w:eastAsia="sk-SK"/>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14:paraId="3C899F93" w14:textId="77777777" w:rsidR="00F16F66" w:rsidRPr="00F16F66" w:rsidRDefault="00F16F66" w:rsidP="00F16F66">
            <w:pPr>
              <w:spacing w:after="0" w:line="240" w:lineRule="auto"/>
              <w:rPr>
                <w:rFonts w:ascii="Times New Roman" w:eastAsia="Times New Roman" w:hAnsi="Times New Roman" w:cs="Times New Roman"/>
                <w:b/>
                <w:bCs/>
                <w:color w:val="000000"/>
                <w:sz w:val="20"/>
                <w:szCs w:val="20"/>
                <w:lang w:eastAsia="sk-SK"/>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06BBAF42" w14:textId="77777777" w:rsidR="00F16F66" w:rsidRPr="00F16F66" w:rsidRDefault="00F16F66" w:rsidP="00F16F66">
            <w:pPr>
              <w:spacing w:after="0" w:line="240" w:lineRule="auto"/>
              <w:rPr>
                <w:rFonts w:ascii="Times New Roman" w:eastAsia="Times New Roman" w:hAnsi="Times New Roman" w:cs="Times New Roman"/>
                <w:b/>
                <w:bCs/>
                <w:color w:val="000000"/>
                <w:sz w:val="20"/>
                <w:szCs w:val="20"/>
                <w:lang w:eastAsia="sk-SK"/>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693F3D2F" w14:textId="77777777" w:rsidR="00F16F66" w:rsidRPr="00F16F66" w:rsidRDefault="00F16F66" w:rsidP="00F16F66">
            <w:pPr>
              <w:spacing w:after="0" w:line="240" w:lineRule="auto"/>
              <w:rPr>
                <w:rFonts w:ascii="Times New Roman" w:eastAsia="Times New Roman" w:hAnsi="Times New Roman" w:cs="Times New Roman"/>
                <w:b/>
                <w:bCs/>
                <w:color w:val="000000"/>
                <w:sz w:val="20"/>
                <w:szCs w:val="20"/>
                <w:lang w:eastAsia="sk-SK"/>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3A1B157B" w14:textId="77777777" w:rsidR="00F16F66" w:rsidRPr="00F16F66" w:rsidRDefault="00F16F66" w:rsidP="00F16F66">
            <w:pPr>
              <w:spacing w:after="0" w:line="240" w:lineRule="auto"/>
              <w:rPr>
                <w:rFonts w:ascii="Times New Roman" w:eastAsia="Times New Roman" w:hAnsi="Times New Roman" w:cs="Times New Roman"/>
                <w:b/>
                <w:bCs/>
                <w:color w:val="000000"/>
                <w:sz w:val="20"/>
                <w:szCs w:val="20"/>
                <w:lang w:eastAsia="sk-SK"/>
              </w:rPr>
            </w:pPr>
          </w:p>
        </w:tc>
        <w:tc>
          <w:tcPr>
            <w:tcW w:w="160" w:type="dxa"/>
            <w:tcBorders>
              <w:top w:val="nil"/>
              <w:left w:val="nil"/>
              <w:bottom w:val="nil"/>
              <w:right w:val="nil"/>
            </w:tcBorders>
            <w:shd w:val="clear" w:color="auto" w:fill="auto"/>
            <w:noWrap/>
            <w:vAlign w:val="bottom"/>
            <w:hideMark/>
          </w:tcPr>
          <w:p w14:paraId="3C13EE9E" w14:textId="77777777" w:rsidR="00F16F66" w:rsidRPr="00F16F66" w:rsidRDefault="00F16F66" w:rsidP="00F16F66">
            <w:pPr>
              <w:spacing w:after="0" w:line="240" w:lineRule="auto"/>
              <w:jc w:val="center"/>
              <w:rPr>
                <w:rFonts w:ascii="Times New Roman" w:eastAsia="Times New Roman" w:hAnsi="Times New Roman" w:cs="Times New Roman"/>
                <w:b/>
                <w:bCs/>
                <w:color w:val="000000"/>
                <w:sz w:val="20"/>
                <w:szCs w:val="20"/>
                <w:lang w:eastAsia="sk-SK"/>
              </w:rPr>
            </w:pPr>
          </w:p>
        </w:tc>
      </w:tr>
      <w:tr w:rsidR="00F16F66" w:rsidRPr="00F16F66" w14:paraId="50CF2D37" w14:textId="77777777" w:rsidTr="00F16F66">
        <w:trPr>
          <w:trHeight w:val="255"/>
        </w:trPr>
        <w:tc>
          <w:tcPr>
            <w:tcW w:w="528" w:type="dxa"/>
            <w:vMerge/>
            <w:tcBorders>
              <w:top w:val="single" w:sz="4" w:space="0" w:color="auto"/>
              <w:left w:val="single" w:sz="4" w:space="0" w:color="auto"/>
              <w:bottom w:val="single" w:sz="4" w:space="0" w:color="auto"/>
              <w:right w:val="single" w:sz="4" w:space="0" w:color="auto"/>
            </w:tcBorders>
            <w:vAlign w:val="center"/>
            <w:hideMark/>
          </w:tcPr>
          <w:p w14:paraId="588CF5A6" w14:textId="77777777" w:rsidR="00F16F66" w:rsidRPr="00F16F66" w:rsidRDefault="00F16F66" w:rsidP="00F16F66">
            <w:pPr>
              <w:spacing w:after="0" w:line="240" w:lineRule="auto"/>
              <w:rPr>
                <w:rFonts w:ascii="Times New Roman" w:eastAsia="Times New Roman" w:hAnsi="Times New Roman" w:cs="Times New Roman"/>
                <w:b/>
                <w:bCs/>
                <w:color w:val="000000"/>
                <w:sz w:val="20"/>
                <w:szCs w:val="20"/>
                <w:lang w:eastAsia="sk-SK"/>
              </w:rPr>
            </w:pPr>
          </w:p>
        </w:tc>
        <w:tc>
          <w:tcPr>
            <w:tcW w:w="2098" w:type="dxa"/>
            <w:vMerge/>
            <w:tcBorders>
              <w:top w:val="single" w:sz="4" w:space="0" w:color="auto"/>
              <w:left w:val="single" w:sz="4" w:space="0" w:color="auto"/>
              <w:bottom w:val="single" w:sz="4" w:space="0" w:color="auto"/>
              <w:right w:val="single" w:sz="4" w:space="0" w:color="auto"/>
            </w:tcBorders>
            <w:vAlign w:val="center"/>
            <w:hideMark/>
          </w:tcPr>
          <w:p w14:paraId="32B8C902" w14:textId="77777777" w:rsidR="00F16F66" w:rsidRPr="00F16F66" w:rsidRDefault="00F16F66" w:rsidP="00F16F66">
            <w:pPr>
              <w:spacing w:after="0" w:line="240" w:lineRule="auto"/>
              <w:rPr>
                <w:rFonts w:ascii="Times New Roman" w:eastAsia="Times New Roman" w:hAnsi="Times New Roman" w:cs="Times New Roman"/>
                <w:b/>
                <w:bCs/>
                <w:color w:val="000000"/>
                <w:sz w:val="20"/>
                <w:szCs w:val="20"/>
                <w:lang w:eastAsia="sk-SK"/>
              </w:rPr>
            </w:pPr>
          </w:p>
        </w:tc>
        <w:tc>
          <w:tcPr>
            <w:tcW w:w="1266" w:type="dxa"/>
            <w:vMerge/>
            <w:tcBorders>
              <w:top w:val="single" w:sz="4" w:space="0" w:color="auto"/>
              <w:left w:val="single" w:sz="4" w:space="0" w:color="auto"/>
              <w:bottom w:val="single" w:sz="4" w:space="0" w:color="000000"/>
              <w:right w:val="single" w:sz="4" w:space="0" w:color="auto"/>
            </w:tcBorders>
            <w:vAlign w:val="center"/>
            <w:hideMark/>
          </w:tcPr>
          <w:p w14:paraId="7604142F" w14:textId="77777777" w:rsidR="00F16F66" w:rsidRPr="00F16F66" w:rsidRDefault="00F16F66" w:rsidP="00F16F66">
            <w:pPr>
              <w:spacing w:after="0" w:line="240" w:lineRule="auto"/>
              <w:rPr>
                <w:rFonts w:ascii="Times New Roman" w:eastAsia="Times New Roman" w:hAnsi="Times New Roman" w:cs="Times New Roman"/>
                <w:b/>
                <w:bCs/>
                <w:color w:val="000000"/>
                <w:sz w:val="20"/>
                <w:szCs w:val="20"/>
                <w:lang w:eastAsia="sk-SK"/>
              </w:rPr>
            </w:pPr>
          </w:p>
        </w:tc>
        <w:tc>
          <w:tcPr>
            <w:tcW w:w="1435" w:type="dxa"/>
            <w:vMerge/>
            <w:tcBorders>
              <w:top w:val="single" w:sz="4" w:space="0" w:color="auto"/>
              <w:left w:val="single" w:sz="4" w:space="0" w:color="auto"/>
              <w:bottom w:val="single" w:sz="4" w:space="0" w:color="000000"/>
              <w:right w:val="single" w:sz="4" w:space="0" w:color="auto"/>
            </w:tcBorders>
            <w:vAlign w:val="center"/>
            <w:hideMark/>
          </w:tcPr>
          <w:p w14:paraId="158753B3" w14:textId="77777777" w:rsidR="00F16F66" w:rsidRPr="00F16F66" w:rsidRDefault="00F16F66" w:rsidP="00F16F66">
            <w:pPr>
              <w:spacing w:after="0" w:line="240" w:lineRule="auto"/>
              <w:rPr>
                <w:rFonts w:ascii="Times New Roman" w:eastAsia="Times New Roman" w:hAnsi="Times New Roman" w:cs="Times New Roman"/>
                <w:b/>
                <w:bCs/>
                <w:color w:val="000000"/>
                <w:sz w:val="20"/>
                <w:szCs w:val="20"/>
                <w:lang w:eastAsia="sk-SK"/>
              </w:rPr>
            </w:pPr>
          </w:p>
        </w:tc>
        <w:tc>
          <w:tcPr>
            <w:tcW w:w="1258" w:type="dxa"/>
            <w:vMerge/>
            <w:tcBorders>
              <w:top w:val="single" w:sz="4" w:space="0" w:color="auto"/>
              <w:left w:val="single" w:sz="4" w:space="0" w:color="auto"/>
              <w:bottom w:val="single" w:sz="4" w:space="0" w:color="auto"/>
              <w:right w:val="single" w:sz="4" w:space="0" w:color="auto"/>
            </w:tcBorders>
            <w:vAlign w:val="center"/>
            <w:hideMark/>
          </w:tcPr>
          <w:p w14:paraId="03A2C0FD" w14:textId="77777777" w:rsidR="00F16F66" w:rsidRPr="00F16F66" w:rsidRDefault="00F16F66" w:rsidP="00F16F66">
            <w:pPr>
              <w:spacing w:after="0" w:line="240" w:lineRule="auto"/>
              <w:rPr>
                <w:rFonts w:ascii="Times New Roman" w:eastAsia="Times New Roman" w:hAnsi="Times New Roman" w:cs="Times New Roman"/>
                <w:b/>
                <w:bCs/>
                <w:color w:val="000000"/>
                <w:sz w:val="20"/>
                <w:szCs w:val="20"/>
                <w:lang w:eastAsia="sk-SK"/>
              </w:rPr>
            </w:pPr>
          </w:p>
        </w:tc>
        <w:tc>
          <w:tcPr>
            <w:tcW w:w="933" w:type="dxa"/>
            <w:vMerge/>
            <w:tcBorders>
              <w:top w:val="single" w:sz="4" w:space="0" w:color="auto"/>
              <w:left w:val="single" w:sz="4" w:space="0" w:color="auto"/>
              <w:bottom w:val="single" w:sz="4" w:space="0" w:color="auto"/>
              <w:right w:val="single" w:sz="4" w:space="0" w:color="auto"/>
            </w:tcBorders>
            <w:vAlign w:val="center"/>
            <w:hideMark/>
          </w:tcPr>
          <w:p w14:paraId="15D25DEA" w14:textId="77777777" w:rsidR="00F16F66" w:rsidRPr="00F16F66" w:rsidRDefault="00F16F66" w:rsidP="00F16F66">
            <w:pPr>
              <w:spacing w:after="0" w:line="240" w:lineRule="auto"/>
              <w:rPr>
                <w:rFonts w:ascii="Times New Roman" w:eastAsia="Times New Roman" w:hAnsi="Times New Roman" w:cs="Times New Roman"/>
                <w:b/>
                <w:bCs/>
                <w:color w:val="000000"/>
                <w:sz w:val="20"/>
                <w:szCs w:val="20"/>
                <w:lang w:eastAsia="sk-SK"/>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14:paraId="42698FBB" w14:textId="77777777" w:rsidR="00F16F66" w:rsidRPr="00F16F66" w:rsidRDefault="00F16F66" w:rsidP="00F16F66">
            <w:pPr>
              <w:spacing w:after="0" w:line="240" w:lineRule="auto"/>
              <w:rPr>
                <w:rFonts w:ascii="Times New Roman" w:eastAsia="Times New Roman" w:hAnsi="Times New Roman" w:cs="Times New Roman"/>
                <w:b/>
                <w:bCs/>
                <w:color w:val="000000"/>
                <w:sz w:val="20"/>
                <w:szCs w:val="20"/>
                <w:lang w:eastAsia="sk-SK"/>
              </w:rPr>
            </w:pPr>
          </w:p>
        </w:tc>
        <w:tc>
          <w:tcPr>
            <w:tcW w:w="973" w:type="dxa"/>
            <w:vMerge/>
            <w:tcBorders>
              <w:top w:val="single" w:sz="4" w:space="0" w:color="auto"/>
              <w:left w:val="single" w:sz="4" w:space="0" w:color="auto"/>
              <w:bottom w:val="single" w:sz="4" w:space="0" w:color="auto"/>
              <w:right w:val="single" w:sz="4" w:space="0" w:color="auto"/>
            </w:tcBorders>
            <w:vAlign w:val="center"/>
            <w:hideMark/>
          </w:tcPr>
          <w:p w14:paraId="66BBDBD6" w14:textId="77777777" w:rsidR="00F16F66" w:rsidRPr="00F16F66" w:rsidRDefault="00F16F66" w:rsidP="00F16F66">
            <w:pPr>
              <w:spacing w:after="0" w:line="240" w:lineRule="auto"/>
              <w:rPr>
                <w:rFonts w:ascii="Times New Roman" w:eastAsia="Times New Roman" w:hAnsi="Times New Roman" w:cs="Times New Roman"/>
                <w:b/>
                <w:bCs/>
                <w:color w:val="000000"/>
                <w:sz w:val="20"/>
                <w:szCs w:val="20"/>
                <w:lang w:eastAsia="sk-SK"/>
              </w:rPr>
            </w:pPr>
          </w:p>
        </w:tc>
        <w:tc>
          <w:tcPr>
            <w:tcW w:w="704" w:type="dxa"/>
            <w:vMerge/>
            <w:tcBorders>
              <w:top w:val="single" w:sz="4" w:space="0" w:color="auto"/>
              <w:left w:val="single" w:sz="4" w:space="0" w:color="auto"/>
              <w:bottom w:val="single" w:sz="4" w:space="0" w:color="auto"/>
              <w:right w:val="single" w:sz="4" w:space="0" w:color="auto"/>
            </w:tcBorders>
            <w:vAlign w:val="center"/>
            <w:hideMark/>
          </w:tcPr>
          <w:p w14:paraId="4FED97F4" w14:textId="77777777" w:rsidR="00F16F66" w:rsidRPr="00F16F66" w:rsidRDefault="00F16F66" w:rsidP="00F16F66">
            <w:pPr>
              <w:spacing w:after="0" w:line="240" w:lineRule="auto"/>
              <w:rPr>
                <w:rFonts w:ascii="Times New Roman" w:eastAsia="Times New Roman" w:hAnsi="Times New Roman" w:cs="Times New Roman"/>
                <w:b/>
                <w:bCs/>
                <w:color w:val="000000"/>
                <w:sz w:val="20"/>
                <w:szCs w:val="20"/>
                <w:lang w:eastAsia="sk-SK"/>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14:paraId="68EB451A" w14:textId="77777777" w:rsidR="00F16F66" w:rsidRPr="00F16F66" w:rsidRDefault="00F16F66" w:rsidP="00F16F66">
            <w:pPr>
              <w:spacing w:after="0" w:line="240" w:lineRule="auto"/>
              <w:rPr>
                <w:rFonts w:ascii="Times New Roman" w:eastAsia="Times New Roman" w:hAnsi="Times New Roman" w:cs="Times New Roman"/>
                <w:b/>
                <w:bCs/>
                <w:color w:val="000000"/>
                <w:sz w:val="20"/>
                <w:szCs w:val="20"/>
                <w:lang w:eastAsia="sk-SK"/>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24C6F201" w14:textId="77777777" w:rsidR="00F16F66" w:rsidRPr="00F16F66" w:rsidRDefault="00F16F66" w:rsidP="00F16F66">
            <w:pPr>
              <w:spacing w:after="0" w:line="240" w:lineRule="auto"/>
              <w:rPr>
                <w:rFonts w:ascii="Times New Roman" w:eastAsia="Times New Roman" w:hAnsi="Times New Roman" w:cs="Times New Roman"/>
                <w:b/>
                <w:bCs/>
                <w:color w:val="000000"/>
                <w:sz w:val="20"/>
                <w:szCs w:val="20"/>
                <w:lang w:eastAsia="sk-SK"/>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7F3ED7FE" w14:textId="77777777" w:rsidR="00F16F66" w:rsidRPr="00F16F66" w:rsidRDefault="00F16F66" w:rsidP="00F16F66">
            <w:pPr>
              <w:spacing w:after="0" w:line="240" w:lineRule="auto"/>
              <w:rPr>
                <w:rFonts w:ascii="Times New Roman" w:eastAsia="Times New Roman" w:hAnsi="Times New Roman" w:cs="Times New Roman"/>
                <w:b/>
                <w:bCs/>
                <w:color w:val="000000"/>
                <w:sz w:val="20"/>
                <w:szCs w:val="20"/>
                <w:lang w:eastAsia="sk-SK"/>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28F11DFE" w14:textId="77777777" w:rsidR="00F16F66" w:rsidRPr="00F16F66" w:rsidRDefault="00F16F66" w:rsidP="00F16F66">
            <w:pPr>
              <w:spacing w:after="0" w:line="240" w:lineRule="auto"/>
              <w:rPr>
                <w:rFonts w:ascii="Times New Roman" w:eastAsia="Times New Roman" w:hAnsi="Times New Roman" w:cs="Times New Roman"/>
                <w:b/>
                <w:bCs/>
                <w:color w:val="000000"/>
                <w:sz w:val="20"/>
                <w:szCs w:val="20"/>
                <w:lang w:eastAsia="sk-SK"/>
              </w:rPr>
            </w:pPr>
          </w:p>
        </w:tc>
        <w:tc>
          <w:tcPr>
            <w:tcW w:w="160" w:type="dxa"/>
            <w:tcBorders>
              <w:top w:val="nil"/>
              <w:left w:val="nil"/>
              <w:bottom w:val="nil"/>
              <w:right w:val="nil"/>
            </w:tcBorders>
            <w:shd w:val="clear" w:color="auto" w:fill="auto"/>
            <w:noWrap/>
            <w:vAlign w:val="bottom"/>
            <w:hideMark/>
          </w:tcPr>
          <w:p w14:paraId="45185059" w14:textId="77777777" w:rsidR="00F16F66" w:rsidRPr="00F16F66" w:rsidRDefault="00F16F66" w:rsidP="00F16F66">
            <w:pPr>
              <w:spacing w:after="0" w:line="240" w:lineRule="auto"/>
              <w:rPr>
                <w:rFonts w:ascii="Times New Roman" w:eastAsia="Times New Roman" w:hAnsi="Times New Roman" w:cs="Times New Roman"/>
                <w:sz w:val="20"/>
                <w:szCs w:val="20"/>
                <w:lang w:eastAsia="sk-SK"/>
              </w:rPr>
            </w:pPr>
          </w:p>
        </w:tc>
      </w:tr>
      <w:tr w:rsidR="00F16F66" w:rsidRPr="00F16F66" w14:paraId="6258A503" w14:textId="77777777" w:rsidTr="00F16F66">
        <w:trPr>
          <w:trHeight w:val="255"/>
        </w:trPr>
        <w:tc>
          <w:tcPr>
            <w:tcW w:w="528" w:type="dxa"/>
            <w:vMerge/>
            <w:tcBorders>
              <w:top w:val="single" w:sz="4" w:space="0" w:color="auto"/>
              <w:left w:val="single" w:sz="4" w:space="0" w:color="auto"/>
              <w:bottom w:val="single" w:sz="4" w:space="0" w:color="auto"/>
              <w:right w:val="single" w:sz="4" w:space="0" w:color="auto"/>
            </w:tcBorders>
            <w:vAlign w:val="center"/>
            <w:hideMark/>
          </w:tcPr>
          <w:p w14:paraId="37066A60" w14:textId="77777777" w:rsidR="00F16F66" w:rsidRPr="00F16F66" w:rsidRDefault="00F16F66" w:rsidP="00F16F66">
            <w:pPr>
              <w:spacing w:after="0" w:line="240" w:lineRule="auto"/>
              <w:rPr>
                <w:rFonts w:ascii="Times New Roman" w:eastAsia="Times New Roman" w:hAnsi="Times New Roman" w:cs="Times New Roman"/>
                <w:b/>
                <w:bCs/>
                <w:color w:val="000000"/>
                <w:sz w:val="20"/>
                <w:szCs w:val="20"/>
                <w:lang w:eastAsia="sk-SK"/>
              </w:rPr>
            </w:pPr>
          </w:p>
        </w:tc>
        <w:tc>
          <w:tcPr>
            <w:tcW w:w="2098" w:type="dxa"/>
            <w:vMerge/>
            <w:tcBorders>
              <w:top w:val="single" w:sz="4" w:space="0" w:color="auto"/>
              <w:left w:val="single" w:sz="4" w:space="0" w:color="auto"/>
              <w:bottom w:val="single" w:sz="4" w:space="0" w:color="auto"/>
              <w:right w:val="single" w:sz="4" w:space="0" w:color="auto"/>
            </w:tcBorders>
            <w:vAlign w:val="center"/>
            <w:hideMark/>
          </w:tcPr>
          <w:p w14:paraId="0C2BC516" w14:textId="77777777" w:rsidR="00F16F66" w:rsidRPr="00F16F66" w:rsidRDefault="00F16F66" w:rsidP="00F16F66">
            <w:pPr>
              <w:spacing w:after="0" w:line="240" w:lineRule="auto"/>
              <w:rPr>
                <w:rFonts w:ascii="Times New Roman" w:eastAsia="Times New Roman" w:hAnsi="Times New Roman" w:cs="Times New Roman"/>
                <w:b/>
                <w:bCs/>
                <w:color w:val="000000"/>
                <w:sz w:val="20"/>
                <w:szCs w:val="20"/>
                <w:lang w:eastAsia="sk-SK"/>
              </w:rPr>
            </w:pPr>
          </w:p>
        </w:tc>
        <w:tc>
          <w:tcPr>
            <w:tcW w:w="1266" w:type="dxa"/>
            <w:vMerge/>
            <w:tcBorders>
              <w:top w:val="single" w:sz="4" w:space="0" w:color="auto"/>
              <w:left w:val="single" w:sz="4" w:space="0" w:color="auto"/>
              <w:bottom w:val="single" w:sz="4" w:space="0" w:color="000000"/>
              <w:right w:val="single" w:sz="4" w:space="0" w:color="auto"/>
            </w:tcBorders>
            <w:vAlign w:val="center"/>
            <w:hideMark/>
          </w:tcPr>
          <w:p w14:paraId="0634992A" w14:textId="77777777" w:rsidR="00F16F66" w:rsidRPr="00F16F66" w:rsidRDefault="00F16F66" w:rsidP="00F16F66">
            <w:pPr>
              <w:spacing w:after="0" w:line="240" w:lineRule="auto"/>
              <w:rPr>
                <w:rFonts w:ascii="Times New Roman" w:eastAsia="Times New Roman" w:hAnsi="Times New Roman" w:cs="Times New Roman"/>
                <w:b/>
                <w:bCs/>
                <w:color w:val="000000"/>
                <w:sz w:val="20"/>
                <w:szCs w:val="20"/>
                <w:lang w:eastAsia="sk-SK"/>
              </w:rPr>
            </w:pPr>
          </w:p>
        </w:tc>
        <w:tc>
          <w:tcPr>
            <w:tcW w:w="1435" w:type="dxa"/>
            <w:vMerge/>
            <w:tcBorders>
              <w:top w:val="single" w:sz="4" w:space="0" w:color="auto"/>
              <w:left w:val="single" w:sz="4" w:space="0" w:color="auto"/>
              <w:bottom w:val="single" w:sz="4" w:space="0" w:color="000000"/>
              <w:right w:val="single" w:sz="4" w:space="0" w:color="auto"/>
            </w:tcBorders>
            <w:vAlign w:val="center"/>
            <w:hideMark/>
          </w:tcPr>
          <w:p w14:paraId="2AE48E44" w14:textId="77777777" w:rsidR="00F16F66" w:rsidRPr="00F16F66" w:rsidRDefault="00F16F66" w:rsidP="00F16F66">
            <w:pPr>
              <w:spacing w:after="0" w:line="240" w:lineRule="auto"/>
              <w:rPr>
                <w:rFonts w:ascii="Times New Roman" w:eastAsia="Times New Roman" w:hAnsi="Times New Roman" w:cs="Times New Roman"/>
                <w:b/>
                <w:bCs/>
                <w:color w:val="000000"/>
                <w:sz w:val="20"/>
                <w:szCs w:val="20"/>
                <w:lang w:eastAsia="sk-SK"/>
              </w:rPr>
            </w:pPr>
          </w:p>
        </w:tc>
        <w:tc>
          <w:tcPr>
            <w:tcW w:w="1258" w:type="dxa"/>
            <w:vMerge/>
            <w:tcBorders>
              <w:top w:val="single" w:sz="4" w:space="0" w:color="auto"/>
              <w:left w:val="single" w:sz="4" w:space="0" w:color="auto"/>
              <w:bottom w:val="single" w:sz="4" w:space="0" w:color="auto"/>
              <w:right w:val="single" w:sz="4" w:space="0" w:color="auto"/>
            </w:tcBorders>
            <w:vAlign w:val="center"/>
            <w:hideMark/>
          </w:tcPr>
          <w:p w14:paraId="1D328E69" w14:textId="77777777" w:rsidR="00F16F66" w:rsidRPr="00F16F66" w:rsidRDefault="00F16F66" w:rsidP="00F16F66">
            <w:pPr>
              <w:spacing w:after="0" w:line="240" w:lineRule="auto"/>
              <w:rPr>
                <w:rFonts w:ascii="Times New Roman" w:eastAsia="Times New Roman" w:hAnsi="Times New Roman" w:cs="Times New Roman"/>
                <w:b/>
                <w:bCs/>
                <w:color w:val="000000"/>
                <w:sz w:val="20"/>
                <w:szCs w:val="20"/>
                <w:lang w:eastAsia="sk-SK"/>
              </w:rPr>
            </w:pPr>
          </w:p>
        </w:tc>
        <w:tc>
          <w:tcPr>
            <w:tcW w:w="933" w:type="dxa"/>
            <w:vMerge/>
            <w:tcBorders>
              <w:top w:val="single" w:sz="4" w:space="0" w:color="auto"/>
              <w:left w:val="single" w:sz="4" w:space="0" w:color="auto"/>
              <w:bottom w:val="single" w:sz="4" w:space="0" w:color="auto"/>
              <w:right w:val="single" w:sz="4" w:space="0" w:color="auto"/>
            </w:tcBorders>
            <w:vAlign w:val="center"/>
            <w:hideMark/>
          </w:tcPr>
          <w:p w14:paraId="378E2577" w14:textId="77777777" w:rsidR="00F16F66" w:rsidRPr="00F16F66" w:rsidRDefault="00F16F66" w:rsidP="00F16F66">
            <w:pPr>
              <w:spacing w:after="0" w:line="240" w:lineRule="auto"/>
              <w:rPr>
                <w:rFonts w:ascii="Times New Roman" w:eastAsia="Times New Roman" w:hAnsi="Times New Roman" w:cs="Times New Roman"/>
                <w:b/>
                <w:bCs/>
                <w:color w:val="000000"/>
                <w:sz w:val="20"/>
                <w:szCs w:val="20"/>
                <w:lang w:eastAsia="sk-SK"/>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14:paraId="63401F78" w14:textId="77777777" w:rsidR="00F16F66" w:rsidRPr="00F16F66" w:rsidRDefault="00F16F66" w:rsidP="00F16F66">
            <w:pPr>
              <w:spacing w:after="0" w:line="240" w:lineRule="auto"/>
              <w:rPr>
                <w:rFonts w:ascii="Times New Roman" w:eastAsia="Times New Roman" w:hAnsi="Times New Roman" w:cs="Times New Roman"/>
                <w:b/>
                <w:bCs/>
                <w:color w:val="000000"/>
                <w:sz w:val="20"/>
                <w:szCs w:val="20"/>
                <w:lang w:eastAsia="sk-SK"/>
              </w:rPr>
            </w:pPr>
          </w:p>
        </w:tc>
        <w:tc>
          <w:tcPr>
            <w:tcW w:w="973" w:type="dxa"/>
            <w:vMerge/>
            <w:tcBorders>
              <w:top w:val="single" w:sz="4" w:space="0" w:color="auto"/>
              <w:left w:val="single" w:sz="4" w:space="0" w:color="auto"/>
              <w:bottom w:val="single" w:sz="4" w:space="0" w:color="auto"/>
              <w:right w:val="single" w:sz="4" w:space="0" w:color="auto"/>
            </w:tcBorders>
            <w:vAlign w:val="center"/>
            <w:hideMark/>
          </w:tcPr>
          <w:p w14:paraId="2E04253F" w14:textId="77777777" w:rsidR="00F16F66" w:rsidRPr="00F16F66" w:rsidRDefault="00F16F66" w:rsidP="00F16F66">
            <w:pPr>
              <w:spacing w:after="0" w:line="240" w:lineRule="auto"/>
              <w:rPr>
                <w:rFonts w:ascii="Times New Roman" w:eastAsia="Times New Roman" w:hAnsi="Times New Roman" w:cs="Times New Roman"/>
                <w:b/>
                <w:bCs/>
                <w:color w:val="000000"/>
                <w:sz w:val="20"/>
                <w:szCs w:val="20"/>
                <w:lang w:eastAsia="sk-SK"/>
              </w:rPr>
            </w:pPr>
          </w:p>
        </w:tc>
        <w:tc>
          <w:tcPr>
            <w:tcW w:w="704" w:type="dxa"/>
            <w:vMerge/>
            <w:tcBorders>
              <w:top w:val="single" w:sz="4" w:space="0" w:color="auto"/>
              <w:left w:val="single" w:sz="4" w:space="0" w:color="auto"/>
              <w:bottom w:val="single" w:sz="4" w:space="0" w:color="auto"/>
              <w:right w:val="single" w:sz="4" w:space="0" w:color="auto"/>
            </w:tcBorders>
            <w:vAlign w:val="center"/>
            <w:hideMark/>
          </w:tcPr>
          <w:p w14:paraId="7015B5E1" w14:textId="77777777" w:rsidR="00F16F66" w:rsidRPr="00F16F66" w:rsidRDefault="00F16F66" w:rsidP="00F16F66">
            <w:pPr>
              <w:spacing w:after="0" w:line="240" w:lineRule="auto"/>
              <w:rPr>
                <w:rFonts w:ascii="Times New Roman" w:eastAsia="Times New Roman" w:hAnsi="Times New Roman" w:cs="Times New Roman"/>
                <w:b/>
                <w:bCs/>
                <w:color w:val="000000"/>
                <w:sz w:val="20"/>
                <w:szCs w:val="20"/>
                <w:lang w:eastAsia="sk-SK"/>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14:paraId="0BEF6A55" w14:textId="77777777" w:rsidR="00F16F66" w:rsidRPr="00F16F66" w:rsidRDefault="00F16F66" w:rsidP="00F16F66">
            <w:pPr>
              <w:spacing w:after="0" w:line="240" w:lineRule="auto"/>
              <w:rPr>
                <w:rFonts w:ascii="Times New Roman" w:eastAsia="Times New Roman" w:hAnsi="Times New Roman" w:cs="Times New Roman"/>
                <w:b/>
                <w:bCs/>
                <w:color w:val="000000"/>
                <w:sz w:val="20"/>
                <w:szCs w:val="20"/>
                <w:lang w:eastAsia="sk-SK"/>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7ACF0070" w14:textId="77777777" w:rsidR="00F16F66" w:rsidRPr="00F16F66" w:rsidRDefault="00F16F66" w:rsidP="00F16F66">
            <w:pPr>
              <w:spacing w:after="0" w:line="240" w:lineRule="auto"/>
              <w:rPr>
                <w:rFonts w:ascii="Times New Roman" w:eastAsia="Times New Roman" w:hAnsi="Times New Roman" w:cs="Times New Roman"/>
                <w:b/>
                <w:bCs/>
                <w:color w:val="000000"/>
                <w:sz w:val="20"/>
                <w:szCs w:val="20"/>
                <w:lang w:eastAsia="sk-SK"/>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7250C66A" w14:textId="77777777" w:rsidR="00F16F66" w:rsidRPr="00F16F66" w:rsidRDefault="00F16F66" w:rsidP="00F16F66">
            <w:pPr>
              <w:spacing w:after="0" w:line="240" w:lineRule="auto"/>
              <w:rPr>
                <w:rFonts w:ascii="Times New Roman" w:eastAsia="Times New Roman" w:hAnsi="Times New Roman" w:cs="Times New Roman"/>
                <w:b/>
                <w:bCs/>
                <w:color w:val="000000"/>
                <w:sz w:val="20"/>
                <w:szCs w:val="20"/>
                <w:lang w:eastAsia="sk-SK"/>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1FD8C8EB" w14:textId="77777777" w:rsidR="00F16F66" w:rsidRPr="00F16F66" w:rsidRDefault="00F16F66" w:rsidP="00F16F66">
            <w:pPr>
              <w:spacing w:after="0" w:line="240" w:lineRule="auto"/>
              <w:rPr>
                <w:rFonts w:ascii="Times New Roman" w:eastAsia="Times New Roman" w:hAnsi="Times New Roman" w:cs="Times New Roman"/>
                <w:b/>
                <w:bCs/>
                <w:color w:val="000000"/>
                <w:sz w:val="20"/>
                <w:szCs w:val="20"/>
                <w:lang w:eastAsia="sk-SK"/>
              </w:rPr>
            </w:pPr>
          </w:p>
        </w:tc>
        <w:tc>
          <w:tcPr>
            <w:tcW w:w="160" w:type="dxa"/>
            <w:tcBorders>
              <w:top w:val="nil"/>
              <w:left w:val="nil"/>
              <w:bottom w:val="nil"/>
              <w:right w:val="nil"/>
            </w:tcBorders>
            <w:shd w:val="clear" w:color="auto" w:fill="auto"/>
            <w:noWrap/>
            <w:vAlign w:val="bottom"/>
            <w:hideMark/>
          </w:tcPr>
          <w:p w14:paraId="5AA0B550" w14:textId="77777777" w:rsidR="00F16F66" w:rsidRPr="00F16F66" w:rsidRDefault="00F16F66" w:rsidP="00F16F66">
            <w:pPr>
              <w:spacing w:after="0" w:line="240" w:lineRule="auto"/>
              <w:rPr>
                <w:rFonts w:ascii="Times New Roman" w:eastAsia="Times New Roman" w:hAnsi="Times New Roman" w:cs="Times New Roman"/>
                <w:sz w:val="20"/>
                <w:szCs w:val="20"/>
                <w:lang w:eastAsia="sk-SK"/>
              </w:rPr>
            </w:pPr>
          </w:p>
        </w:tc>
      </w:tr>
      <w:tr w:rsidR="00F16F66" w:rsidRPr="00F16F66" w14:paraId="3A0C57C0" w14:textId="77777777" w:rsidTr="00F16F66">
        <w:trPr>
          <w:trHeight w:val="255"/>
        </w:trPr>
        <w:tc>
          <w:tcPr>
            <w:tcW w:w="528" w:type="dxa"/>
            <w:vMerge/>
            <w:tcBorders>
              <w:top w:val="single" w:sz="4" w:space="0" w:color="auto"/>
              <w:left w:val="single" w:sz="4" w:space="0" w:color="auto"/>
              <w:bottom w:val="single" w:sz="4" w:space="0" w:color="auto"/>
              <w:right w:val="single" w:sz="4" w:space="0" w:color="auto"/>
            </w:tcBorders>
            <w:vAlign w:val="center"/>
            <w:hideMark/>
          </w:tcPr>
          <w:p w14:paraId="7DBF53F4" w14:textId="77777777" w:rsidR="00F16F66" w:rsidRPr="00F16F66" w:rsidRDefault="00F16F66" w:rsidP="00F16F66">
            <w:pPr>
              <w:spacing w:after="0" w:line="240" w:lineRule="auto"/>
              <w:rPr>
                <w:rFonts w:ascii="Times New Roman" w:eastAsia="Times New Roman" w:hAnsi="Times New Roman" w:cs="Times New Roman"/>
                <w:b/>
                <w:bCs/>
                <w:color w:val="000000"/>
                <w:sz w:val="20"/>
                <w:szCs w:val="20"/>
                <w:lang w:eastAsia="sk-SK"/>
              </w:rPr>
            </w:pPr>
          </w:p>
        </w:tc>
        <w:tc>
          <w:tcPr>
            <w:tcW w:w="2098" w:type="dxa"/>
            <w:vMerge/>
            <w:tcBorders>
              <w:top w:val="single" w:sz="4" w:space="0" w:color="auto"/>
              <w:left w:val="single" w:sz="4" w:space="0" w:color="auto"/>
              <w:bottom w:val="single" w:sz="4" w:space="0" w:color="auto"/>
              <w:right w:val="single" w:sz="4" w:space="0" w:color="auto"/>
            </w:tcBorders>
            <w:vAlign w:val="center"/>
            <w:hideMark/>
          </w:tcPr>
          <w:p w14:paraId="3004BF1D" w14:textId="77777777" w:rsidR="00F16F66" w:rsidRPr="00F16F66" w:rsidRDefault="00F16F66" w:rsidP="00F16F66">
            <w:pPr>
              <w:spacing w:after="0" w:line="240" w:lineRule="auto"/>
              <w:rPr>
                <w:rFonts w:ascii="Times New Roman" w:eastAsia="Times New Roman" w:hAnsi="Times New Roman" w:cs="Times New Roman"/>
                <w:b/>
                <w:bCs/>
                <w:color w:val="000000"/>
                <w:sz w:val="20"/>
                <w:szCs w:val="20"/>
                <w:lang w:eastAsia="sk-SK"/>
              </w:rPr>
            </w:pPr>
          </w:p>
        </w:tc>
        <w:tc>
          <w:tcPr>
            <w:tcW w:w="1266" w:type="dxa"/>
            <w:vMerge/>
            <w:tcBorders>
              <w:top w:val="single" w:sz="4" w:space="0" w:color="auto"/>
              <w:left w:val="single" w:sz="4" w:space="0" w:color="auto"/>
              <w:bottom w:val="single" w:sz="4" w:space="0" w:color="000000"/>
              <w:right w:val="single" w:sz="4" w:space="0" w:color="auto"/>
            </w:tcBorders>
            <w:vAlign w:val="center"/>
            <w:hideMark/>
          </w:tcPr>
          <w:p w14:paraId="41247E99" w14:textId="77777777" w:rsidR="00F16F66" w:rsidRPr="00F16F66" w:rsidRDefault="00F16F66" w:rsidP="00F16F66">
            <w:pPr>
              <w:spacing w:after="0" w:line="240" w:lineRule="auto"/>
              <w:rPr>
                <w:rFonts w:ascii="Times New Roman" w:eastAsia="Times New Roman" w:hAnsi="Times New Roman" w:cs="Times New Roman"/>
                <w:b/>
                <w:bCs/>
                <w:color w:val="000000"/>
                <w:sz w:val="20"/>
                <w:szCs w:val="20"/>
                <w:lang w:eastAsia="sk-SK"/>
              </w:rPr>
            </w:pPr>
          </w:p>
        </w:tc>
        <w:tc>
          <w:tcPr>
            <w:tcW w:w="1435" w:type="dxa"/>
            <w:vMerge/>
            <w:tcBorders>
              <w:top w:val="single" w:sz="4" w:space="0" w:color="auto"/>
              <w:left w:val="single" w:sz="4" w:space="0" w:color="auto"/>
              <w:bottom w:val="single" w:sz="4" w:space="0" w:color="000000"/>
              <w:right w:val="single" w:sz="4" w:space="0" w:color="auto"/>
            </w:tcBorders>
            <w:vAlign w:val="center"/>
            <w:hideMark/>
          </w:tcPr>
          <w:p w14:paraId="30197CDD" w14:textId="77777777" w:rsidR="00F16F66" w:rsidRPr="00F16F66" w:rsidRDefault="00F16F66" w:rsidP="00F16F66">
            <w:pPr>
              <w:spacing w:after="0" w:line="240" w:lineRule="auto"/>
              <w:rPr>
                <w:rFonts w:ascii="Times New Roman" w:eastAsia="Times New Roman" w:hAnsi="Times New Roman" w:cs="Times New Roman"/>
                <w:b/>
                <w:bCs/>
                <w:color w:val="000000"/>
                <w:sz w:val="20"/>
                <w:szCs w:val="20"/>
                <w:lang w:eastAsia="sk-SK"/>
              </w:rPr>
            </w:pPr>
          </w:p>
        </w:tc>
        <w:tc>
          <w:tcPr>
            <w:tcW w:w="1258" w:type="dxa"/>
            <w:vMerge/>
            <w:tcBorders>
              <w:top w:val="single" w:sz="4" w:space="0" w:color="auto"/>
              <w:left w:val="single" w:sz="4" w:space="0" w:color="auto"/>
              <w:bottom w:val="single" w:sz="4" w:space="0" w:color="auto"/>
              <w:right w:val="single" w:sz="4" w:space="0" w:color="auto"/>
            </w:tcBorders>
            <w:vAlign w:val="center"/>
            <w:hideMark/>
          </w:tcPr>
          <w:p w14:paraId="5CD7F67C" w14:textId="77777777" w:rsidR="00F16F66" w:rsidRPr="00F16F66" w:rsidRDefault="00F16F66" w:rsidP="00F16F66">
            <w:pPr>
              <w:spacing w:after="0" w:line="240" w:lineRule="auto"/>
              <w:rPr>
                <w:rFonts w:ascii="Times New Roman" w:eastAsia="Times New Roman" w:hAnsi="Times New Roman" w:cs="Times New Roman"/>
                <w:b/>
                <w:bCs/>
                <w:color w:val="000000"/>
                <w:sz w:val="20"/>
                <w:szCs w:val="20"/>
                <w:lang w:eastAsia="sk-SK"/>
              </w:rPr>
            </w:pPr>
          </w:p>
        </w:tc>
        <w:tc>
          <w:tcPr>
            <w:tcW w:w="933" w:type="dxa"/>
            <w:vMerge/>
            <w:tcBorders>
              <w:top w:val="single" w:sz="4" w:space="0" w:color="auto"/>
              <w:left w:val="single" w:sz="4" w:space="0" w:color="auto"/>
              <w:bottom w:val="single" w:sz="4" w:space="0" w:color="auto"/>
              <w:right w:val="single" w:sz="4" w:space="0" w:color="auto"/>
            </w:tcBorders>
            <w:vAlign w:val="center"/>
            <w:hideMark/>
          </w:tcPr>
          <w:p w14:paraId="6417E8D5" w14:textId="77777777" w:rsidR="00F16F66" w:rsidRPr="00F16F66" w:rsidRDefault="00F16F66" w:rsidP="00F16F66">
            <w:pPr>
              <w:spacing w:after="0" w:line="240" w:lineRule="auto"/>
              <w:rPr>
                <w:rFonts w:ascii="Times New Roman" w:eastAsia="Times New Roman" w:hAnsi="Times New Roman" w:cs="Times New Roman"/>
                <w:b/>
                <w:bCs/>
                <w:color w:val="000000"/>
                <w:sz w:val="20"/>
                <w:szCs w:val="20"/>
                <w:lang w:eastAsia="sk-SK"/>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14:paraId="044C21E7" w14:textId="77777777" w:rsidR="00F16F66" w:rsidRPr="00F16F66" w:rsidRDefault="00F16F66" w:rsidP="00F16F66">
            <w:pPr>
              <w:spacing w:after="0" w:line="240" w:lineRule="auto"/>
              <w:rPr>
                <w:rFonts w:ascii="Times New Roman" w:eastAsia="Times New Roman" w:hAnsi="Times New Roman" w:cs="Times New Roman"/>
                <w:b/>
                <w:bCs/>
                <w:color w:val="000000"/>
                <w:sz w:val="20"/>
                <w:szCs w:val="20"/>
                <w:lang w:eastAsia="sk-SK"/>
              </w:rPr>
            </w:pPr>
          </w:p>
        </w:tc>
        <w:tc>
          <w:tcPr>
            <w:tcW w:w="973" w:type="dxa"/>
            <w:vMerge/>
            <w:tcBorders>
              <w:top w:val="single" w:sz="4" w:space="0" w:color="auto"/>
              <w:left w:val="single" w:sz="4" w:space="0" w:color="auto"/>
              <w:bottom w:val="single" w:sz="4" w:space="0" w:color="auto"/>
              <w:right w:val="single" w:sz="4" w:space="0" w:color="auto"/>
            </w:tcBorders>
            <w:vAlign w:val="center"/>
            <w:hideMark/>
          </w:tcPr>
          <w:p w14:paraId="77BD4B52" w14:textId="77777777" w:rsidR="00F16F66" w:rsidRPr="00F16F66" w:rsidRDefault="00F16F66" w:rsidP="00F16F66">
            <w:pPr>
              <w:spacing w:after="0" w:line="240" w:lineRule="auto"/>
              <w:rPr>
                <w:rFonts w:ascii="Times New Roman" w:eastAsia="Times New Roman" w:hAnsi="Times New Roman" w:cs="Times New Roman"/>
                <w:b/>
                <w:bCs/>
                <w:color w:val="000000"/>
                <w:sz w:val="20"/>
                <w:szCs w:val="20"/>
                <w:lang w:eastAsia="sk-SK"/>
              </w:rPr>
            </w:pPr>
          </w:p>
        </w:tc>
        <w:tc>
          <w:tcPr>
            <w:tcW w:w="704" w:type="dxa"/>
            <w:vMerge/>
            <w:tcBorders>
              <w:top w:val="single" w:sz="4" w:space="0" w:color="auto"/>
              <w:left w:val="single" w:sz="4" w:space="0" w:color="auto"/>
              <w:bottom w:val="single" w:sz="4" w:space="0" w:color="auto"/>
              <w:right w:val="single" w:sz="4" w:space="0" w:color="auto"/>
            </w:tcBorders>
            <w:vAlign w:val="center"/>
            <w:hideMark/>
          </w:tcPr>
          <w:p w14:paraId="33FF6FAB" w14:textId="77777777" w:rsidR="00F16F66" w:rsidRPr="00F16F66" w:rsidRDefault="00F16F66" w:rsidP="00F16F66">
            <w:pPr>
              <w:spacing w:after="0" w:line="240" w:lineRule="auto"/>
              <w:rPr>
                <w:rFonts w:ascii="Times New Roman" w:eastAsia="Times New Roman" w:hAnsi="Times New Roman" w:cs="Times New Roman"/>
                <w:b/>
                <w:bCs/>
                <w:color w:val="000000"/>
                <w:sz w:val="20"/>
                <w:szCs w:val="20"/>
                <w:lang w:eastAsia="sk-SK"/>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14:paraId="696BB5BB" w14:textId="77777777" w:rsidR="00F16F66" w:rsidRPr="00F16F66" w:rsidRDefault="00F16F66" w:rsidP="00F16F66">
            <w:pPr>
              <w:spacing w:after="0" w:line="240" w:lineRule="auto"/>
              <w:rPr>
                <w:rFonts w:ascii="Times New Roman" w:eastAsia="Times New Roman" w:hAnsi="Times New Roman" w:cs="Times New Roman"/>
                <w:b/>
                <w:bCs/>
                <w:color w:val="000000"/>
                <w:sz w:val="20"/>
                <w:szCs w:val="20"/>
                <w:lang w:eastAsia="sk-SK"/>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6427B321" w14:textId="77777777" w:rsidR="00F16F66" w:rsidRPr="00F16F66" w:rsidRDefault="00F16F66" w:rsidP="00F16F66">
            <w:pPr>
              <w:spacing w:after="0" w:line="240" w:lineRule="auto"/>
              <w:rPr>
                <w:rFonts w:ascii="Times New Roman" w:eastAsia="Times New Roman" w:hAnsi="Times New Roman" w:cs="Times New Roman"/>
                <w:b/>
                <w:bCs/>
                <w:color w:val="000000"/>
                <w:sz w:val="20"/>
                <w:szCs w:val="20"/>
                <w:lang w:eastAsia="sk-SK"/>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620FDDEA" w14:textId="77777777" w:rsidR="00F16F66" w:rsidRPr="00F16F66" w:rsidRDefault="00F16F66" w:rsidP="00F16F66">
            <w:pPr>
              <w:spacing w:after="0" w:line="240" w:lineRule="auto"/>
              <w:rPr>
                <w:rFonts w:ascii="Times New Roman" w:eastAsia="Times New Roman" w:hAnsi="Times New Roman" w:cs="Times New Roman"/>
                <w:b/>
                <w:bCs/>
                <w:color w:val="000000"/>
                <w:sz w:val="20"/>
                <w:szCs w:val="20"/>
                <w:lang w:eastAsia="sk-SK"/>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15C14D8D" w14:textId="77777777" w:rsidR="00F16F66" w:rsidRPr="00F16F66" w:rsidRDefault="00F16F66" w:rsidP="00F16F66">
            <w:pPr>
              <w:spacing w:after="0" w:line="240" w:lineRule="auto"/>
              <w:rPr>
                <w:rFonts w:ascii="Times New Roman" w:eastAsia="Times New Roman" w:hAnsi="Times New Roman" w:cs="Times New Roman"/>
                <w:b/>
                <w:bCs/>
                <w:color w:val="000000"/>
                <w:sz w:val="20"/>
                <w:szCs w:val="20"/>
                <w:lang w:eastAsia="sk-SK"/>
              </w:rPr>
            </w:pPr>
          </w:p>
        </w:tc>
        <w:tc>
          <w:tcPr>
            <w:tcW w:w="160" w:type="dxa"/>
            <w:tcBorders>
              <w:top w:val="nil"/>
              <w:left w:val="nil"/>
              <w:bottom w:val="nil"/>
              <w:right w:val="nil"/>
            </w:tcBorders>
            <w:shd w:val="clear" w:color="auto" w:fill="auto"/>
            <w:noWrap/>
            <w:vAlign w:val="bottom"/>
            <w:hideMark/>
          </w:tcPr>
          <w:p w14:paraId="33C8D125" w14:textId="77777777" w:rsidR="00F16F66" w:rsidRPr="00F16F66" w:rsidRDefault="00F16F66" w:rsidP="00F16F66">
            <w:pPr>
              <w:spacing w:after="0" w:line="240" w:lineRule="auto"/>
              <w:rPr>
                <w:rFonts w:ascii="Times New Roman" w:eastAsia="Times New Roman" w:hAnsi="Times New Roman" w:cs="Times New Roman"/>
                <w:sz w:val="20"/>
                <w:szCs w:val="20"/>
                <w:lang w:eastAsia="sk-SK"/>
              </w:rPr>
            </w:pPr>
          </w:p>
        </w:tc>
      </w:tr>
      <w:tr w:rsidR="00F16F66" w:rsidRPr="00F16F66" w14:paraId="25C854AB" w14:textId="77777777" w:rsidTr="00F16F66">
        <w:trPr>
          <w:trHeight w:val="255"/>
        </w:trPr>
        <w:tc>
          <w:tcPr>
            <w:tcW w:w="528" w:type="dxa"/>
            <w:vMerge/>
            <w:tcBorders>
              <w:top w:val="single" w:sz="4" w:space="0" w:color="auto"/>
              <w:left w:val="single" w:sz="4" w:space="0" w:color="auto"/>
              <w:bottom w:val="single" w:sz="4" w:space="0" w:color="auto"/>
              <w:right w:val="single" w:sz="4" w:space="0" w:color="auto"/>
            </w:tcBorders>
            <w:vAlign w:val="center"/>
            <w:hideMark/>
          </w:tcPr>
          <w:p w14:paraId="068F3C64" w14:textId="77777777" w:rsidR="00F16F66" w:rsidRPr="00F16F66" w:rsidRDefault="00F16F66" w:rsidP="00F16F66">
            <w:pPr>
              <w:spacing w:after="0" w:line="240" w:lineRule="auto"/>
              <w:rPr>
                <w:rFonts w:ascii="Times New Roman" w:eastAsia="Times New Roman" w:hAnsi="Times New Roman" w:cs="Times New Roman"/>
                <w:b/>
                <w:bCs/>
                <w:color w:val="000000"/>
                <w:sz w:val="20"/>
                <w:szCs w:val="20"/>
                <w:lang w:eastAsia="sk-SK"/>
              </w:rPr>
            </w:pPr>
          </w:p>
        </w:tc>
        <w:tc>
          <w:tcPr>
            <w:tcW w:w="2098" w:type="dxa"/>
            <w:vMerge/>
            <w:tcBorders>
              <w:top w:val="single" w:sz="4" w:space="0" w:color="auto"/>
              <w:left w:val="single" w:sz="4" w:space="0" w:color="auto"/>
              <w:bottom w:val="single" w:sz="4" w:space="0" w:color="auto"/>
              <w:right w:val="single" w:sz="4" w:space="0" w:color="auto"/>
            </w:tcBorders>
            <w:vAlign w:val="center"/>
            <w:hideMark/>
          </w:tcPr>
          <w:p w14:paraId="400C816C" w14:textId="77777777" w:rsidR="00F16F66" w:rsidRPr="00F16F66" w:rsidRDefault="00F16F66" w:rsidP="00F16F66">
            <w:pPr>
              <w:spacing w:after="0" w:line="240" w:lineRule="auto"/>
              <w:rPr>
                <w:rFonts w:ascii="Times New Roman" w:eastAsia="Times New Roman" w:hAnsi="Times New Roman" w:cs="Times New Roman"/>
                <w:b/>
                <w:bCs/>
                <w:color w:val="000000"/>
                <w:sz w:val="20"/>
                <w:szCs w:val="20"/>
                <w:lang w:eastAsia="sk-SK"/>
              </w:rPr>
            </w:pPr>
          </w:p>
        </w:tc>
        <w:tc>
          <w:tcPr>
            <w:tcW w:w="1266" w:type="dxa"/>
            <w:vMerge/>
            <w:tcBorders>
              <w:top w:val="single" w:sz="4" w:space="0" w:color="auto"/>
              <w:left w:val="single" w:sz="4" w:space="0" w:color="auto"/>
              <w:bottom w:val="single" w:sz="4" w:space="0" w:color="000000"/>
              <w:right w:val="single" w:sz="4" w:space="0" w:color="auto"/>
            </w:tcBorders>
            <w:vAlign w:val="center"/>
            <w:hideMark/>
          </w:tcPr>
          <w:p w14:paraId="3ACDF5CF" w14:textId="77777777" w:rsidR="00F16F66" w:rsidRPr="00F16F66" w:rsidRDefault="00F16F66" w:rsidP="00F16F66">
            <w:pPr>
              <w:spacing w:after="0" w:line="240" w:lineRule="auto"/>
              <w:rPr>
                <w:rFonts w:ascii="Times New Roman" w:eastAsia="Times New Roman" w:hAnsi="Times New Roman" w:cs="Times New Roman"/>
                <w:b/>
                <w:bCs/>
                <w:color w:val="000000"/>
                <w:sz w:val="20"/>
                <w:szCs w:val="20"/>
                <w:lang w:eastAsia="sk-SK"/>
              </w:rPr>
            </w:pPr>
          </w:p>
        </w:tc>
        <w:tc>
          <w:tcPr>
            <w:tcW w:w="1435" w:type="dxa"/>
            <w:vMerge/>
            <w:tcBorders>
              <w:top w:val="single" w:sz="4" w:space="0" w:color="auto"/>
              <w:left w:val="single" w:sz="4" w:space="0" w:color="auto"/>
              <w:bottom w:val="single" w:sz="4" w:space="0" w:color="000000"/>
              <w:right w:val="single" w:sz="4" w:space="0" w:color="auto"/>
            </w:tcBorders>
            <w:vAlign w:val="center"/>
            <w:hideMark/>
          </w:tcPr>
          <w:p w14:paraId="0A5BDD6B" w14:textId="77777777" w:rsidR="00F16F66" w:rsidRPr="00F16F66" w:rsidRDefault="00F16F66" w:rsidP="00F16F66">
            <w:pPr>
              <w:spacing w:after="0" w:line="240" w:lineRule="auto"/>
              <w:rPr>
                <w:rFonts w:ascii="Times New Roman" w:eastAsia="Times New Roman" w:hAnsi="Times New Roman" w:cs="Times New Roman"/>
                <w:b/>
                <w:bCs/>
                <w:color w:val="000000"/>
                <w:sz w:val="20"/>
                <w:szCs w:val="20"/>
                <w:lang w:eastAsia="sk-SK"/>
              </w:rPr>
            </w:pPr>
          </w:p>
        </w:tc>
        <w:tc>
          <w:tcPr>
            <w:tcW w:w="1258" w:type="dxa"/>
            <w:vMerge/>
            <w:tcBorders>
              <w:top w:val="single" w:sz="4" w:space="0" w:color="auto"/>
              <w:left w:val="single" w:sz="4" w:space="0" w:color="auto"/>
              <w:bottom w:val="single" w:sz="4" w:space="0" w:color="auto"/>
              <w:right w:val="single" w:sz="4" w:space="0" w:color="auto"/>
            </w:tcBorders>
            <w:vAlign w:val="center"/>
            <w:hideMark/>
          </w:tcPr>
          <w:p w14:paraId="014A15D6" w14:textId="77777777" w:rsidR="00F16F66" w:rsidRPr="00F16F66" w:rsidRDefault="00F16F66" w:rsidP="00F16F66">
            <w:pPr>
              <w:spacing w:after="0" w:line="240" w:lineRule="auto"/>
              <w:rPr>
                <w:rFonts w:ascii="Times New Roman" w:eastAsia="Times New Roman" w:hAnsi="Times New Roman" w:cs="Times New Roman"/>
                <w:b/>
                <w:bCs/>
                <w:color w:val="000000"/>
                <w:sz w:val="20"/>
                <w:szCs w:val="20"/>
                <w:lang w:eastAsia="sk-SK"/>
              </w:rPr>
            </w:pPr>
          </w:p>
        </w:tc>
        <w:tc>
          <w:tcPr>
            <w:tcW w:w="933" w:type="dxa"/>
            <w:vMerge/>
            <w:tcBorders>
              <w:top w:val="single" w:sz="4" w:space="0" w:color="auto"/>
              <w:left w:val="single" w:sz="4" w:space="0" w:color="auto"/>
              <w:bottom w:val="single" w:sz="4" w:space="0" w:color="auto"/>
              <w:right w:val="single" w:sz="4" w:space="0" w:color="auto"/>
            </w:tcBorders>
            <w:vAlign w:val="center"/>
            <w:hideMark/>
          </w:tcPr>
          <w:p w14:paraId="12345C8E" w14:textId="77777777" w:rsidR="00F16F66" w:rsidRPr="00F16F66" w:rsidRDefault="00F16F66" w:rsidP="00F16F66">
            <w:pPr>
              <w:spacing w:after="0" w:line="240" w:lineRule="auto"/>
              <w:rPr>
                <w:rFonts w:ascii="Times New Roman" w:eastAsia="Times New Roman" w:hAnsi="Times New Roman" w:cs="Times New Roman"/>
                <w:b/>
                <w:bCs/>
                <w:color w:val="000000"/>
                <w:sz w:val="20"/>
                <w:szCs w:val="20"/>
                <w:lang w:eastAsia="sk-SK"/>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14:paraId="7DCF74B2" w14:textId="77777777" w:rsidR="00F16F66" w:rsidRPr="00F16F66" w:rsidRDefault="00F16F66" w:rsidP="00F16F66">
            <w:pPr>
              <w:spacing w:after="0" w:line="240" w:lineRule="auto"/>
              <w:rPr>
                <w:rFonts w:ascii="Times New Roman" w:eastAsia="Times New Roman" w:hAnsi="Times New Roman" w:cs="Times New Roman"/>
                <w:b/>
                <w:bCs/>
                <w:color w:val="000000"/>
                <w:sz w:val="20"/>
                <w:szCs w:val="20"/>
                <w:lang w:eastAsia="sk-SK"/>
              </w:rPr>
            </w:pPr>
          </w:p>
        </w:tc>
        <w:tc>
          <w:tcPr>
            <w:tcW w:w="973" w:type="dxa"/>
            <w:vMerge/>
            <w:tcBorders>
              <w:top w:val="single" w:sz="4" w:space="0" w:color="auto"/>
              <w:left w:val="single" w:sz="4" w:space="0" w:color="auto"/>
              <w:bottom w:val="single" w:sz="4" w:space="0" w:color="auto"/>
              <w:right w:val="single" w:sz="4" w:space="0" w:color="auto"/>
            </w:tcBorders>
            <w:vAlign w:val="center"/>
            <w:hideMark/>
          </w:tcPr>
          <w:p w14:paraId="1ABCD673" w14:textId="77777777" w:rsidR="00F16F66" w:rsidRPr="00F16F66" w:rsidRDefault="00F16F66" w:rsidP="00F16F66">
            <w:pPr>
              <w:spacing w:after="0" w:line="240" w:lineRule="auto"/>
              <w:rPr>
                <w:rFonts w:ascii="Times New Roman" w:eastAsia="Times New Roman" w:hAnsi="Times New Roman" w:cs="Times New Roman"/>
                <w:b/>
                <w:bCs/>
                <w:color w:val="000000"/>
                <w:sz w:val="20"/>
                <w:szCs w:val="20"/>
                <w:lang w:eastAsia="sk-SK"/>
              </w:rPr>
            </w:pPr>
          </w:p>
        </w:tc>
        <w:tc>
          <w:tcPr>
            <w:tcW w:w="704" w:type="dxa"/>
            <w:vMerge/>
            <w:tcBorders>
              <w:top w:val="single" w:sz="4" w:space="0" w:color="auto"/>
              <w:left w:val="single" w:sz="4" w:space="0" w:color="auto"/>
              <w:bottom w:val="single" w:sz="4" w:space="0" w:color="auto"/>
              <w:right w:val="single" w:sz="4" w:space="0" w:color="auto"/>
            </w:tcBorders>
            <w:vAlign w:val="center"/>
            <w:hideMark/>
          </w:tcPr>
          <w:p w14:paraId="597BCCB9" w14:textId="77777777" w:rsidR="00F16F66" w:rsidRPr="00F16F66" w:rsidRDefault="00F16F66" w:rsidP="00F16F66">
            <w:pPr>
              <w:spacing w:after="0" w:line="240" w:lineRule="auto"/>
              <w:rPr>
                <w:rFonts w:ascii="Times New Roman" w:eastAsia="Times New Roman" w:hAnsi="Times New Roman" w:cs="Times New Roman"/>
                <w:b/>
                <w:bCs/>
                <w:color w:val="000000"/>
                <w:sz w:val="20"/>
                <w:szCs w:val="20"/>
                <w:lang w:eastAsia="sk-SK"/>
              </w:rPr>
            </w:pPr>
          </w:p>
        </w:tc>
        <w:tc>
          <w:tcPr>
            <w:tcW w:w="719" w:type="dxa"/>
            <w:vMerge/>
            <w:tcBorders>
              <w:top w:val="single" w:sz="4" w:space="0" w:color="auto"/>
              <w:left w:val="single" w:sz="4" w:space="0" w:color="auto"/>
              <w:bottom w:val="single" w:sz="4" w:space="0" w:color="auto"/>
              <w:right w:val="single" w:sz="4" w:space="0" w:color="auto"/>
            </w:tcBorders>
            <w:vAlign w:val="center"/>
            <w:hideMark/>
          </w:tcPr>
          <w:p w14:paraId="7D69B1F7" w14:textId="77777777" w:rsidR="00F16F66" w:rsidRPr="00F16F66" w:rsidRDefault="00F16F66" w:rsidP="00F16F66">
            <w:pPr>
              <w:spacing w:after="0" w:line="240" w:lineRule="auto"/>
              <w:rPr>
                <w:rFonts w:ascii="Times New Roman" w:eastAsia="Times New Roman" w:hAnsi="Times New Roman" w:cs="Times New Roman"/>
                <w:b/>
                <w:bCs/>
                <w:color w:val="000000"/>
                <w:sz w:val="20"/>
                <w:szCs w:val="20"/>
                <w:lang w:eastAsia="sk-SK"/>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5ADD4BFC" w14:textId="77777777" w:rsidR="00F16F66" w:rsidRPr="00F16F66" w:rsidRDefault="00F16F66" w:rsidP="00F16F66">
            <w:pPr>
              <w:spacing w:after="0" w:line="240" w:lineRule="auto"/>
              <w:rPr>
                <w:rFonts w:ascii="Times New Roman" w:eastAsia="Times New Roman" w:hAnsi="Times New Roman" w:cs="Times New Roman"/>
                <w:b/>
                <w:bCs/>
                <w:color w:val="000000"/>
                <w:sz w:val="20"/>
                <w:szCs w:val="20"/>
                <w:lang w:eastAsia="sk-SK"/>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76B8FB1A" w14:textId="77777777" w:rsidR="00F16F66" w:rsidRPr="00F16F66" w:rsidRDefault="00F16F66" w:rsidP="00F16F66">
            <w:pPr>
              <w:spacing w:after="0" w:line="240" w:lineRule="auto"/>
              <w:rPr>
                <w:rFonts w:ascii="Times New Roman" w:eastAsia="Times New Roman" w:hAnsi="Times New Roman" w:cs="Times New Roman"/>
                <w:b/>
                <w:bCs/>
                <w:color w:val="000000"/>
                <w:sz w:val="20"/>
                <w:szCs w:val="20"/>
                <w:lang w:eastAsia="sk-SK"/>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31861E9D" w14:textId="77777777" w:rsidR="00F16F66" w:rsidRPr="00F16F66" w:rsidRDefault="00F16F66" w:rsidP="00F16F66">
            <w:pPr>
              <w:spacing w:after="0" w:line="240" w:lineRule="auto"/>
              <w:rPr>
                <w:rFonts w:ascii="Times New Roman" w:eastAsia="Times New Roman" w:hAnsi="Times New Roman" w:cs="Times New Roman"/>
                <w:b/>
                <w:bCs/>
                <w:color w:val="000000"/>
                <w:sz w:val="20"/>
                <w:szCs w:val="20"/>
                <w:lang w:eastAsia="sk-SK"/>
              </w:rPr>
            </w:pPr>
          </w:p>
        </w:tc>
        <w:tc>
          <w:tcPr>
            <w:tcW w:w="160" w:type="dxa"/>
            <w:tcBorders>
              <w:top w:val="nil"/>
              <w:left w:val="nil"/>
              <w:bottom w:val="nil"/>
              <w:right w:val="nil"/>
            </w:tcBorders>
            <w:shd w:val="clear" w:color="auto" w:fill="auto"/>
            <w:noWrap/>
            <w:vAlign w:val="bottom"/>
            <w:hideMark/>
          </w:tcPr>
          <w:p w14:paraId="015144C8" w14:textId="77777777" w:rsidR="00F16F66" w:rsidRPr="00F16F66" w:rsidRDefault="00F16F66" w:rsidP="00F16F66">
            <w:pPr>
              <w:spacing w:after="0" w:line="240" w:lineRule="auto"/>
              <w:rPr>
                <w:rFonts w:ascii="Times New Roman" w:eastAsia="Times New Roman" w:hAnsi="Times New Roman" w:cs="Times New Roman"/>
                <w:sz w:val="20"/>
                <w:szCs w:val="20"/>
                <w:lang w:eastAsia="sk-SK"/>
              </w:rPr>
            </w:pPr>
          </w:p>
        </w:tc>
      </w:tr>
      <w:tr w:rsidR="0047337B" w:rsidRPr="00F16F66" w14:paraId="1519BBB8" w14:textId="77777777" w:rsidTr="00F16F66">
        <w:trPr>
          <w:trHeight w:val="690"/>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1164FDD1" w14:textId="1ABE3078"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1</w:t>
            </w:r>
          </w:p>
        </w:tc>
        <w:tc>
          <w:tcPr>
            <w:tcW w:w="2098" w:type="dxa"/>
            <w:tcBorders>
              <w:top w:val="nil"/>
              <w:left w:val="nil"/>
              <w:bottom w:val="single" w:sz="4" w:space="0" w:color="auto"/>
              <w:right w:val="single" w:sz="4" w:space="0" w:color="auto"/>
            </w:tcBorders>
            <w:shd w:val="clear" w:color="auto" w:fill="auto"/>
            <w:vAlign w:val="center"/>
            <w:hideMark/>
          </w:tcPr>
          <w:p w14:paraId="6A69E3CC" w14:textId="0D561B2D"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 xml:space="preserve">zavedenie postupov na riadenie rizika koncentrácie </w:t>
            </w:r>
          </w:p>
        </w:tc>
        <w:tc>
          <w:tcPr>
            <w:tcW w:w="1266" w:type="dxa"/>
            <w:tcBorders>
              <w:top w:val="nil"/>
              <w:left w:val="nil"/>
              <w:bottom w:val="single" w:sz="4" w:space="0" w:color="auto"/>
              <w:right w:val="single" w:sz="4" w:space="0" w:color="auto"/>
            </w:tcBorders>
            <w:shd w:val="clear" w:color="auto" w:fill="auto"/>
            <w:vAlign w:val="center"/>
            <w:hideMark/>
          </w:tcPr>
          <w:p w14:paraId="7B54F963" w14:textId="3B5D4DF0"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566/2001</w:t>
            </w:r>
          </w:p>
        </w:tc>
        <w:tc>
          <w:tcPr>
            <w:tcW w:w="1435" w:type="dxa"/>
            <w:tcBorders>
              <w:top w:val="nil"/>
              <w:left w:val="nil"/>
              <w:bottom w:val="single" w:sz="4" w:space="0" w:color="auto"/>
              <w:right w:val="single" w:sz="4" w:space="0" w:color="auto"/>
            </w:tcBorders>
            <w:shd w:val="clear" w:color="auto" w:fill="auto"/>
            <w:vAlign w:val="center"/>
            <w:hideMark/>
          </w:tcPr>
          <w:p w14:paraId="05F03F42" w14:textId="0583B9B2"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 xml:space="preserve">§ 71c(2)(e) </w:t>
            </w:r>
          </w:p>
        </w:tc>
        <w:tc>
          <w:tcPr>
            <w:tcW w:w="1258" w:type="dxa"/>
            <w:tcBorders>
              <w:top w:val="nil"/>
              <w:left w:val="nil"/>
              <w:bottom w:val="single" w:sz="4" w:space="0" w:color="auto"/>
              <w:right w:val="single" w:sz="4" w:space="0" w:color="auto"/>
            </w:tcBorders>
            <w:shd w:val="clear" w:color="auto" w:fill="auto"/>
            <w:vAlign w:val="center"/>
            <w:hideMark/>
          </w:tcPr>
          <w:p w14:paraId="6CB776DA" w14:textId="29779C69"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2. EÚ úplná harmonizácia</w:t>
            </w:r>
          </w:p>
        </w:tc>
        <w:tc>
          <w:tcPr>
            <w:tcW w:w="933" w:type="dxa"/>
            <w:tcBorders>
              <w:top w:val="nil"/>
              <w:left w:val="nil"/>
              <w:bottom w:val="single" w:sz="4" w:space="0" w:color="auto"/>
              <w:right w:val="single" w:sz="4" w:space="0" w:color="auto"/>
            </w:tcBorders>
            <w:shd w:val="clear" w:color="auto" w:fill="auto"/>
            <w:vAlign w:val="center"/>
            <w:hideMark/>
          </w:tcPr>
          <w:p w14:paraId="55578C05" w14:textId="6CB82B34"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25.06.26</w:t>
            </w:r>
          </w:p>
        </w:tc>
        <w:tc>
          <w:tcPr>
            <w:tcW w:w="1280" w:type="dxa"/>
            <w:tcBorders>
              <w:top w:val="nil"/>
              <w:left w:val="nil"/>
              <w:bottom w:val="single" w:sz="4" w:space="0" w:color="auto"/>
              <w:right w:val="single" w:sz="4" w:space="0" w:color="auto"/>
            </w:tcBorders>
            <w:shd w:val="clear" w:color="auto" w:fill="auto"/>
            <w:vAlign w:val="center"/>
            <w:hideMark/>
          </w:tcPr>
          <w:p w14:paraId="1AA37B5A" w14:textId="705E5988"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obchodník s cennými papiermi</w:t>
            </w:r>
          </w:p>
        </w:tc>
        <w:tc>
          <w:tcPr>
            <w:tcW w:w="973" w:type="dxa"/>
            <w:tcBorders>
              <w:top w:val="nil"/>
              <w:left w:val="nil"/>
              <w:bottom w:val="single" w:sz="4" w:space="0" w:color="auto"/>
              <w:right w:val="single" w:sz="4" w:space="0" w:color="auto"/>
            </w:tcBorders>
            <w:shd w:val="clear" w:color="auto" w:fill="auto"/>
            <w:vAlign w:val="center"/>
            <w:hideMark/>
          </w:tcPr>
          <w:p w14:paraId="0CBFF5E1" w14:textId="6E9DA91E" w:rsidR="0047337B" w:rsidRPr="00F16F66" w:rsidRDefault="0047337B" w:rsidP="0047337B">
            <w:pPr>
              <w:spacing w:after="0" w:line="240" w:lineRule="auto"/>
              <w:rPr>
                <w:rFonts w:ascii="Times New Roman" w:eastAsia="Times New Roman" w:hAnsi="Times New Roman" w:cs="Times New Roman"/>
                <w:color w:val="000000"/>
                <w:sz w:val="20"/>
                <w:szCs w:val="20"/>
                <w:lang w:eastAsia="sk-SK"/>
              </w:rPr>
            </w:pPr>
            <w:r>
              <w:rPr>
                <w:color w:val="000000"/>
                <w:sz w:val="20"/>
                <w:szCs w:val="20"/>
              </w:rPr>
              <w:t xml:space="preserve">                 15 </w:t>
            </w:r>
          </w:p>
        </w:tc>
        <w:tc>
          <w:tcPr>
            <w:tcW w:w="704" w:type="dxa"/>
            <w:tcBorders>
              <w:top w:val="nil"/>
              <w:left w:val="nil"/>
              <w:bottom w:val="single" w:sz="4" w:space="0" w:color="auto"/>
              <w:right w:val="single" w:sz="4" w:space="0" w:color="auto"/>
            </w:tcBorders>
            <w:shd w:val="clear" w:color="000000" w:fill="FFFFFF"/>
            <w:vAlign w:val="center"/>
            <w:hideMark/>
          </w:tcPr>
          <w:p w14:paraId="3B486579" w14:textId="316DE7B3"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134</w:t>
            </w:r>
          </w:p>
        </w:tc>
        <w:tc>
          <w:tcPr>
            <w:tcW w:w="719" w:type="dxa"/>
            <w:tcBorders>
              <w:top w:val="nil"/>
              <w:left w:val="nil"/>
              <w:bottom w:val="single" w:sz="4" w:space="0" w:color="auto"/>
              <w:right w:val="single" w:sz="4" w:space="0" w:color="auto"/>
            </w:tcBorders>
            <w:shd w:val="clear" w:color="auto" w:fill="auto"/>
            <w:vAlign w:val="center"/>
            <w:hideMark/>
          </w:tcPr>
          <w:p w14:paraId="6369974A" w14:textId="605E84FC"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2 012</w:t>
            </w:r>
          </w:p>
        </w:tc>
        <w:tc>
          <w:tcPr>
            <w:tcW w:w="992" w:type="dxa"/>
            <w:tcBorders>
              <w:top w:val="nil"/>
              <w:left w:val="nil"/>
              <w:bottom w:val="single" w:sz="4" w:space="0" w:color="auto"/>
              <w:right w:val="single" w:sz="4" w:space="0" w:color="auto"/>
            </w:tcBorders>
            <w:shd w:val="clear" w:color="auto" w:fill="auto"/>
            <w:vAlign w:val="center"/>
            <w:hideMark/>
          </w:tcPr>
          <w:p w14:paraId="64DDE4E5" w14:textId="252091EA"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In (zvyšuje náklady)</w:t>
            </w:r>
          </w:p>
        </w:tc>
        <w:tc>
          <w:tcPr>
            <w:tcW w:w="992" w:type="dxa"/>
            <w:tcBorders>
              <w:top w:val="nil"/>
              <w:left w:val="nil"/>
              <w:bottom w:val="single" w:sz="4" w:space="0" w:color="auto"/>
              <w:right w:val="single" w:sz="4" w:space="0" w:color="auto"/>
            </w:tcBorders>
            <w:shd w:val="clear" w:color="auto" w:fill="auto"/>
            <w:vAlign w:val="center"/>
            <w:hideMark/>
          </w:tcPr>
          <w:p w14:paraId="2FA31E6D" w14:textId="6D8A73BB" w:rsidR="0047337B" w:rsidRPr="00F16F66" w:rsidRDefault="0047337B" w:rsidP="0047337B">
            <w:pPr>
              <w:spacing w:after="0" w:line="240" w:lineRule="auto"/>
              <w:jc w:val="center"/>
              <w:rPr>
                <w:rFonts w:ascii="Times New Roman" w:eastAsia="Times New Roman" w:hAnsi="Times New Roman" w:cs="Times New Roman"/>
                <w:sz w:val="20"/>
                <w:szCs w:val="20"/>
                <w:lang w:eastAsia="sk-SK"/>
              </w:rPr>
            </w:pPr>
            <w:r>
              <w:rPr>
                <w:sz w:val="20"/>
                <w:szCs w:val="20"/>
              </w:rPr>
              <w:t>0</w:t>
            </w:r>
          </w:p>
        </w:tc>
        <w:tc>
          <w:tcPr>
            <w:tcW w:w="851" w:type="dxa"/>
            <w:tcBorders>
              <w:top w:val="nil"/>
              <w:left w:val="nil"/>
              <w:bottom w:val="single" w:sz="4" w:space="0" w:color="auto"/>
              <w:right w:val="single" w:sz="4" w:space="0" w:color="auto"/>
            </w:tcBorders>
            <w:shd w:val="clear" w:color="auto" w:fill="auto"/>
            <w:vAlign w:val="center"/>
            <w:hideMark/>
          </w:tcPr>
          <w:p w14:paraId="1FD31165" w14:textId="7386AFD6"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0</w:t>
            </w:r>
          </w:p>
        </w:tc>
        <w:tc>
          <w:tcPr>
            <w:tcW w:w="160" w:type="dxa"/>
            <w:vAlign w:val="center"/>
            <w:hideMark/>
          </w:tcPr>
          <w:p w14:paraId="7F4F0257" w14:textId="77777777" w:rsidR="0047337B" w:rsidRPr="00F16F66" w:rsidRDefault="0047337B" w:rsidP="0047337B">
            <w:pPr>
              <w:spacing w:after="0" w:line="240" w:lineRule="auto"/>
              <w:rPr>
                <w:rFonts w:ascii="Times New Roman" w:eastAsia="Times New Roman" w:hAnsi="Times New Roman" w:cs="Times New Roman"/>
                <w:sz w:val="20"/>
                <w:szCs w:val="20"/>
                <w:lang w:eastAsia="sk-SK"/>
              </w:rPr>
            </w:pPr>
          </w:p>
        </w:tc>
      </w:tr>
      <w:tr w:rsidR="0047337B" w:rsidRPr="00F16F66" w14:paraId="2D90EBD8" w14:textId="77777777" w:rsidTr="00F16F66">
        <w:trPr>
          <w:trHeight w:val="765"/>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17433BEA" w14:textId="11149BF5"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2</w:t>
            </w:r>
          </w:p>
        </w:tc>
        <w:tc>
          <w:tcPr>
            <w:tcW w:w="2098" w:type="dxa"/>
            <w:tcBorders>
              <w:top w:val="nil"/>
              <w:left w:val="nil"/>
              <w:bottom w:val="single" w:sz="4" w:space="0" w:color="auto"/>
              <w:right w:val="single" w:sz="4" w:space="0" w:color="auto"/>
            </w:tcBorders>
            <w:shd w:val="clear" w:color="auto" w:fill="auto"/>
            <w:vAlign w:val="center"/>
            <w:hideMark/>
          </w:tcPr>
          <w:p w14:paraId="095E5115" w14:textId="5EAFB92E"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 xml:space="preserve">vypracovanie osobitného plánu a kvantifikovateľných cieľov </w:t>
            </w:r>
          </w:p>
        </w:tc>
        <w:tc>
          <w:tcPr>
            <w:tcW w:w="1266" w:type="dxa"/>
            <w:tcBorders>
              <w:top w:val="nil"/>
              <w:left w:val="nil"/>
              <w:bottom w:val="single" w:sz="4" w:space="0" w:color="auto"/>
              <w:right w:val="single" w:sz="4" w:space="0" w:color="auto"/>
            </w:tcBorders>
            <w:shd w:val="clear" w:color="auto" w:fill="auto"/>
            <w:vAlign w:val="center"/>
            <w:hideMark/>
          </w:tcPr>
          <w:p w14:paraId="02595AA4" w14:textId="165FF5E0"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566/2001</w:t>
            </w:r>
          </w:p>
        </w:tc>
        <w:tc>
          <w:tcPr>
            <w:tcW w:w="1435" w:type="dxa"/>
            <w:tcBorders>
              <w:top w:val="nil"/>
              <w:left w:val="nil"/>
              <w:bottom w:val="single" w:sz="4" w:space="0" w:color="auto"/>
              <w:right w:val="single" w:sz="4" w:space="0" w:color="auto"/>
            </w:tcBorders>
            <w:shd w:val="clear" w:color="auto" w:fill="auto"/>
            <w:vAlign w:val="center"/>
            <w:hideMark/>
          </w:tcPr>
          <w:p w14:paraId="38F6E80C" w14:textId="7A6855E2"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 71c(7)</w:t>
            </w:r>
          </w:p>
        </w:tc>
        <w:tc>
          <w:tcPr>
            <w:tcW w:w="1258" w:type="dxa"/>
            <w:tcBorders>
              <w:top w:val="nil"/>
              <w:left w:val="nil"/>
              <w:bottom w:val="single" w:sz="4" w:space="0" w:color="auto"/>
              <w:right w:val="single" w:sz="4" w:space="0" w:color="auto"/>
            </w:tcBorders>
            <w:shd w:val="clear" w:color="auto" w:fill="auto"/>
            <w:vAlign w:val="center"/>
            <w:hideMark/>
          </w:tcPr>
          <w:p w14:paraId="7330DD1D" w14:textId="0FB3B232"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2. EÚ úplná harmonizácia</w:t>
            </w:r>
          </w:p>
        </w:tc>
        <w:tc>
          <w:tcPr>
            <w:tcW w:w="933" w:type="dxa"/>
            <w:tcBorders>
              <w:top w:val="nil"/>
              <w:left w:val="nil"/>
              <w:bottom w:val="single" w:sz="4" w:space="0" w:color="auto"/>
              <w:right w:val="single" w:sz="4" w:space="0" w:color="auto"/>
            </w:tcBorders>
            <w:shd w:val="clear" w:color="auto" w:fill="auto"/>
            <w:vAlign w:val="center"/>
            <w:hideMark/>
          </w:tcPr>
          <w:p w14:paraId="349FA0B1" w14:textId="7BC7DBA3"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25.06.26</w:t>
            </w:r>
          </w:p>
        </w:tc>
        <w:tc>
          <w:tcPr>
            <w:tcW w:w="1280" w:type="dxa"/>
            <w:tcBorders>
              <w:top w:val="nil"/>
              <w:left w:val="nil"/>
              <w:bottom w:val="single" w:sz="4" w:space="0" w:color="auto"/>
              <w:right w:val="single" w:sz="4" w:space="0" w:color="auto"/>
            </w:tcBorders>
            <w:shd w:val="clear" w:color="auto" w:fill="auto"/>
            <w:vAlign w:val="center"/>
            <w:hideMark/>
          </w:tcPr>
          <w:p w14:paraId="6AE46337" w14:textId="3D41F440"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obchodník s cennými papiermi</w:t>
            </w:r>
          </w:p>
        </w:tc>
        <w:tc>
          <w:tcPr>
            <w:tcW w:w="973" w:type="dxa"/>
            <w:tcBorders>
              <w:top w:val="nil"/>
              <w:left w:val="nil"/>
              <w:bottom w:val="single" w:sz="4" w:space="0" w:color="auto"/>
              <w:right w:val="single" w:sz="4" w:space="0" w:color="auto"/>
            </w:tcBorders>
            <w:shd w:val="clear" w:color="auto" w:fill="auto"/>
            <w:vAlign w:val="center"/>
            <w:hideMark/>
          </w:tcPr>
          <w:p w14:paraId="56BF28AB" w14:textId="264414CB" w:rsidR="0047337B" w:rsidRPr="00F16F66" w:rsidRDefault="0047337B" w:rsidP="0047337B">
            <w:pPr>
              <w:spacing w:after="0" w:line="240" w:lineRule="auto"/>
              <w:rPr>
                <w:rFonts w:ascii="Times New Roman" w:eastAsia="Times New Roman" w:hAnsi="Times New Roman" w:cs="Times New Roman"/>
                <w:color w:val="000000"/>
                <w:sz w:val="20"/>
                <w:szCs w:val="20"/>
                <w:lang w:eastAsia="sk-SK"/>
              </w:rPr>
            </w:pPr>
            <w:r>
              <w:rPr>
                <w:color w:val="000000"/>
                <w:sz w:val="20"/>
                <w:szCs w:val="20"/>
              </w:rPr>
              <w:t xml:space="preserve">                 15 </w:t>
            </w:r>
          </w:p>
        </w:tc>
        <w:tc>
          <w:tcPr>
            <w:tcW w:w="704" w:type="dxa"/>
            <w:tcBorders>
              <w:top w:val="nil"/>
              <w:left w:val="nil"/>
              <w:bottom w:val="single" w:sz="4" w:space="0" w:color="auto"/>
              <w:right w:val="single" w:sz="4" w:space="0" w:color="auto"/>
            </w:tcBorders>
            <w:shd w:val="clear" w:color="auto" w:fill="auto"/>
            <w:vAlign w:val="center"/>
            <w:hideMark/>
          </w:tcPr>
          <w:p w14:paraId="7E881357" w14:textId="1CDE658C"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259</w:t>
            </w:r>
          </w:p>
        </w:tc>
        <w:tc>
          <w:tcPr>
            <w:tcW w:w="719" w:type="dxa"/>
            <w:tcBorders>
              <w:top w:val="nil"/>
              <w:left w:val="nil"/>
              <w:bottom w:val="single" w:sz="4" w:space="0" w:color="auto"/>
              <w:right w:val="single" w:sz="4" w:space="0" w:color="auto"/>
            </w:tcBorders>
            <w:shd w:val="clear" w:color="auto" w:fill="auto"/>
            <w:vAlign w:val="center"/>
            <w:hideMark/>
          </w:tcPr>
          <w:p w14:paraId="455AEE09" w14:textId="1AEA6F5F"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3 887</w:t>
            </w:r>
          </w:p>
        </w:tc>
        <w:tc>
          <w:tcPr>
            <w:tcW w:w="992" w:type="dxa"/>
            <w:tcBorders>
              <w:top w:val="nil"/>
              <w:left w:val="nil"/>
              <w:bottom w:val="single" w:sz="4" w:space="0" w:color="auto"/>
              <w:right w:val="single" w:sz="4" w:space="0" w:color="auto"/>
            </w:tcBorders>
            <w:shd w:val="clear" w:color="auto" w:fill="auto"/>
            <w:vAlign w:val="center"/>
            <w:hideMark/>
          </w:tcPr>
          <w:p w14:paraId="4C6AABCE" w14:textId="2EBF5C3D"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In (zvyšuje náklady)</w:t>
            </w:r>
          </w:p>
        </w:tc>
        <w:tc>
          <w:tcPr>
            <w:tcW w:w="992" w:type="dxa"/>
            <w:tcBorders>
              <w:top w:val="nil"/>
              <w:left w:val="nil"/>
              <w:bottom w:val="single" w:sz="4" w:space="0" w:color="auto"/>
              <w:right w:val="single" w:sz="4" w:space="0" w:color="auto"/>
            </w:tcBorders>
            <w:shd w:val="clear" w:color="auto" w:fill="auto"/>
            <w:vAlign w:val="center"/>
            <w:hideMark/>
          </w:tcPr>
          <w:p w14:paraId="334DE430" w14:textId="7E4269FF" w:rsidR="0047337B" w:rsidRPr="00F16F66" w:rsidRDefault="0047337B" w:rsidP="0047337B">
            <w:pPr>
              <w:spacing w:after="0" w:line="240" w:lineRule="auto"/>
              <w:jc w:val="center"/>
              <w:rPr>
                <w:rFonts w:ascii="Times New Roman" w:eastAsia="Times New Roman" w:hAnsi="Times New Roman" w:cs="Times New Roman"/>
                <w:sz w:val="20"/>
                <w:szCs w:val="20"/>
                <w:lang w:eastAsia="sk-SK"/>
              </w:rPr>
            </w:pPr>
            <w:r>
              <w:rPr>
                <w:sz w:val="20"/>
                <w:szCs w:val="20"/>
              </w:rPr>
              <w:t>0</w:t>
            </w:r>
          </w:p>
        </w:tc>
        <w:tc>
          <w:tcPr>
            <w:tcW w:w="851" w:type="dxa"/>
            <w:tcBorders>
              <w:top w:val="nil"/>
              <w:left w:val="nil"/>
              <w:bottom w:val="single" w:sz="4" w:space="0" w:color="auto"/>
              <w:right w:val="single" w:sz="4" w:space="0" w:color="auto"/>
            </w:tcBorders>
            <w:shd w:val="clear" w:color="auto" w:fill="auto"/>
            <w:vAlign w:val="center"/>
            <w:hideMark/>
          </w:tcPr>
          <w:p w14:paraId="4E37E3EC" w14:textId="54E953AC"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0</w:t>
            </w:r>
          </w:p>
        </w:tc>
        <w:tc>
          <w:tcPr>
            <w:tcW w:w="160" w:type="dxa"/>
            <w:vAlign w:val="center"/>
            <w:hideMark/>
          </w:tcPr>
          <w:p w14:paraId="512FB072" w14:textId="77777777" w:rsidR="0047337B" w:rsidRPr="00F16F66" w:rsidRDefault="0047337B" w:rsidP="0047337B">
            <w:pPr>
              <w:spacing w:after="0" w:line="240" w:lineRule="auto"/>
              <w:rPr>
                <w:rFonts w:ascii="Times New Roman" w:eastAsia="Times New Roman" w:hAnsi="Times New Roman" w:cs="Times New Roman"/>
                <w:sz w:val="20"/>
                <w:szCs w:val="20"/>
                <w:lang w:eastAsia="sk-SK"/>
              </w:rPr>
            </w:pPr>
          </w:p>
        </w:tc>
      </w:tr>
      <w:tr w:rsidR="0047337B" w:rsidRPr="00F16F66" w14:paraId="7E48128D" w14:textId="77777777" w:rsidTr="00F16F66">
        <w:trPr>
          <w:trHeight w:val="765"/>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2BB47C8F" w14:textId="163BC707"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3</w:t>
            </w:r>
          </w:p>
        </w:tc>
        <w:tc>
          <w:tcPr>
            <w:tcW w:w="2098" w:type="dxa"/>
            <w:tcBorders>
              <w:top w:val="nil"/>
              <w:left w:val="nil"/>
              <w:bottom w:val="single" w:sz="4" w:space="0" w:color="auto"/>
              <w:right w:val="single" w:sz="4" w:space="0" w:color="auto"/>
            </w:tcBorders>
            <w:shd w:val="clear" w:color="auto" w:fill="auto"/>
            <w:vAlign w:val="center"/>
            <w:hideMark/>
          </w:tcPr>
          <w:p w14:paraId="461B518A" w14:textId="09BFAC7C"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vypracovanie prieskumov v súlade s kódexom správania EÚ pre prieskum sponzorovaný emitentom</w:t>
            </w:r>
          </w:p>
        </w:tc>
        <w:tc>
          <w:tcPr>
            <w:tcW w:w="1266" w:type="dxa"/>
            <w:tcBorders>
              <w:top w:val="nil"/>
              <w:left w:val="nil"/>
              <w:bottom w:val="single" w:sz="4" w:space="0" w:color="auto"/>
              <w:right w:val="single" w:sz="4" w:space="0" w:color="auto"/>
            </w:tcBorders>
            <w:shd w:val="clear" w:color="auto" w:fill="auto"/>
            <w:vAlign w:val="center"/>
            <w:hideMark/>
          </w:tcPr>
          <w:p w14:paraId="211401F0" w14:textId="1948B76A"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566/2001</w:t>
            </w:r>
          </w:p>
        </w:tc>
        <w:tc>
          <w:tcPr>
            <w:tcW w:w="1435" w:type="dxa"/>
            <w:tcBorders>
              <w:top w:val="nil"/>
              <w:left w:val="nil"/>
              <w:bottom w:val="single" w:sz="4" w:space="0" w:color="auto"/>
              <w:right w:val="single" w:sz="4" w:space="0" w:color="auto"/>
            </w:tcBorders>
            <w:shd w:val="clear" w:color="auto" w:fill="auto"/>
            <w:vAlign w:val="center"/>
            <w:hideMark/>
          </w:tcPr>
          <w:p w14:paraId="179B0FC2" w14:textId="15B110FD"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 73b(24)</w:t>
            </w:r>
          </w:p>
        </w:tc>
        <w:tc>
          <w:tcPr>
            <w:tcW w:w="1258" w:type="dxa"/>
            <w:tcBorders>
              <w:top w:val="nil"/>
              <w:left w:val="nil"/>
              <w:bottom w:val="single" w:sz="4" w:space="0" w:color="auto"/>
              <w:right w:val="single" w:sz="4" w:space="0" w:color="auto"/>
            </w:tcBorders>
            <w:shd w:val="clear" w:color="auto" w:fill="auto"/>
            <w:vAlign w:val="center"/>
            <w:hideMark/>
          </w:tcPr>
          <w:p w14:paraId="32B84877" w14:textId="44E56538"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2. EÚ úplná harmonizácia</w:t>
            </w:r>
          </w:p>
        </w:tc>
        <w:tc>
          <w:tcPr>
            <w:tcW w:w="933" w:type="dxa"/>
            <w:tcBorders>
              <w:top w:val="nil"/>
              <w:left w:val="nil"/>
              <w:bottom w:val="single" w:sz="4" w:space="0" w:color="auto"/>
              <w:right w:val="single" w:sz="4" w:space="0" w:color="auto"/>
            </w:tcBorders>
            <w:shd w:val="clear" w:color="auto" w:fill="auto"/>
            <w:vAlign w:val="center"/>
            <w:hideMark/>
          </w:tcPr>
          <w:p w14:paraId="62C0BF8A" w14:textId="2F68EEBC"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06.06.26</w:t>
            </w:r>
          </w:p>
        </w:tc>
        <w:tc>
          <w:tcPr>
            <w:tcW w:w="1280" w:type="dxa"/>
            <w:tcBorders>
              <w:top w:val="nil"/>
              <w:left w:val="nil"/>
              <w:bottom w:val="single" w:sz="4" w:space="0" w:color="auto"/>
              <w:right w:val="single" w:sz="4" w:space="0" w:color="auto"/>
            </w:tcBorders>
            <w:shd w:val="clear" w:color="auto" w:fill="auto"/>
            <w:vAlign w:val="center"/>
            <w:hideMark/>
          </w:tcPr>
          <w:p w14:paraId="178107D2" w14:textId="679B7085"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obchodník s cennými papiermi</w:t>
            </w:r>
          </w:p>
        </w:tc>
        <w:tc>
          <w:tcPr>
            <w:tcW w:w="973" w:type="dxa"/>
            <w:tcBorders>
              <w:top w:val="nil"/>
              <w:left w:val="nil"/>
              <w:bottom w:val="single" w:sz="4" w:space="0" w:color="auto"/>
              <w:right w:val="single" w:sz="4" w:space="0" w:color="auto"/>
            </w:tcBorders>
            <w:shd w:val="clear" w:color="auto" w:fill="auto"/>
            <w:vAlign w:val="center"/>
            <w:hideMark/>
          </w:tcPr>
          <w:p w14:paraId="4C15D257" w14:textId="5138906E" w:rsidR="0047337B" w:rsidRPr="00F16F66" w:rsidRDefault="0047337B" w:rsidP="0047337B">
            <w:pPr>
              <w:spacing w:after="0" w:line="240" w:lineRule="auto"/>
              <w:rPr>
                <w:rFonts w:ascii="Times New Roman" w:eastAsia="Times New Roman" w:hAnsi="Times New Roman" w:cs="Times New Roman"/>
                <w:color w:val="000000"/>
                <w:sz w:val="20"/>
                <w:szCs w:val="20"/>
                <w:lang w:eastAsia="sk-SK"/>
              </w:rPr>
            </w:pPr>
            <w:r>
              <w:rPr>
                <w:color w:val="000000"/>
                <w:sz w:val="20"/>
                <w:szCs w:val="20"/>
              </w:rPr>
              <w:t xml:space="preserve">                 15 </w:t>
            </w:r>
          </w:p>
        </w:tc>
        <w:tc>
          <w:tcPr>
            <w:tcW w:w="704" w:type="dxa"/>
            <w:tcBorders>
              <w:top w:val="nil"/>
              <w:left w:val="nil"/>
              <w:bottom w:val="single" w:sz="4" w:space="0" w:color="auto"/>
              <w:right w:val="single" w:sz="4" w:space="0" w:color="auto"/>
            </w:tcBorders>
            <w:shd w:val="clear" w:color="auto" w:fill="auto"/>
            <w:vAlign w:val="center"/>
            <w:hideMark/>
          </w:tcPr>
          <w:p w14:paraId="7C331F48" w14:textId="0209BE4E"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59</w:t>
            </w:r>
          </w:p>
        </w:tc>
        <w:tc>
          <w:tcPr>
            <w:tcW w:w="719" w:type="dxa"/>
            <w:tcBorders>
              <w:top w:val="nil"/>
              <w:left w:val="nil"/>
              <w:bottom w:val="single" w:sz="4" w:space="0" w:color="auto"/>
              <w:right w:val="single" w:sz="4" w:space="0" w:color="auto"/>
            </w:tcBorders>
            <w:shd w:val="clear" w:color="auto" w:fill="auto"/>
            <w:vAlign w:val="center"/>
            <w:hideMark/>
          </w:tcPr>
          <w:p w14:paraId="5043F887" w14:textId="4AD670DB"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887</w:t>
            </w:r>
          </w:p>
        </w:tc>
        <w:tc>
          <w:tcPr>
            <w:tcW w:w="992" w:type="dxa"/>
            <w:tcBorders>
              <w:top w:val="nil"/>
              <w:left w:val="nil"/>
              <w:bottom w:val="single" w:sz="4" w:space="0" w:color="auto"/>
              <w:right w:val="single" w:sz="4" w:space="0" w:color="auto"/>
            </w:tcBorders>
            <w:shd w:val="clear" w:color="auto" w:fill="auto"/>
            <w:vAlign w:val="center"/>
            <w:hideMark/>
          </w:tcPr>
          <w:p w14:paraId="5AA2381F" w14:textId="1FB45615"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In (zvyšuje náklady)</w:t>
            </w:r>
          </w:p>
        </w:tc>
        <w:tc>
          <w:tcPr>
            <w:tcW w:w="992" w:type="dxa"/>
            <w:tcBorders>
              <w:top w:val="nil"/>
              <w:left w:val="nil"/>
              <w:bottom w:val="single" w:sz="4" w:space="0" w:color="auto"/>
              <w:right w:val="single" w:sz="4" w:space="0" w:color="auto"/>
            </w:tcBorders>
            <w:shd w:val="clear" w:color="auto" w:fill="auto"/>
            <w:vAlign w:val="center"/>
            <w:hideMark/>
          </w:tcPr>
          <w:p w14:paraId="1C4FD861" w14:textId="645729E9" w:rsidR="0047337B" w:rsidRPr="00F16F66" w:rsidRDefault="0047337B" w:rsidP="0047337B">
            <w:pPr>
              <w:spacing w:after="0" w:line="240" w:lineRule="auto"/>
              <w:jc w:val="center"/>
              <w:rPr>
                <w:rFonts w:ascii="Times New Roman" w:eastAsia="Times New Roman" w:hAnsi="Times New Roman" w:cs="Times New Roman"/>
                <w:sz w:val="20"/>
                <w:szCs w:val="20"/>
                <w:lang w:eastAsia="sk-SK"/>
              </w:rPr>
            </w:pPr>
            <w:r>
              <w:rPr>
                <w:sz w:val="20"/>
                <w:szCs w:val="20"/>
              </w:rPr>
              <w:t>0</w:t>
            </w:r>
          </w:p>
        </w:tc>
        <w:tc>
          <w:tcPr>
            <w:tcW w:w="851" w:type="dxa"/>
            <w:tcBorders>
              <w:top w:val="nil"/>
              <w:left w:val="nil"/>
              <w:bottom w:val="single" w:sz="4" w:space="0" w:color="auto"/>
              <w:right w:val="single" w:sz="4" w:space="0" w:color="auto"/>
            </w:tcBorders>
            <w:shd w:val="clear" w:color="auto" w:fill="auto"/>
            <w:vAlign w:val="center"/>
            <w:hideMark/>
          </w:tcPr>
          <w:p w14:paraId="3E2CAFEB" w14:textId="7EEFB804"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0</w:t>
            </w:r>
          </w:p>
        </w:tc>
        <w:tc>
          <w:tcPr>
            <w:tcW w:w="160" w:type="dxa"/>
            <w:vAlign w:val="center"/>
            <w:hideMark/>
          </w:tcPr>
          <w:p w14:paraId="5365AA6E" w14:textId="77777777" w:rsidR="0047337B" w:rsidRPr="00F16F66" w:rsidRDefault="0047337B" w:rsidP="0047337B">
            <w:pPr>
              <w:spacing w:after="0" w:line="240" w:lineRule="auto"/>
              <w:rPr>
                <w:rFonts w:ascii="Times New Roman" w:eastAsia="Times New Roman" w:hAnsi="Times New Roman" w:cs="Times New Roman"/>
                <w:sz w:val="20"/>
                <w:szCs w:val="20"/>
                <w:lang w:eastAsia="sk-SK"/>
              </w:rPr>
            </w:pPr>
          </w:p>
        </w:tc>
      </w:tr>
      <w:tr w:rsidR="0047337B" w:rsidRPr="00F16F66" w14:paraId="4DCE953B" w14:textId="77777777" w:rsidTr="00F16F66">
        <w:trPr>
          <w:trHeight w:val="765"/>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2DFCAE33" w14:textId="4D7372A1"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4</w:t>
            </w:r>
          </w:p>
        </w:tc>
        <w:tc>
          <w:tcPr>
            <w:tcW w:w="2098" w:type="dxa"/>
            <w:tcBorders>
              <w:top w:val="nil"/>
              <w:left w:val="nil"/>
              <w:bottom w:val="single" w:sz="4" w:space="0" w:color="auto"/>
              <w:right w:val="single" w:sz="4" w:space="0" w:color="auto"/>
            </w:tcBorders>
            <w:shd w:val="clear" w:color="auto" w:fill="auto"/>
            <w:vAlign w:val="center"/>
            <w:hideMark/>
          </w:tcPr>
          <w:p w14:paraId="51B3A17C" w14:textId="61016A05"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záznamy o celkových nákladoch za prieskumy vykonávané treťou stranou</w:t>
            </w:r>
          </w:p>
        </w:tc>
        <w:tc>
          <w:tcPr>
            <w:tcW w:w="1266" w:type="dxa"/>
            <w:tcBorders>
              <w:top w:val="nil"/>
              <w:left w:val="nil"/>
              <w:bottom w:val="single" w:sz="4" w:space="0" w:color="auto"/>
              <w:right w:val="single" w:sz="4" w:space="0" w:color="auto"/>
            </w:tcBorders>
            <w:shd w:val="clear" w:color="auto" w:fill="auto"/>
            <w:vAlign w:val="center"/>
            <w:hideMark/>
          </w:tcPr>
          <w:p w14:paraId="7346EC68" w14:textId="0E4D325D"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566/2001</w:t>
            </w:r>
          </w:p>
        </w:tc>
        <w:tc>
          <w:tcPr>
            <w:tcW w:w="1435" w:type="dxa"/>
            <w:tcBorders>
              <w:top w:val="nil"/>
              <w:left w:val="nil"/>
              <w:bottom w:val="single" w:sz="4" w:space="0" w:color="auto"/>
              <w:right w:val="single" w:sz="4" w:space="0" w:color="auto"/>
            </w:tcBorders>
            <w:shd w:val="clear" w:color="auto" w:fill="auto"/>
            <w:vAlign w:val="center"/>
            <w:hideMark/>
          </w:tcPr>
          <w:p w14:paraId="02E8543C" w14:textId="4291C684"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 73b(30)</w:t>
            </w:r>
          </w:p>
        </w:tc>
        <w:tc>
          <w:tcPr>
            <w:tcW w:w="1258" w:type="dxa"/>
            <w:tcBorders>
              <w:top w:val="nil"/>
              <w:left w:val="nil"/>
              <w:bottom w:val="single" w:sz="4" w:space="0" w:color="auto"/>
              <w:right w:val="single" w:sz="4" w:space="0" w:color="auto"/>
            </w:tcBorders>
            <w:shd w:val="clear" w:color="auto" w:fill="auto"/>
            <w:vAlign w:val="center"/>
            <w:hideMark/>
          </w:tcPr>
          <w:p w14:paraId="25F43E6A" w14:textId="6D79A0A6"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2. EÚ úplná harmonizácia</w:t>
            </w:r>
          </w:p>
        </w:tc>
        <w:tc>
          <w:tcPr>
            <w:tcW w:w="933" w:type="dxa"/>
            <w:tcBorders>
              <w:top w:val="nil"/>
              <w:left w:val="nil"/>
              <w:bottom w:val="single" w:sz="4" w:space="0" w:color="auto"/>
              <w:right w:val="single" w:sz="4" w:space="0" w:color="auto"/>
            </w:tcBorders>
            <w:shd w:val="clear" w:color="auto" w:fill="auto"/>
            <w:vAlign w:val="center"/>
            <w:hideMark/>
          </w:tcPr>
          <w:p w14:paraId="260B4054" w14:textId="6E14F351"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06.06.26</w:t>
            </w:r>
          </w:p>
        </w:tc>
        <w:tc>
          <w:tcPr>
            <w:tcW w:w="1280" w:type="dxa"/>
            <w:tcBorders>
              <w:top w:val="nil"/>
              <w:left w:val="nil"/>
              <w:bottom w:val="single" w:sz="4" w:space="0" w:color="auto"/>
              <w:right w:val="single" w:sz="4" w:space="0" w:color="auto"/>
            </w:tcBorders>
            <w:shd w:val="clear" w:color="auto" w:fill="auto"/>
            <w:vAlign w:val="center"/>
            <w:hideMark/>
          </w:tcPr>
          <w:p w14:paraId="18AF9C80" w14:textId="34C763BC"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obchodník s cennými papiermi</w:t>
            </w:r>
          </w:p>
        </w:tc>
        <w:tc>
          <w:tcPr>
            <w:tcW w:w="973" w:type="dxa"/>
            <w:tcBorders>
              <w:top w:val="nil"/>
              <w:left w:val="nil"/>
              <w:bottom w:val="single" w:sz="4" w:space="0" w:color="auto"/>
              <w:right w:val="single" w:sz="4" w:space="0" w:color="auto"/>
            </w:tcBorders>
            <w:shd w:val="clear" w:color="auto" w:fill="auto"/>
            <w:vAlign w:val="center"/>
            <w:hideMark/>
          </w:tcPr>
          <w:p w14:paraId="2413A701" w14:textId="604A0022" w:rsidR="0047337B" w:rsidRPr="00F16F66" w:rsidRDefault="0047337B" w:rsidP="0047337B">
            <w:pPr>
              <w:spacing w:after="0" w:line="240" w:lineRule="auto"/>
              <w:rPr>
                <w:rFonts w:ascii="Times New Roman" w:eastAsia="Times New Roman" w:hAnsi="Times New Roman" w:cs="Times New Roman"/>
                <w:color w:val="000000"/>
                <w:sz w:val="20"/>
                <w:szCs w:val="20"/>
                <w:lang w:eastAsia="sk-SK"/>
              </w:rPr>
            </w:pPr>
            <w:r>
              <w:rPr>
                <w:color w:val="000000"/>
                <w:sz w:val="20"/>
                <w:szCs w:val="20"/>
              </w:rPr>
              <w:t xml:space="preserve">                 15 </w:t>
            </w:r>
          </w:p>
        </w:tc>
        <w:tc>
          <w:tcPr>
            <w:tcW w:w="704" w:type="dxa"/>
            <w:tcBorders>
              <w:top w:val="nil"/>
              <w:left w:val="nil"/>
              <w:bottom w:val="single" w:sz="4" w:space="0" w:color="auto"/>
              <w:right w:val="single" w:sz="4" w:space="0" w:color="auto"/>
            </w:tcBorders>
            <w:shd w:val="clear" w:color="auto" w:fill="auto"/>
            <w:vAlign w:val="center"/>
            <w:hideMark/>
          </w:tcPr>
          <w:p w14:paraId="20FA964D" w14:textId="11F3F437"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1 638</w:t>
            </w:r>
          </w:p>
        </w:tc>
        <w:tc>
          <w:tcPr>
            <w:tcW w:w="719" w:type="dxa"/>
            <w:tcBorders>
              <w:top w:val="nil"/>
              <w:left w:val="nil"/>
              <w:bottom w:val="single" w:sz="4" w:space="0" w:color="auto"/>
              <w:right w:val="single" w:sz="4" w:space="0" w:color="auto"/>
            </w:tcBorders>
            <w:shd w:val="clear" w:color="auto" w:fill="auto"/>
            <w:vAlign w:val="center"/>
            <w:hideMark/>
          </w:tcPr>
          <w:p w14:paraId="4864BFA5" w14:textId="56ECAFFB"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24 573</w:t>
            </w:r>
          </w:p>
        </w:tc>
        <w:tc>
          <w:tcPr>
            <w:tcW w:w="992" w:type="dxa"/>
            <w:tcBorders>
              <w:top w:val="nil"/>
              <w:left w:val="nil"/>
              <w:bottom w:val="single" w:sz="4" w:space="0" w:color="auto"/>
              <w:right w:val="single" w:sz="4" w:space="0" w:color="auto"/>
            </w:tcBorders>
            <w:shd w:val="clear" w:color="auto" w:fill="auto"/>
            <w:vAlign w:val="center"/>
            <w:hideMark/>
          </w:tcPr>
          <w:p w14:paraId="5C18F535" w14:textId="51280D65"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In (zvyšuje náklady)</w:t>
            </w:r>
          </w:p>
        </w:tc>
        <w:tc>
          <w:tcPr>
            <w:tcW w:w="992" w:type="dxa"/>
            <w:tcBorders>
              <w:top w:val="nil"/>
              <w:left w:val="nil"/>
              <w:bottom w:val="single" w:sz="4" w:space="0" w:color="auto"/>
              <w:right w:val="single" w:sz="4" w:space="0" w:color="auto"/>
            </w:tcBorders>
            <w:shd w:val="clear" w:color="auto" w:fill="auto"/>
            <w:vAlign w:val="center"/>
            <w:hideMark/>
          </w:tcPr>
          <w:p w14:paraId="4483CB0B" w14:textId="0896B409" w:rsidR="0047337B" w:rsidRPr="00F16F66" w:rsidRDefault="0047337B" w:rsidP="0047337B">
            <w:pPr>
              <w:spacing w:after="0" w:line="240" w:lineRule="auto"/>
              <w:jc w:val="center"/>
              <w:rPr>
                <w:rFonts w:ascii="Times New Roman" w:eastAsia="Times New Roman" w:hAnsi="Times New Roman" w:cs="Times New Roman"/>
                <w:sz w:val="20"/>
                <w:szCs w:val="20"/>
                <w:lang w:eastAsia="sk-SK"/>
              </w:rPr>
            </w:pPr>
            <w:r>
              <w:rPr>
                <w:sz w:val="20"/>
                <w:szCs w:val="20"/>
              </w:rPr>
              <w:t>0</w:t>
            </w:r>
          </w:p>
        </w:tc>
        <w:tc>
          <w:tcPr>
            <w:tcW w:w="851" w:type="dxa"/>
            <w:tcBorders>
              <w:top w:val="nil"/>
              <w:left w:val="nil"/>
              <w:bottom w:val="single" w:sz="4" w:space="0" w:color="auto"/>
              <w:right w:val="single" w:sz="4" w:space="0" w:color="auto"/>
            </w:tcBorders>
            <w:shd w:val="clear" w:color="auto" w:fill="auto"/>
            <w:vAlign w:val="center"/>
            <w:hideMark/>
          </w:tcPr>
          <w:p w14:paraId="0F114834" w14:textId="188576AB"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0</w:t>
            </w:r>
          </w:p>
        </w:tc>
        <w:tc>
          <w:tcPr>
            <w:tcW w:w="160" w:type="dxa"/>
            <w:vAlign w:val="center"/>
            <w:hideMark/>
          </w:tcPr>
          <w:p w14:paraId="250BB940" w14:textId="77777777" w:rsidR="0047337B" w:rsidRPr="00F16F66" w:rsidRDefault="0047337B" w:rsidP="0047337B">
            <w:pPr>
              <w:spacing w:after="0" w:line="240" w:lineRule="auto"/>
              <w:rPr>
                <w:rFonts w:ascii="Times New Roman" w:eastAsia="Times New Roman" w:hAnsi="Times New Roman" w:cs="Times New Roman"/>
                <w:sz w:val="20"/>
                <w:szCs w:val="20"/>
                <w:lang w:eastAsia="sk-SK"/>
              </w:rPr>
            </w:pPr>
          </w:p>
        </w:tc>
      </w:tr>
      <w:tr w:rsidR="0047337B" w:rsidRPr="00F16F66" w14:paraId="741BA99F" w14:textId="77777777" w:rsidTr="00F16F66">
        <w:trPr>
          <w:trHeight w:val="765"/>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67286C81" w14:textId="7C12C333"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5</w:t>
            </w:r>
          </w:p>
        </w:tc>
        <w:tc>
          <w:tcPr>
            <w:tcW w:w="2098" w:type="dxa"/>
            <w:tcBorders>
              <w:top w:val="nil"/>
              <w:left w:val="nil"/>
              <w:bottom w:val="single" w:sz="4" w:space="0" w:color="auto"/>
              <w:right w:val="single" w:sz="4" w:space="0" w:color="auto"/>
            </w:tcBorders>
            <w:shd w:val="clear" w:color="auto" w:fill="auto"/>
            <w:vAlign w:val="center"/>
            <w:hideMark/>
          </w:tcPr>
          <w:p w14:paraId="14D76CBA" w14:textId="76D76759"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uzavretie dohody o poskytovaní investičného prieskumu</w:t>
            </w:r>
          </w:p>
        </w:tc>
        <w:tc>
          <w:tcPr>
            <w:tcW w:w="1266" w:type="dxa"/>
            <w:tcBorders>
              <w:top w:val="nil"/>
              <w:left w:val="nil"/>
              <w:bottom w:val="single" w:sz="4" w:space="0" w:color="auto"/>
              <w:right w:val="single" w:sz="4" w:space="0" w:color="auto"/>
            </w:tcBorders>
            <w:shd w:val="clear" w:color="auto" w:fill="auto"/>
            <w:vAlign w:val="center"/>
            <w:hideMark/>
          </w:tcPr>
          <w:p w14:paraId="2772E993" w14:textId="40A4A9DB"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566/2001</w:t>
            </w:r>
          </w:p>
        </w:tc>
        <w:tc>
          <w:tcPr>
            <w:tcW w:w="1435" w:type="dxa"/>
            <w:tcBorders>
              <w:top w:val="nil"/>
              <w:left w:val="nil"/>
              <w:bottom w:val="single" w:sz="4" w:space="0" w:color="auto"/>
              <w:right w:val="single" w:sz="4" w:space="0" w:color="auto"/>
            </w:tcBorders>
            <w:shd w:val="clear" w:color="auto" w:fill="auto"/>
            <w:vAlign w:val="center"/>
            <w:hideMark/>
          </w:tcPr>
          <w:p w14:paraId="7E77633F" w14:textId="08151F63"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 xml:space="preserve">§ 73b(18) </w:t>
            </w:r>
          </w:p>
        </w:tc>
        <w:tc>
          <w:tcPr>
            <w:tcW w:w="1258" w:type="dxa"/>
            <w:tcBorders>
              <w:top w:val="nil"/>
              <w:left w:val="nil"/>
              <w:bottom w:val="single" w:sz="4" w:space="0" w:color="auto"/>
              <w:right w:val="single" w:sz="4" w:space="0" w:color="auto"/>
            </w:tcBorders>
            <w:shd w:val="clear" w:color="auto" w:fill="auto"/>
            <w:vAlign w:val="center"/>
            <w:hideMark/>
          </w:tcPr>
          <w:p w14:paraId="45276697" w14:textId="2D61D0DD"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2. EÚ úplná harmonizácia</w:t>
            </w:r>
          </w:p>
        </w:tc>
        <w:tc>
          <w:tcPr>
            <w:tcW w:w="933" w:type="dxa"/>
            <w:tcBorders>
              <w:top w:val="nil"/>
              <w:left w:val="nil"/>
              <w:bottom w:val="single" w:sz="4" w:space="0" w:color="auto"/>
              <w:right w:val="single" w:sz="4" w:space="0" w:color="auto"/>
            </w:tcBorders>
            <w:shd w:val="clear" w:color="auto" w:fill="auto"/>
            <w:vAlign w:val="center"/>
            <w:hideMark/>
          </w:tcPr>
          <w:p w14:paraId="13978EB1" w14:textId="1C967518"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06.06.26</w:t>
            </w:r>
          </w:p>
        </w:tc>
        <w:tc>
          <w:tcPr>
            <w:tcW w:w="1280" w:type="dxa"/>
            <w:tcBorders>
              <w:top w:val="nil"/>
              <w:left w:val="nil"/>
              <w:bottom w:val="single" w:sz="4" w:space="0" w:color="auto"/>
              <w:right w:val="single" w:sz="4" w:space="0" w:color="auto"/>
            </w:tcBorders>
            <w:shd w:val="clear" w:color="auto" w:fill="auto"/>
            <w:vAlign w:val="center"/>
            <w:hideMark/>
          </w:tcPr>
          <w:p w14:paraId="3849DBFE" w14:textId="5316E625"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obchodník s cennými papiermi</w:t>
            </w:r>
          </w:p>
        </w:tc>
        <w:tc>
          <w:tcPr>
            <w:tcW w:w="973" w:type="dxa"/>
            <w:tcBorders>
              <w:top w:val="nil"/>
              <w:left w:val="nil"/>
              <w:bottom w:val="single" w:sz="4" w:space="0" w:color="auto"/>
              <w:right w:val="single" w:sz="4" w:space="0" w:color="auto"/>
            </w:tcBorders>
            <w:shd w:val="clear" w:color="auto" w:fill="auto"/>
            <w:vAlign w:val="center"/>
            <w:hideMark/>
          </w:tcPr>
          <w:p w14:paraId="048961E3" w14:textId="3087FDC6" w:rsidR="0047337B" w:rsidRPr="00F16F66" w:rsidRDefault="0047337B" w:rsidP="0047337B">
            <w:pPr>
              <w:spacing w:after="0" w:line="240" w:lineRule="auto"/>
              <w:rPr>
                <w:rFonts w:ascii="Times New Roman" w:eastAsia="Times New Roman" w:hAnsi="Times New Roman" w:cs="Times New Roman"/>
                <w:color w:val="000000"/>
                <w:sz w:val="20"/>
                <w:szCs w:val="20"/>
                <w:lang w:eastAsia="sk-SK"/>
              </w:rPr>
            </w:pPr>
            <w:r>
              <w:rPr>
                <w:color w:val="000000"/>
                <w:sz w:val="20"/>
                <w:szCs w:val="20"/>
              </w:rPr>
              <w:t xml:space="preserve">                 15 </w:t>
            </w:r>
          </w:p>
        </w:tc>
        <w:tc>
          <w:tcPr>
            <w:tcW w:w="704" w:type="dxa"/>
            <w:tcBorders>
              <w:top w:val="nil"/>
              <w:left w:val="nil"/>
              <w:bottom w:val="single" w:sz="4" w:space="0" w:color="auto"/>
              <w:right w:val="single" w:sz="4" w:space="0" w:color="auto"/>
            </w:tcBorders>
            <w:shd w:val="clear" w:color="auto" w:fill="auto"/>
            <w:vAlign w:val="center"/>
            <w:hideMark/>
          </w:tcPr>
          <w:p w14:paraId="257D074D" w14:textId="6C1F50B8"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540</w:t>
            </w:r>
          </w:p>
        </w:tc>
        <w:tc>
          <w:tcPr>
            <w:tcW w:w="719" w:type="dxa"/>
            <w:tcBorders>
              <w:top w:val="nil"/>
              <w:left w:val="nil"/>
              <w:bottom w:val="single" w:sz="4" w:space="0" w:color="auto"/>
              <w:right w:val="single" w:sz="4" w:space="0" w:color="auto"/>
            </w:tcBorders>
            <w:shd w:val="clear" w:color="auto" w:fill="auto"/>
            <w:vAlign w:val="center"/>
            <w:hideMark/>
          </w:tcPr>
          <w:p w14:paraId="488DD38A" w14:textId="0868A11A"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8 093</w:t>
            </w:r>
          </w:p>
        </w:tc>
        <w:tc>
          <w:tcPr>
            <w:tcW w:w="992" w:type="dxa"/>
            <w:tcBorders>
              <w:top w:val="nil"/>
              <w:left w:val="nil"/>
              <w:bottom w:val="single" w:sz="4" w:space="0" w:color="auto"/>
              <w:right w:val="single" w:sz="4" w:space="0" w:color="auto"/>
            </w:tcBorders>
            <w:shd w:val="clear" w:color="auto" w:fill="auto"/>
            <w:vAlign w:val="center"/>
            <w:hideMark/>
          </w:tcPr>
          <w:p w14:paraId="03F92250" w14:textId="30F91878"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In (zvyšuje náklady)</w:t>
            </w:r>
          </w:p>
        </w:tc>
        <w:tc>
          <w:tcPr>
            <w:tcW w:w="992" w:type="dxa"/>
            <w:tcBorders>
              <w:top w:val="nil"/>
              <w:left w:val="nil"/>
              <w:bottom w:val="single" w:sz="4" w:space="0" w:color="auto"/>
              <w:right w:val="single" w:sz="4" w:space="0" w:color="auto"/>
            </w:tcBorders>
            <w:shd w:val="clear" w:color="auto" w:fill="auto"/>
            <w:vAlign w:val="center"/>
            <w:hideMark/>
          </w:tcPr>
          <w:p w14:paraId="07A60DFD" w14:textId="5F2C8C02"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sz w:val="20"/>
                <w:szCs w:val="20"/>
              </w:rPr>
              <w:t>0</w:t>
            </w:r>
          </w:p>
        </w:tc>
        <w:tc>
          <w:tcPr>
            <w:tcW w:w="851" w:type="dxa"/>
            <w:tcBorders>
              <w:top w:val="nil"/>
              <w:left w:val="nil"/>
              <w:bottom w:val="single" w:sz="4" w:space="0" w:color="auto"/>
              <w:right w:val="single" w:sz="4" w:space="0" w:color="auto"/>
            </w:tcBorders>
            <w:shd w:val="clear" w:color="auto" w:fill="auto"/>
            <w:vAlign w:val="center"/>
            <w:hideMark/>
          </w:tcPr>
          <w:p w14:paraId="08735BDC" w14:textId="4B040F74"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0</w:t>
            </w:r>
          </w:p>
        </w:tc>
        <w:tc>
          <w:tcPr>
            <w:tcW w:w="160" w:type="dxa"/>
            <w:vAlign w:val="center"/>
            <w:hideMark/>
          </w:tcPr>
          <w:p w14:paraId="4C97BC32" w14:textId="77777777" w:rsidR="0047337B" w:rsidRPr="00F16F66" w:rsidRDefault="0047337B" w:rsidP="0047337B">
            <w:pPr>
              <w:spacing w:after="0" w:line="240" w:lineRule="auto"/>
              <w:rPr>
                <w:rFonts w:ascii="Times New Roman" w:eastAsia="Times New Roman" w:hAnsi="Times New Roman" w:cs="Times New Roman"/>
                <w:sz w:val="20"/>
                <w:szCs w:val="20"/>
                <w:lang w:eastAsia="sk-SK"/>
              </w:rPr>
            </w:pPr>
          </w:p>
        </w:tc>
      </w:tr>
      <w:tr w:rsidR="0047337B" w:rsidRPr="00F16F66" w14:paraId="35E7C0FE" w14:textId="77777777" w:rsidTr="00F16F66">
        <w:trPr>
          <w:trHeight w:val="510"/>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64472255" w14:textId="085DC2EB"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lastRenderedPageBreak/>
              <w:t>6</w:t>
            </w:r>
          </w:p>
        </w:tc>
        <w:tc>
          <w:tcPr>
            <w:tcW w:w="2098" w:type="dxa"/>
            <w:tcBorders>
              <w:top w:val="nil"/>
              <w:left w:val="nil"/>
              <w:bottom w:val="single" w:sz="4" w:space="0" w:color="auto"/>
              <w:right w:val="single" w:sz="4" w:space="0" w:color="auto"/>
            </w:tcBorders>
            <w:shd w:val="clear" w:color="auto" w:fill="auto"/>
            <w:vAlign w:val="center"/>
            <w:hideMark/>
          </w:tcPr>
          <w:p w14:paraId="17FD1489" w14:textId="100B7363"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povinnosť zverejniť súhrn informácií o vykonaných pokynoch</w:t>
            </w:r>
          </w:p>
        </w:tc>
        <w:tc>
          <w:tcPr>
            <w:tcW w:w="1266" w:type="dxa"/>
            <w:tcBorders>
              <w:top w:val="nil"/>
              <w:left w:val="nil"/>
              <w:bottom w:val="single" w:sz="4" w:space="0" w:color="auto"/>
              <w:right w:val="single" w:sz="4" w:space="0" w:color="auto"/>
            </w:tcBorders>
            <w:shd w:val="clear" w:color="auto" w:fill="auto"/>
            <w:vAlign w:val="center"/>
            <w:hideMark/>
          </w:tcPr>
          <w:p w14:paraId="630996B2" w14:textId="2256516B"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566/2001</w:t>
            </w:r>
          </w:p>
        </w:tc>
        <w:tc>
          <w:tcPr>
            <w:tcW w:w="1435" w:type="dxa"/>
            <w:tcBorders>
              <w:top w:val="nil"/>
              <w:left w:val="nil"/>
              <w:bottom w:val="single" w:sz="4" w:space="0" w:color="auto"/>
              <w:right w:val="single" w:sz="4" w:space="0" w:color="auto"/>
            </w:tcBorders>
            <w:shd w:val="clear" w:color="auto" w:fill="auto"/>
            <w:vAlign w:val="center"/>
            <w:hideMark/>
          </w:tcPr>
          <w:p w14:paraId="01E71D15" w14:textId="647E2F0A"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 73p(5)</w:t>
            </w:r>
          </w:p>
        </w:tc>
        <w:tc>
          <w:tcPr>
            <w:tcW w:w="1258" w:type="dxa"/>
            <w:tcBorders>
              <w:top w:val="nil"/>
              <w:left w:val="nil"/>
              <w:bottom w:val="single" w:sz="4" w:space="0" w:color="auto"/>
              <w:right w:val="single" w:sz="4" w:space="0" w:color="auto"/>
            </w:tcBorders>
            <w:shd w:val="clear" w:color="auto" w:fill="auto"/>
            <w:vAlign w:val="center"/>
            <w:hideMark/>
          </w:tcPr>
          <w:p w14:paraId="1A53701E" w14:textId="34B82872"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2. EÚ úplná harmonizácia</w:t>
            </w:r>
          </w:p>
        </w:tc>
        <w:tc>
          <w:tcPr>
            <w:tcW w:w="933" w:type="dxa"/>
            <w:tcBorders>
              <w:top w:val="nil"/>
              <w:left w:val="nil"/>
              <w:bottom w:val="single" w:sz="4" w:space="0" w:color="auto"/>
              <w:right w:val="single" w:sz="4" w:space="0" w:color="auto"/>
            </w:tcBorders>
            <w:shd w:val="clear" w:color="auto" w:fill="auto"/>
            <w:vAlign w:val="center"/>
            <w:hideMark/>
          </w:tcPr>
          <w:p w14:paraId="0E00FF4D" w14:textId="17F461C0"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06.06.26</w:t>
            </w:r>
          </w:p>
        </w:tc>
        <w:tc>
          <w:tcPr>
            <w:tcW w:w="1280" w:type="dxa"/>
            <w:tcBorders>
              <w:top w:val="nil"/>
              <w:left w:val="nil"/>
              <w:bottom w:val="single" w:sz="4" w:space="0" w:color="auto"/>
              <w:right w:val="single" w:sz="4" w:space="0" w:color="auto"/>
            </w:tcBorders>
            <w:shd w:val="clear" w:color="auto" w:fill="auto"/>
            <w:vAlign w:val="center"/>
            <w:hideMark/>
          </w:tcPr>
          <w:p w14:paraId="574EF3A1" w14:textId="1556CF68"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obchodník s cennými papiermi</w:t>
            </w:r>
          </w:p>
        </w:tc>
        <w:tc>
          <w:tcPr>
            <w:tcW w:w="973" w:type="dxa"/>
            <w:tcBorders>
              <w:top w:val="nil"/>
              <w:left w:val="nil"/>
              <w:bottom w:val="single" w:sz="4" w:space="0" w:color="auto"/>
              <w:right w:val="single" w:sz="4" w:space="0" w:color="auto"/>
            </w:tcBorders>
            <w:shd w:val="clear" w:color="auto" w:fill="auto"/>
            <w:vAlign w:val="center"/>
            <w:hideMark/>
          </w:tcPr>
          <w:p w14:paraId="0AE54C58" w14:textId="3E5F754A" w:rsidR="0047337B" w:rsidRPr="00F16F66" w:rsidRDefault="0047337B" w:rsidP="0047337B">
            <w:pPr>
              <w:spacing w:after="0" w:line="240" w:lineRule="auto"/>
              <w:rPr>
                <w:rFonts w:ascii="Times New Roman" w:eastAsia="Times New Roman" w:hAnsi="Times New Roman" w:cs="Times New Roman"/>
                <w:color w:val="000000"/>
                <w:sz w:val="20"/>
                <w:szCs w:val="20"/>
                <w:lang w:eastAsia="sk-SK"/>
              </w:rPr>
            </w:pPr>
            <w:r>
              <w:rPr>
                <w:color w:val="000000"/>
                <w:sz w:val="20"/>
                <w:szCs w:val="20"/>
              </w:rPr>
              <w:t xml:space="preserve">                 20 </w:t>
            </w:r>
          </w:p>
        </w:tc>
        <w:tc>
          <w:tcPr>
            <w:tcW w:w="704" w:type="dxa"/>
            <w:tcBorders>
              <w:top w:val="nil"/>
              <w:left w:val="nil"/>
              <w:bottom w:val="single" w:sz="4" w:space="0" w:color="auto"/>
              <w:right w:val="single" w:sz="4" w:space="0" w:color="auto"/>
            </w:tcBorders>
            <w:shd w:val="clear" w:color="auto" w:fill="auto"/>
            <w:vAlign w:val="center"/>
            <w:hideMark/>
          </w:tcPr>
          <w:p w14:paraId="19AE922E" w14:textId="6F236DAC"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8 896</w:t>
            </w:r>
          </w:p>
        </w:tc>
        <w:tc>
          <w:tcPr>
            <w:tcW w:w="719" w:type="dxa"/>
            <w:tcBorders>
              <w:top w:val="nil"/>
              <w:left w:val="nil"/>
              <w:bottom w:val="single" w:sz="4" w:space="0" w:color="auto"/>
              <w:right w:val="single" w:sz="4" w:space="0" w:color="auto"/>
            </w:tcBorders>
            <w:shd w:val="clear" w:color="auto" w:fill="auto"/>
            <w:vAlign w:val="center"/>
            <w:hideMark/>
          </w:tcPr>
          <w:p w14:paraId="592AA9C1" w14:textId="3D335EDD"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177 917</w:t>
            </w:r>
          </w:p>
        </w:tc>
        <w:tc>
          <w:tcPr>
            <w:tcW w:w="992" w:type="dxa"/>
            <w:tcBorders>
              <w:top w:val="nil"/>
              <w:left w:val="nil"/>
              <w:bottom w:val="single" w:sz="4" w:space="0" w:color="auto"/>
              <w:right w:val="single" w:sz="4" w:space="0" w:color="auto"/>
            </w:tcBorders>
            <w:shd w:val="clear" w:color="auto" w:fill="auto"/>
            <w:vAlign w:val="center"/>
            <w:hideMark/>
          </w:tcPr>
          <w:p w14:paraId="54BF300C" w14:textId="76CB1607"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In (zvyšuje náklady)</w:t>
            </w:r>
          </w:p>
        </w:tc>
        <w:tc>
          <w:tcPr>
            <w:tcW w:w="992" w:type="dxa"/>
            <w:tcBorders>
              <w:top w:val="nil"/>
              <w:left w:val="nil"/>
              <w:bottom w:val="single" w:sz="4" w:space="0" w:color="auto"/>
              <w:right w:val="single" w:sz="4" w:space="0" w:color="auto"/>
            </w:tcBorders>
            <w:shd w:val="clear" w:color="auto" w:fill="auto"/>
            <w:vAlign w:val="center"/>
            <w:hideMark/>
          </w:tcPr>
          <w:p w14:paraId="45A31B85" w14:textId="68191143" w:rsidR="0047337B" w:rsidRPr="00F16F66" w:rsidRDefault="0047337B" w:rsidP="0047337B">
            <w:pPr>
              <w:spacing w:after="0" w:line="240" w:lineRule="auto"/>
              <w:jc w:val="center"/>
              <w:rPr>
                <w:rFonts w:ascii="Times New Roman" w:eastAsia="Times New Roman" w:hAnsi="Times New Roman" w:cs="Times New Roman"/>
                <w:sz w:val="20"/>
                <w:szCs w:val="20"/>
                <w:lang w:eastAsia="sk-SK"/>
              </w:rPr>
            </w:pPr>
            <w:r>
              <w:rPr>
                <w:sz w:val="20"/>
                <w:szCs w:val="20"/>
              </w:rPr>
              <w:t>0</w:t>
            </w:r>
          </w:p>
        </w:tc>
        <w:tc>
          <w:tcPr>
            <w:tcW w:w="851" w:type="dxa"/>
            <w:tcBorders>
              <w:top w:val="nil"/>
              <w:left w:val="nil"/>
              <w:bottom w:val="single" w:sz="4" w:space="0" w:color="auto"/>
              <w:right w:val="single" w:sz="4" w:space="0" w:color="auto"/>
            </w:tcBorders>
            <w:shd w:val="clear" w:color="auto" w:fill="auto"/>
            <w:vAlign w:val="center"/>
            <w:hideMark/>
          </w:tcPr>
          <w:p w14:paraId="1D638B05" w14:textId="24B827F6"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0</w:t>
            </w:r>
          </w:p>
        </w:tc>
        <w:tc>
          <w:tcPr>
            <w:tcW w:w="160" w:type="dxa"/>
            <w:vAlign w:val="center"/>
            <w:hideMark/>
          </w:tcPr>
          <w:p w14:paraId="0ED90028" w14:textId="77777777" w:rsidR="0047337B" w:rsidRPr="00F16F66" w:rsidRDefault="0047337B" w:rsidP="0047337B">
            <w:pPr>
              <w:spacing w:after="0" w:line="240" w:lineRule="auto"/>
              <w:rPr>
                <w:rFonts w:ascii="Times New Roman" w:eastAsia="Times New Roman" w:hAnsi="Times New Roman" w:cs="Times New Roman"/>
                <w:sz w:val="20"/>
                <w:szCs w:val="20"/>
                <w:lang w:eastAsia="sk-SK"/>
              </w:rPr>
            </w:pPr>
          </w:p>
        </w:tc>
      </w:tr>
      <w:tr w:rsidR="0047337B" w:rsidRPr="00F16F66" w14:paraId="09565DE3" w14:textId="77777777" w:rsidTr="00F16F66">
        <w:trPr>
          <w:trHeight w:val="540"/>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16E3AE89" w14:textId="39F8BEC1"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7</w:t>
            </w:r>
          </w:p>
        </w:tc>
        <w:tc>
          <w:tcPr>
            <w:tcW w:w="2098" w:type="dxa"/>
            <w:tcBorders>
              <w:top w:val="nil"/>
              <w:left w:val="nil"/>
              <w:bottom w:val="single" w:sz="4" w:space="0" w:color="auto"/>
              <w:right w:val="single" w:sz="4" w:space="0" w:color="auto"/>
            </w:tcBorders>
            <w:shd w:val="clear" w:color="auto" w:fill="auto"/>
            <w:vAlign w:val="center"/>
            <w:hideMark/>
          </w:tcPr>
          <w:p w14:paraId="37AB8494" w14:textId="1543976E"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zabezpečenie kvality údajov</w:t>
            </w:r>
          </w:p>
        </w:tc>
        <w:tc>
          <w:tcPr>
            <w:tcW w:w="1266" w:type="dxa"/>
            <w:tcBorders>
              <w:top w:val="nil"/>
              <w:left w:val="nil"/>
              <w:bottom w:val="single" w:sz="4" w:space="0" w:color="auto"/>
              <w:right w:val="single" w:sz="4" w:space="0" w:color="auto"/>
            </w:tcBorders>
            <w:shd w:val="clear" w:color="auto" w:fill="auto"/>
            <w:vAlign w:val="center"/>
            <w:hideMark/>
          </w:tcPr>
          <w:p w14:paraId="4A09EE31" w14:textId="5D151826"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429/2002</w:t>
            </w:r>
          </w:p>
        </w:tc>
        <w:tc>
          <w:tcPr>
            <w:tcW w:w="1435" w:type="dxa"/>
            <w:tcBorders>
              <w:top w:val="nil"/>
              <w:left w:val="nil"/>
              <w:bottom w:val="single" w:sz="4" w:space="0" w:color="auto"/>
              <w:right w:val="single" w:sz="4" w:space="0" w:color="auto"/>
            </w:tcBorders>
            <w:shd w:val="clear" w:color="auto" w:fill="auto"/>
            <w:vAlign w:val="center"/>
            <w:hideMark/>
          </w:tcPr>
          <w:p w14:paraId="7A03B220" w14:textId="0D4C44B2"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 14</w:t>
            </w:r>
          </w:p>
        </w:tc>
        <w:tc>
          <w:tcPr>
            <w:tcW w:w="1258" w:type="dxa"/>
            <w:tcBorders>
              <w:top w:val="nil"/>
              <w:left w:val="nil"/>
              <w:bottom w:val="single" w:sz="4" w:space="0" w:color="auto"/>
              <w:right w:val="single" w:sz="4" w:space="0" w:color="auto"/>
            </w:tcBorders>
            <w:shd w:val="clear" w:color="auto" w:fill="auto"/>
            <w:vAlign w:val="center"/>
            <w:hideMark/>
          </w:tcPr>
          <w:p w14:paraId="7AD57E24" w14:textId="41F420CE"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2. EÚ úplná harmonizácia</w:t>
            </w:r>
          </w:p>
        </w:tc>
        <w:tc>
          <w:tcPr>
            <w:tcW w:w="933" w:type="dxa"/>
            <w:tcBorders>
              <w:top w:val="nil"/>
              <w:left w:val="nil"/>
              <w:bottom w:val="single" w:sz="4" w:space="0" w:color="auto"/>
              <w:right w:val="single" w:sz="4" w:space="0" w:color="auto"/>
            </w:tcBorders>
            <w:shd w:val="clear" w:color="auto" w:fill="auto"/>
            <w:vAlign w:val="center"/>
            <w:hideMark/>
          </w:tcPr>
          <w:p w14:paraId="6B55297B" w14:textId="4D9B44E5"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29.09.25</w:t>
            </w:r>
          </w:p>
        </w:tc>
        <w:tc>
          <w:tcPr>
            <w:tcW w:w="1280" w:type="dxa"/>
            <w:tcBorders>
              <w:top w:val="nil"/>
              <w:left w:val="nil"/>
              <w:bottom w:val="single" w:sz="4" w:space="0" w:color="auto"/>
              <w:right w:val="single" w:sz="4" w:space="0" w:color="auto"/>
            </w:tcBorders>
            <w:shd w:val="clear" w:color="auto" w:fill="auto"/>
            <w:vAlign w:val="center"/>
            <w:hideMark/>
          </w:tcPr>
          <w:p w14:paraId="3D253E02" w14:textId="58AED8A9"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burza cenných papierov</w:t>
            </w:r>
          </w:p>
        </w:tc>
        <w:tc>
          <w:tcPr>
            <w:tcW w:w="973" w:type="dxa"/>
            <w:tcBorders>
              <w:top w:val="nil"/>
              <w:left w:val="nil"/>
              <w:bottom w:val="single" w:sz="4" w:space="0" w:color="auto"/>
              <w:right w:val="single" w:sz="4" w:space="0" w:color="auto"/>
            </w:tcBorders>
            <w:shd w:val="clear" w:color="auto" w:fill="auto"/>
            <w:vAlign w:val="center"/>
            <w:hideMark/>
          </w:tcPr>
          <w:p w14:paraId="58C8A2F9" w14:textId="46BAB292" w:rsidR="0047337B" w:rsidRPr="00F16F66" w:rsidRDefault="0047337B" w:rsidP="0047337B">
            <w:pPr>
              <w:spacing w:after="0" w:line="240" w:lineRule="auto"/>
              <w:rPr>
                <w:rFonts w:ascii="Times New Roman" w:eastAsia="Times New Roman" w:hAnsi="Times New Roman" w:cs="Times New Roman"/>
                <w:color w:val="000000"/>
                <w:sz w:val="20"/>
                <w:szCs w:val="20"/>
                <w:lang w:eastAsia="sk-SK"/>
              </w:rPr>
            </w:pPr>
            <w:r>
              <w:rPr>
                <w:color w:val="000000"/>
                <w:sz w:val="20"/>
                <w:szCs w:val="20"/>
              </w:rPr>
              <w:t xml:space="preserve">                   1 </w:t>
            </w:r>
          </w:p>
        </w:tc>
        <w:tc>
          <w:tcPr>
            <w:tcW w:w="704" w:type="dxa"/>
            <w:tcBorders>
              <w:top w:val="nil"/>
              <w:left w:val="nil"/>
              <w:bottom w:val="single" w:sz="4" w:space="0" w:color="auto"/>
              <w:right w:val="single" w:sz="4" w:space="0" w:color="auto"/>
            </w:tcBorders>
            <w:shd w:val="clear" w:color="auto" w:fill="auto"/>
            <w:vAlign w:val="center"/>
            <w:hideMark/>
          </w:tcPr>
          <w:p w14:paraId="242118E7" w14:textId="03616974"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24 077</w:t>
            </w:r>
          </w:p>
        </w:tc>
        <w:tc>
          <w:tcPr>
            <w:tcW w:w="719" w:type="dxa"/>
            <w:tcBorders>
              <w:top w:val="nil"/>
              <w:left w:val="nil"/>
              <w:bottom w:val="single" w:sz="4" w:space="0" w:color="auto"/>
              <w:right w:val="single" w:sz="4" w:space="0" w:color="auto"/>
            </w:tcBorders>
            <w:shd w:val="clear" w:color="auto" w:fill="auto"/>
            <w:vAlign w:val="center"/>
            <w:hideMark/>
          </w:tcPr>
          <w:p w14:paraId="24C525B8" w14:textId="4B173585"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24 077</w:t>
            </w:r>
          </w:p>
        </w:tc>
        <w:tc>
          <w:tcPr>
            <w:tcW w:w="992" w:type="dxa"/>
            <w:tcBorders>
              <w:top w:val="nil"/>
              <w:left w:val="nil"/>
              <w:bottom w:val="single" w:sz="4" w:space="0" w:color="auto"/>
              <w:right w:val="single" w:sz="4" w:space="0" w:color="auto"/>
            </w:tcBorders>
            <w:shd w:val="clear" w:color="auto" w:fill="auto"/>
            <w:vAlign w:val="center"/>
            <w:hideMark/>
          </w:tcPr>
          <w:p w14:paraId="3A44C87B" w14:textId="546D19DD"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In (zvyšuje náklady)</w:t>
            </w:r>
          </w:p>
        </w:tc>
        <w:tc>
          <w:tcPr>
            <w:tcW w:w="992" w:type="dxa"/>
            <w:tcBorders>
              <w:top w:val="nil"/>
              <w:left w:val="nil"/>
              <w:bottom w:val="single" w:sz="4" w:space="0" w:color="auto"/>
              <w:right w:val="single" w:sz="4" w:space="0" w:color="auto"/>
            </w:tcBorders>
            <w:shd w:val="clear" w:color="auto" w:fill="auto"/>
            <w:vAlign w:val="center"/>
            <w:hideMark/>
          </w:tcPr>
          <w:p w14:paraId="7BCBD8D8" w14:textId="7886185C" w:rsidR="0047337B" w:rsidRPr="00F16F66" w:rsidRDefault="0047337B" w:rsidP="0047337B">
            <w:pPr>
              <w:spacing w:after="0" w:line="240" w:lineRule="auto"/>
              <w:jc w:val="center"/>
              <w:rPr>
                <w:rFonts w:ascii="Times New Roman" w:eastAsia="Times New Roman" w:hAnsi="Times New Roman" w:cs="Times New Roman"/>
                <w:sz w:val="20"/>
                <w:szCs w:val="20"/>
                <w:lang w:eastAsia="sk-SK"/>
              </w:rPr>
            </w:pPr>
            <w:r>
              <w:rPr>
                <w:sz w:val="20"/>
                <w:szCs w:val="20"/>
              </w:rPr>
              <w:t>0</w:t>
            </w:r>
          </w:p>
        </w:tc>
        <w:tc>
          <w:tcPr>
            <w:tcW w:w="851" w:type="dxa"/>
            <w:tcBorders>
              <w:top w:val="nil"/>
              <w:left w:val="nil"/>
              <w:bottom w:val="single" w:sz="4" w:space="0" w:color="auto"/>
              <w:right w:val="single" w:sz="4" w:space="0" w:color="auto"/>
            </w:tcBorders>
            <w:shd w:val="clear" w:color="auto" w:fill="auto"/>
            <w:vAlign w:val="center"/>
            <w:hideMark/>
          </w:tcPr>
          <w:p w14:paraId="564ABF38" w14:textId="4B6182E6"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0</w:t>
            </w:r>
          </w:p>
        </w:tc>
        <w:tc>
          <w:tcPr>
            <w:tcW w:w="160" w:type="dxa"/>
            <w:vAlign w:val="center"/>
            <w:hideMark/>
          </w:tcPr>
          <w:p w14:paraId="0C969ECA" w14:textId="77777777" w:rsidR="0047337B" w:rsidRPr="00F16F66" w:rsidRDefault="0047337B" w:rsidP="0047337B">
            <w:pPr>
              <w:spacing w:after="0" w:line="240" w:lineRule="auto"/>
              <w:rPr>
                <w:rFonts w:ascii="Times New Roman" w:eastAsia="Times New Roman" w:hAnsi="Times New Roman" w:cs="Times New Roman"/>
                <w:sz w:val="20"/>
                <w:szCs w:val="20"/>
                <w:lang w:eastAsia="sk-SK"/>
              </w:rPr>
            </w:pPr>
          </w:p>
        </w:tc>
      </w:tr>
      <w:tr w:rsidR="0047337B" w:rsidRPr="00F16F66" w14:paraId="422105C3" w14:textId="77777777" w:rsidTr="00F16F66">
        <w:trPr>
          <w:trHeight w:val="510"/>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515C9146" w14:textId="2B237BA4"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8</w:t>
            </w:r>
          </w:p>
        </w:tc>
        <w:tc>
          <w:tcPr>
            <w:tcW w:w="2098" w:type="dxa"/>
            <w:tcBorders>
              <w:top w:val="nil"/>
              <w:left w:val="nil"/>
              <w:bottom w:val="single" w:sz="4" w:space="0" w:color="auto"/>
              <w:right w:val="single" w:sz="4" w:space="0" w:color="auto"/>
            </w:tcBorders>
            <w:shd w:val="clear" w:color="auto" w:fill="auto"/>
            <w:vAlign w:val="center"/>
            <w:hideMark/>
          </w:tcPr>
          <w:p w14:paraId="673E1307" w14:textId="0B4B1753"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splnenie  podmienok pre prijatie akcií na burzu</w:t>
            </w:r>
          </w:p>
        </w:tc>
        <w:tc>
          <w:tcPr>
            <w:tcW w:w="1266" w:type="dxa"/>
            <w:tcBorders>
              <w:top w:val="nil"/>
              <w:left w:val="nil"/>
              <w:bottom w:val="single" w:sz="4" w:space="0" w:color="auto"/>
              <w:right w:val="single" w:sz="4" w:space="0" w:color="auto"/>
            </w:tcBorders>
            <w:shd w:val="clear" w:color="auto" w:fill="auto"/>
            <w:vAlign w:val="center"/>
            <w:hideMark/>
          </w:tcPr>
          <w:p w14:paraId="536CE343" w14:textId="5ACA8F56"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429/2002</w:t>
            </w:r>
          </w:p>
        </w:tc>
        <w:tc>
          <w:tcPr>
            <w:tcW w:w="1435" w:type="dxa"/>
            <w:tcBorders>
              <w:top w:val="nil"/>
              <w:left w:val="nil"/>
              <w:bottom w:val="single" w:sz="4" w:space="0" w:color="auto"/>
              <w:right w:val="single" w:sz="4" w:space="0" w:color="auto"/>
            </w:tcBorders>
            <w:shd w:val="clear" w:color="auto" w:fill="auto"/>
            <w:vAlign w:val="center"/>
            <w:hideMark/>
          </w:tcPr>
          <w:p w14:paraId="13575483" w14:textId="27E9BB52"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 30</w:t>
            </w:r>
          </w:p>
        </w:tc>
        <w:tc>
          <w:tcPr>
            <w:tcW w:w="1258" w:type="dxa"/>
            <w:tcBorders>
              <w:top w:val="nil"/>
              <w:left w:val="nil"/>
              <w:bottom w:val="single" w:sz="4" w:space="0" w:color="auto"/>
              <w:right w:val="single" w:sz="4" w:space="0" w:color="auto"/>
            </w:tcBorders>
            <w:shd w:val="clear" w:color="auto" w:fill="auto"/>
            <w:vAlign w:val="center"/>
            <w:hideMark/>
          </w:tcPr>
          <w:p w14:paraId="1851F0E5" w14:textId="4CC413E7"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2. EÚ úplná harmonizácia</w:t>
            </w:r>
          </w:p>
        </w:tc>
        <w:tc>
          <w:tcPr>
            <w:tcW w:w="933" w:type="dxa"/>
            <w:tcBorders>
              <w:top w:val="nil"/>
              <w:left w:val="nil"/>
              <w:bottom w:val="single" w:sz="4" w:space="0" w:color="auto"/>
              <w:right w:val="single" w:sz="4" w:space="0" w:color="auto"/>
            </w:tcBorders>
            <w:shd w:val="clear" w:color="auto" w:fill="auto"/>
            <w:vAlign w:val="center"/>
            <w:hideMark/>
          </w:tcPr>
          <w:p w14:paraId="1A9349B9" w14:textId="193C59F7"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05.06.26</w:t>
            </w:r>
          </w:p>
        </w:tc>
        <w:tc>
          <w:tcPr>
            <w:tcW w:w="1280" w:type="dxa"/>
            <w:tcBorders>
              <w:top w:val="nil"/>
              <w:left w:val="nil"/>
              <w:bottom w:val="single" w:sz="4" w:space="0" w:color="auto"/>
              <w:right w:val="single" w:sz="4" w:space="0" w:color="auto"/>
            </w:tcBorders>
            <w:shd w:val="clear" w:color="auto" w:fill="auto"/>
            <w:vAlign w:val="center"/>
            <w:hideMark/>
          </w:tcPr>
          <w:p w14:paraId="1F801174" w14:textId="3B54126D"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obchodník s cennými papiermi</w:t>
            </w:r>
          </w:p>
        </w:tc>
        <w:tc>
          <w:tcPr>
            <w:tcW w:w="973" w:type="dxa"/>
            <w:tcBorders>
              <w:top w:val="nil"/>
              <w:left w:val="nil"/>
              <w:bottom w:val="single" w:sz="4" w:space="0" w:color="auto"/>
              <w:right w:val="single" w:sz="4" w:space="0" w:color="auto"/>
            </w:tcBorders>
            <w:shd w:val="clear" w:color="auto" w:fill="auto"/>
            <w:vAlign w:val="center"/>
            <w:hideMark/>
          </w:tcPr>
          <w:p w14:paraId="0F2A616A" w14:textId="2353B432" w:rsidR="0047337B" w:rsidRPr="00F16F66" w:rsidRDefault="0047337B" w:rsidP="0047337B">
            <w:pPr>
              <w:spacing w:after="0" w:line="240" w:lineRule="auto"/>
              <w:rPr>
                <w:rFonts w:ascii="Times New Roman" w:eastAsia="Times New Roman" w:hAnsi="Times New Roman" w:cs="Times New Roman"/>
                <w:color w:val="000000"/>
                <w:sz w:val="20"/>
                <w:szCs w:val="20"/>
                <w:lang w:eastAsia="sk-SK"/>
              </w:rPr>
            </w:pPr>
            <w:r>
              <w:rPr>
                <w:color w:val="000000"/>
                <w:sz w:val="20"/>
                <w:szCs w:val="20"/>
              </w:rPr>
              <w:t xml:space="preserve">                   3 </w:t>
            </w:r>
          </w:p>
        </w:tc>
        <w:tc>
          <w:tcPr>
            <w:tcW w:w="704" w:type="dxa"/>
            <w:tcBorders>
              <w:top w:val="nil"/>
              <w:left w:val="nil"/>
              <w:bottom w:val="single" w:sz="4" w:space="0" w:color="auto"/>
              <w:right w:val="single" w:sz="4" w:space="0" w:color="auto"/>
            </w:tcBorders>
            <w:shd w:val="clear" w:color="auto" w:fill="auto"/>
            <w:vAlign w:val="center"/>
            <w:hideMark/>
          </w:tcPr>
          <w:p w14:paraId="67E7E3EA" w14:textId="5D349869"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5 097</w:t>
            </w:r>
          </w:p>
        </w:tc>
        <w:tc>
          <w:tcPr>
            <w:tcW w:w="719" w:type="dxa"/>
            <w:tcBorders>
              <w:top w:val="nil"/>
              <w:left w:val="nil"/>
              <w:bottom w:val="single" w:sz="4" w:space="0" w:color="auto"/>
              <w:right w:val="single" w:sz="4" w:space="0" w:color="auto"/>
            </w:tcBorders>
            <w:shd w:val="clear" w:color="auto" w:fill="auto"/>
            <w:vAlign w:val="center"/>
            <w:hideMark/>
          </w:tcPr>
          <w:p w14:paraId="461F81FE" w14:textId="45C7E177"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15 292</w:t>
            </w:r>
          </w:p>
        </w:tc>
        <w:tc>
          <w:tcPr>
            <w:tcW w:w="992" w:type="dxa"/>
            <w:tcBorders>
              <w:top w:val="nil"/>
              <w:left w:val="nil"/>
              <w:bottom w:val="single" w:sz="4" w:space="0" w:color="auto"/>
              <w:right w:val="single" w:sz="4" w:space="0" w:color="auto"/>
            </w:tcBorders>
            <w:shd w:val="clear" w:color="auto" w:fill="auto"/>
            <w:vAlign w:val="center"/>
            <w:hideMark/>
          </w:tcPr>
          <w:p w14:paraId="41CABC06" w14:textId="20216C99"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In (zvyšuje náklady)</w:t>
            </w:r>
          </w:p>
        </w:tc>
        <w:tc>
          <w:tcPr>
            <w:tcW w:w="992" w:type="dxa"/>
            <w:tcBorders>
              <w:top w:val="nil"/>
              <w:left w:val="nil"/>
              <w:bottom w:val="single" w:sz="4" w:space="0" w:color="auto"/>
              <w:right w:val="single" w:sz="4" w:space="0" w:color="auto"/>
            </w:tcBorders>
            <w:shd w:val="clear" w:color="auto" w:fill="auto"/>
            <w:vAlign w:val="center"/>
            <w:hideMark/>
          </w:tcPr>
          <w:p w14:paraId="199C085A" w14:textId="3D4FDF4E" w:rsidR="0047337B" w:rsidRPr="00F16F66" w:rsidRDefault="0047337B" w:rsidP="0047337B">
            <w:pPr>
              <w:spacing w:after="0" w:line="240" w:lineRule="auto"/>
              <w:jc w:val="center"/>
              <w:rPr>
                <w:rFonts w:ascii="Times New Roman" w:eastAsia="Times New Roman" w:hAnsi="Times New Roman" w:cs="Times New Roman"/>
                <w:sz w:val="20"/>
                <w:szCs w:val="20"/>
                <w:lang w:eastAsia="sk-SK"/>
              </w:rPr>
            </w:pPr>
            <w:r>
              <w:rPr>
                <w:sz w:val="20"/>
                <w:szCs w:val="20"/>
              </w:rPr>
              <w:t>0</w:t>
            </w:r>
          </w:p>
        </w:tc>
        <w:tc>
          <w:tcPr>
            <w:tcW w:w="851" w:type="dxa"/>
            <w:tcBorders>
              <w:top w:val="nil"/>
              <w:left w:val="nil"/>
              <w:bottom w:val="single" w:sz="4" w:space="0" w:color="auto"/>
              <w:right w:val="single" w:sz="4" w:space="0" w:color="auto"/>
            </w:tcBorders>
            <w:shd w:val="clear" w:color="auto" w:fill="auto"/>
            <w:vAlign w:val="center"/>
            <w:hideMark/>
          </w:tcPr>
          <w:p w14:paraId="11F913D4" w14:textId="3C36963E"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0</w:t>
            </w:r>
          </w:p>
        </w:tc>
        <w:tc>
          <w:tcPr>
            <w:tcW w:w="160" w:type="dxa"/>
            <w:vAlign w:val="center"/>
            <w:hideMark/>
          </w:tcPr>
          <w:p w14:paraId="1B7A6929" w14:textId="77777777" w:rsidR="0047337B" w:rsidRPr="00F16F66" w:rsidRDefault="0047337B" w:rsidP="0047337B">
            <w:pPr>
              <w:spacing w:after="0" w:line="240" w:lineRule="auto"/>
              <w:rPr>
                <w:rFonts w:ascii="Times New Roman" w:eastAsia="Times New Roman" w:hAnsi="Times New Roman" w:cs="Times New Roman"/>
                <w:sz w:val="20"/>
                <w:szCs w:val="20"/>
                <w:lang w:eastAsia="sk-SK"/>
              </w:rPr>
            </w:pPr>
          </w:p>
        </w:tc>
      </w:tr>
      <w:tr w:rsidR="0047337B" w:rsidRPr="00F16F66" w14:paraId="455FD526" w14:textId="77777777" w:rsidTr="00F16F66">
        <w:trPr>
          <w:trHeight w:val="495"/>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07E6E8B4" w14:textId="37BEAAFA"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9</w:t>
            </w:r>
          </w:p>
        </w:tc>
        <w:tc>
          <w:tcPr>
            <w:tcW w:w="2098" w:type="dxa"/>
            <w:tcBorders>
              <w:top w:val="nil"/>
              <w:left w:val="nil"/>
              <w:bottom w:val="single" w:sz="4" w:space="0" w:color="auto"/>
              <w:right w:val="single" w:sz="4" w:space="0" w:color="auto"/>
            </w:tcBorders>
            <w:shd w:val="clear" w:color="auto" w:fill="auto"/>
            <w:vAlign w:val="center"/>
            <w:hideMark/>
          </w:tcPr>
          <w:p w14:paraId="4079F338" w14:textId="28B20E04"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zverejnenie údajov o zastavení alebo obmedzení obchodovania</w:t>
            </w:r>
          </w:p>
        </w:tc>
        <w:tc>
          <w:tcPr>
            <w:tcW w:w="1266" w:type="dxa"/>
            <w:tcBorders>
              <w:top w:val="nil"/>
              <w:left w:val="nil"/>
              <w:bottom w:val="single" w:sz="4" w:space="0" w:color="auto"/>
              <w:right w:val="single" w:sz="4" w:space="0" w:color="auto"/>
            </w:tcBorders>
            <w:shd w:val="clear" w:color="auto" w:fill="auto"/>
            <w:vAlign w:val="center"/>
            <w:hideMark/>
          </w:tcPr>
          <w:p w14:paraId="21747D2B" w14:textId="51D07715"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429/2002</w:t>
            </w:r>
          </w:p>
        </w:tc>
        <w:tc>
          <w:tcPr>
            <w:tcW w:w="1435" w:type="dxa"/>
            <w:tcBorders>
              <w:top w:val="nil"/>
              <w:left w:val="nil"/>
              <w:bottom w:val="single" w:sz="4" w:space="0" w:color="auto"/>
              <w:right w:val="single" w:sz="4" w:space="0" w:color="auto"/>
            </w:tcBorders>
            <w:shd w:val="clear" w:color="auto" w:fill="auto"/>
            <w:vAlign w:val="center"/>
            <w:hideMark/>
          </w:tcPr>
          <w:p w14:paraId="0CF29B96" w14:textId="45755358"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 38a ods. 6 a 7</w:t>
            </w:r>
          </w:p>
        </w:tc>
        <w:tc>
          <w:tcPr>
            <w:tcW w:w="1258" w:type="dxa"/>
            <w:tcBorders>
              <w:top w:val="nil"/>
              <w:left w:val="nil"/>
              <w:bottom w:val="single" w:sz="4" w:space="0" w:color="auto"/>
              <w:right w:val="single" w:sz="4" w:space="0" w:color="auto"/>
            </w:tcBorders>
            <w:shd w:val="clear" w:color="auto" w:fill="auto"/>
            <w:vAlign w:val="center"/>
            <w:hideMark/>
          </w:tcPr>
          <w:p w14:paraId="52478F79" w14:textId="410B3454"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2. EÚ úplná harmonizácia</w:t>
            </w:r>
          </w:p>
        </w:tc>
        <w:tc>
          <w:tcPr>
            <w:tcW w:w="933" w:type="dxa"/>
            <w:tcBorders>
              <w:top w:val="nil"/>
              <w:left w:val="nil"/>
              <w:bottom w:val="single" w:sz="4" w:space="0" w:color="auto"/>
              <w:right w:val="single" w:sz="4" w:space="0" w:color="auto"/>
            </w:tcBorders>
            <w:shd w:val="clear" w:color="auto" w:fill="auto"/>
            <w:vAlign w:val="center"/>
            <w:hideMark/>
          </w:tcPr>
          <w:p w14:paraId="1E5807D3" w14:textId="65E360CA"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29.09.25</w:t>
            </w:r>
          </w:p>
        </w:tc>
        <w:tc>
          <w:tcPr>
            <w:tcW w:w="1280" w:type="dxa"/>
            <w:tcBorders>
              <w:top w:val="nil"/>
              <w:left w:val="nil"/>
              <w:bottom w:val="single" w:sz="4" w:space="0" w:color="auto"/>
              <w:right w:val="single" w:sz="4" w:space="0" w:color="auto"/>
            </w:tcBorders>
            <w:shd w:val="clear" w:color="auto" w:fill="auto"/>
            <w:vAlign w:val="center"/>
            <w:hideMark/>
          </w:tcPr>
          <w:p w14:paraId="3230EE96" w14:textId="5F052343"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burza cenných papierov</w:t>
            </w:r>
          </w:p>
        </w:tc>
        <w:tc>
          <w:tcPr>
            <w:tcW w:w="973" w:type="dxa"/>
            <w:tcBorders>
              <w:top w:val="nil"/>
              <w:left w:val="nil"/>
              <w:bottom w:val="single" w:sz="4" w:space="0" w:color="auto"/>
              <w:right w:val="single" w:sz="4" w:space="0" w:color="auto"/>
            </w:tcBorders>
            <w:shd w:val="clear" w:color="auto" w:fill="auto"/>
            <w:vAlign w:val="center"/>
            <w:hideMark/>
          </w:tcPr>
          <w:p w14:paraId="1A3DCE88" w14:textId="6326A12C" w:rsidR="0047337B" w:rsidRPr="00F16F66" w:rsidRDefault="0047337B" w:rsidP="0047337B">
            <w:pPr>
              <w:spacing w:after="0" w:line="240" w:lineRule="auto"/>
              <w:rPr>
                <w:rFonts w:ascii="Times New Roman" w:eastAsia="Times New Roman" w:hAnsi="Times New Roman" w:cs="Times New Roman"/>
                <w:color w:val="000000"/>
                <w:sz w:val="20"/>
                <w:szCs w:val="20"/>
                <w:lang w:eastAsia="sk-SK"/>
              </w:rPr>
            </w:pPr>
            <w:r>
              <w:rPr>
                <w:color w:val="000000"/>
                <w:sz w:val="20"/>
                <w:szCs w:val="20"/>
              </w:rPr>
              <w:t xml:space="preserve">                   1 </w:t>
            </w:r>
          </w:p>
        </w:tc>
        <w:tc>
          <w:tcPr>
            <w:tcW w:w="704" w:type="dxa"/>
            <w:tcBorders>
              <w:top w:val="nil"/>
              <w:left w:val="nil"/>
              <w:bottom w:val="single" w:sz="4" w:space="0" w:color="auto"/>
              <w:right w:val="single" w:sz="4" w:space="0" w:color="auto"/>
            </w:tcBorders>
            <w:shd w:val="clear" w:color="auto" w:fill="auto"/>
            <w:vAlign w:val="center"/>
            <w:hideMark/>
          </w:tcPr>
          <w:p w14:paraId="5028E94F" w14:textId="5C01FB09"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1 537</w:t>
            </w:r>
          </w:p>
        </w:tc>
        <w:tc>
          <w:tcPr>
            <w:tcW w:w="719" w:type="dxa"/>
            <w:tcBorders>
              <w:top w:val="nil"/>
              <w:left w:val="nil"/>
              <w:bottom w:val="single" w:sz="4" w:space="0" w:color="auto"/>
              <w:right w:val="single" w:sz="4" w:space="0" w:color="auto"/>
            </w:tcBorders>
            <w:shd w:val="clear" w:color="auto" w:fill="auto"/>
            <w:vAlign w:val="center"/>
            <w:hideMark/>
          </w:tcPr>
          <w:p w14:paraId="4C8B547D" w14:textId="5308713E"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1 537</w:t>
            </w:r>
          </w:p>
        </w:tc>
        <w:tc>
          <w:tcPr>
            <w:tcW w:w="992" w:type="dxa"/>
            <w:tcBorders>
              <w:top w:val="nil"/>
              <w:left w:val="nil"/>
              <w:bottom w:val="single" w:sz="4" w:space="0" w:color="auto"/>
              <w:right w:val="single" w:sz="4" w:space="0" w:color="auto"/>
            </w:tcBorders>
            <w:shd w:val="clear" w:color="auto" w:fill="auto"/>
            <w:vAlign w:val="center"/>
            <w:hideMark/>
          </w:tcPr>
          <w:p w14:paraId="1835229E" w14:textId="05ED43B9"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In (zvyšuje náklady)</w:t>
            </w:r>
          </w:p>
        </w:tc>
        <w:tc>
          <w:tcPr>
            <w:tcW w:w="992" w:type="dxa"/>
            <w:tcBorders>
              <w:top w:val="nil"/>
              <w:left w:val="nil"/>
              <w:bottom w:val="single" w:sz="4" w:space="0" w:color="auto"/>
              <w:right w:val="single" w:sz="4" w:space="0" w:color="auto"/>
            </w:tcBorders>
            <w:shd w:val="clear" w:color="auto" w:fill="auto"/>
            <w:vAlign w:val="center"/>
            <w:hideMark/>
          </w:tcPr>
          <w:p w14:paraId="497DCDC1" w14:textId="7A4BCEC5" w:rsidR="0047337B" w:rsidRPr="00F16F66" w:rsidRDefault="0047337B" w:rsidP="0047337B">
            <w:pPr>
              <w:spacing w:after="0" w:line="240" w:lineRule="auto"/>
              <w:jc w:val="center"/>
              <w:rPr>
                <w:rFonts w:ascii="Times New Roman" w:eastAsia="Times New Roman" w:hAnsi="Times New Roman" w:cs="Times New Roman"/>
                <w:sz w:val="20"/>
                <w:szCs w:val="20"/>
                <w:lang w:eastAsia="sk-SK"/>
              </w:rPr>
            </w:pPr>
            <w:r>
              <w:rPr>
                <w:sz w:val="20"/>
                <w:szCs w:val="20"/>
              </w:rPr>
              <w:t>0</w:t>
            </w:r>
          </w:p>
        </w:tc>
        <w:tc>
          <w:tcPr>
            <w:tcW w:w="851" w:type="dxa"/>
            <w:tcBorders>
              <w:top w:val="nil"/>
              <w:left w:val="nil"/>
              <w:bottom w:val="single" w:sz="4" w:space="0" w:color="auto"/>
              <w:right w:val="single" w:sz="4" w:space="0" w:color="auto"/>
            </w:tcBorders>
            <w:shd w:val="clear" w:color="auto" w:fill="auto"/>
            <w:vAlign w:val="center"/>
            <w:hideMark/>
          </w:tcPr>
          <w:p w14:paraId="7A4B5474" w14:textId="49484F1B"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0</w:t>
            </w:r>
          </w:p>
        </w:tc>
        <w:tc>
          <w:tcPr>
            <w:tcW w:w="160" w:type="dxa"/>
            <w:vAlign w:val="center"/>
            <w:hideMark/>
          </w:tcPr>
          <w:p w14:paraId="36F3E332" w14:textId="77777777" w:rsidR="0047337B" w:rsidRPr="00F16F66" w:rsidRDefault="0047337B" w:rsidP="0047337B">
            <w:pPr>
              <w:spacing w:after="0" w:line="240" w:lineRule="auto"/>
              <w:rPr>
                <w:rFonts w:ascii="Times New Roman" w:eastAsia="Times New Roman" w:hAnsi="Times New Roman" w:cs="Times New Roman"/>
                <w:sz w:val="20"/>
                <w:szCs w:val="20"/>
                <w:lang w:eastAsia="sk-SK"/>
              </w:rPr>
            </w:pPr>
          </w:p>
        </w:tc>
      </w:tr>
      <w:tr w:rsidR="0047337B" w:rsidRPr="00F16F66" w14:paraId="7B6864C5" w14:textId="77777777" w:rsidTr="00F16F66">
        <w:trPr>
          <w:trHeight w:val="585"/>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0880E06F" w14:textId="4FE9E3C5"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10</w:t>
            </w:r>
          </w:p>
        </w:tc>
        <w:tc>
          <w:tcPr>
            <w:tcW w:w="2098" w:type="dxa"/>
            <w:tcBorders>
              <w:top w:val="nil"/>
              <w:left w:val="nil"/>
              <w:bottom w:val="single" w:sz="4" w:space="0" w:color="auto"/>
              <w:right w:val="single" w:sz="4" w:space="0" w:color="auto"/>
            </w:tcBorders>
            <w:shd w:val="clear" w:color="auto" w:fill="auto"/>
            <w:vAlign w:val="center"/>
            <w:hideMark/>
          </w:tcPr>
          <w:p w14:paraId="532EBCB1" w14:textId="5AD3D01C"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oznamovanie správ o súhrnných pozíciách v komoditných derivátoch</w:t>
            </w:r>
          </w:p>
        </w:tc>
        <w:tc>
          <w:tcPr>
            <w:tcW w:w="1266" w:type="dxa"/>
            <w:tcBorders>
              <w:top w:val="nil"/>
              <w:left w:val="nil"/>
              <w:bottom w:val="single" w:sz="4" w:space="0" w:color="auto"/>
              <w:right w:val="single" w:sz="4" w:space="0" w:color="auto"/>
            </w:tcBorders>
            <w:shd w:val="clear" w:color="auto" w:fill="auto"/>
            <w:vAlign w:val="center"/>
            <w:hideMark/>
          </w:tcPr>
          <w:p w14:paraId="4309BF3F" w14:textId="0AE3B052"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429/2002</w:t>
            </w:r>
          </w:p>
        </w:tc>
        <w:tc>
          <w:tcPr>
            <w:tcW w:w="1435" w:type="dxa"/>
            <w:tcBorders>
              <w:top w:val="nil"/>
              <w:left w:val="nil"/>
              <w:bottom w:val="single" w:sz="4" w:space="0" w:color="auto"/>
              <w:right w:val="single" w:sz="4" w:space="0" w:color="auto"/>
            </w:tcBorders>
            <w:shd w:val="clear" w:color="auto" w:fill="auto"/>
            <w:vAlign w:val="center"/>
            <w:hideMark/>
          </w:tcPr>
          <w:p w14:paraId="67FAB1C5" w14:textId="5BEFEDB7"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 57b (1)(a)</w:t>
            </w:r>
          </w:p>
        </w:tc>
        <w:tc>
          <w:tcPr>
            <w:tcW w:w="1258" w:type="dxa"/>
            <w:tcBorders>
              <w:top w:val="nil"/>
              <w:left w:val="nil"/>
              <w:bottom w:val="single" w:sz="4" w:space="0" w:color="auto"/>
              <w:right w:val="single" w:sz="4" w:space="0" w:color="auto"/>
            </w:tcBorders>
            <w:shd w:val="clear" w:color="auto" w:fill="auto"/>
            <w:vAlign w:val="center"/>
            <w:hideMark/>
          </w:tcPr>
          <w:p w14:paraId="1782C343" w14:textId="16C3869C"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2. EÚ úplná harmonizácia</w:t>
            </w:r>
          </w:p>
        </w:tc>
        <w:tc>
          <w:tcPr>
            <w:tcW w:w="933" w:type="dxa"/>
            <w:tcBorders>
              <w:top w:val="nil"/>
              <w:left w:val="nil"/>
              <w:bottom w:val="single" w:sz="4" w:space="0" w:color="auto"/>
              <w:right w:val="single" w:sz="4" w:space="0" w:color="auto"/>
            </w:tcBorders>
            <w:shd w:val="clear" w:color="auto" w:fill="auto"/>
            <w:vAlign w:val="center"/>
            <w:hideMark/>
          </w:tcPr>
          <w:p w14:paraId="0E899C03" w14:textId="660FDF25"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29.09.25</w:t>
            </w:r>
          </w:p>
        </w:tc>
        <w:tc>
          <w:tcPr>
            <w:tcW w:w="1280" w:type="dxa"/>
            <w:tcBorders>
              <w:top w:val="nil"/>
              <w:left w:val="nil"/>
              <w:bottom w:val="single" w:sz="4" w:space="0" w:color="auto"/>
              <w:right w:val="single" w:sz="4" w:space="0" w:color="auto"/>
            </w:tcBorders>
            <w:shd w:val="clear" w:color="auto" w:fill="auto"/>
            <w:vAlign w:val="center"/>
            <w:hideMark/>
          </w:tcPr>
          <w:p w14:paraId="5032DB2F" w14:textId="09F06B6E"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obchodník s cennými papiermi</w:t>
            </w:r>
          </w:p>
        </w:tc>
        <w:tc>
          <w:tcPr>
            <w:tcW w:w="973" w:type="dxa"/>
            <w:tcBorders>
              <w:top w:val="nil"/>
              <w:left w:val="nil"/>
              <w:bottom w:val="single" w:sz="4" w:space="0" w:color="auto"/>
              <w:right w:val="single" w:sz="4" w:space="0" w:color="auto"/>
            </w:tcBorders>
            <w:shd w:val="clear" w:color="auto" w:fill="auto"/>
            <w:vAlign w:val="center"/>
            <w:hideMark/>
          </w:tcPr>
          <w:p w14:paraId="4A0F677A" w14:textId="67561E65" w:rsidR="0047337B" w:rsidRPr="00F16F66" w:rsidRDefault="0047337B" w:rsidP="0047337B">
            <w:pPr>
              <w:spacing w:after="0" w:line="240" w:lineRule="auto"/>
              <w:rPr>
                <w:rFonts w:ascii="Times New Roman" w:eastAsia="Times New Roman" w:hAnsi="Times New Roman" w:cs="Times New Roman"/>
                <w:color w:val="000000"/>
                <w:sz w:val="20"/>
                <w:szCs w:val="20"/>
                <w:lang w:eastAsia="sk-SK"/>
              </w:rPr>
            </w:pPr>
            <w:r>
              <w:rPr>
                <w:color w:val="000000"/>
                <w:sz w:val="20"/>
                <w:szCs w:val="20"/>
              </w:rPr>
              <w:t xml:space="preserve">                 20 </w:t>
            </w:r>
          </w:p>
        </w:tc>
        <w:tc>
          <w:tcPr>
            <w:tcW w:w="704" w:type="dxa"/>
            <w:tcBorders>
              <w:top w:val="nil"/>
              <w:left w:val="nil"/>
              <w:bottom w:val="single" w:sz="4" w:space="0" w:color="auto"/>
              <w:right w:val="single" w:sz="4" w:space="0" w:color="auto"/>
            </w:tcBorders>
            <w:shd w:val="clear" w:color="auto" w:fill="auto"/>
            <w:vAlign w:val="center"/>
            <w:hideMark/>
          </w:tcPr>
          <w:p w14:paraId="4C017F26" w14:textId="6DD8F4CF"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3 199</w:t>
            </w:r>
          </w:p>
        </w:tc>
        <w:tc>
          <w:tcPr>
            <w:tcW w:w="719" w:type="dxa"/>
            <w:tcBorders>
              <w:top w:val="nil"/>
              <w:left w:val="nil"/>
              <w:bottom w:val="single" w:sz="4" w:space="0" w:color="auto"/>
              <w:right w:val="single" w:sz="4" w:space="0" w:color="auto"/>
            </w:tcBorders>
            <w:shd w:val="clear" w:color="auto" w:fill="auto"/>
            <w:vAlign w:val="center"/>
            <w:hideMark/>
          </w:tcPr>
          <w:p w14:paraId="7077A7BF" w14:textId="3734AD86"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63 979</w:t>
            </w:r>
          </w:p>
        </w:tc>
        <w:tc>
          <w:tcPr>
            <w:tcW w:w="992" w:type="dxa"/>
            <w:tcBorders>
              <w:top w:val="nil"/>
              <w:left w:val="nil"/>
              <w:bottom w:val="single" w:sz="4" w:space="0" w:color="auto"/>
              <w:right w:val="single" w:sz="4" w:space="0" w:color="auto"/>
            </w:tcBorders>
            <w:shd w:val="clear" w:color="auto" w:fill="auto"/>
            <w:vAlign w:val="center"/>
            <w:hideMark/>
          </w:tcPr>
          <w:p w14:paraId="396B4D83" w14:textId="7AF1BF20"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In (zvyšuje náklady)</w:t>
            </w:r>
          </w:p>
        </w:tc>
        <w:tc>
          <w:tcPr>
            <w:tcW w:w="992" w:type="dxa"/>
            <w:tcBorders>
              <w:top w:val="nil"/>
              <w:left w:val="nil"/>
              <w:bottom w:val="single" w:sz="4" w:space="0" w:color="auto"/>
              <w:right w:val="single" w:sz="4" w:space="0" w:color="auto"/>
            </w:tcBorders>
            <w:shd w:val="clear" w:color="auto" w:fill="auto"/>
            <w:vAlign w:val="center"/>
            <w:hideMark/>
          </w:tcPr>
          <w:p w14:paraId="64896FA2" w14:textId="273E1979" w:rsidR="0047337B" w:rsidRPr="00F16F66" w:rsidRDefault="0047337B" w:rsidP="0047337B">
            <w:pPr>
              <w:spacing w:after="0" w:line="240" w:lineRule="auto"/>
              <w:jc w:val="center"/>
              <w:rPr>
                <w:rFonts w:ascii="Times New Roman" w:eastAsia="Times New Roman" w:hAnsi="Times New Roman" w:cs="Times New Roman"/>
                <w:sz w:val="20"/>
                <w:szCs w:val="20"/>
                <w:lang w:eastAsia="sk-SK"/>
              </w:rPr>
            </w:pPr>
            <w:r>
              <w:rPr>
                <w:sz w:val="20"/>
                <w:szCs w:val="20"/>
              </w:rPr>
              <w:t>0</w:t>
            </w:r>
          </w:p>
        </w:tc>
        <w:tc>
          <w:tcPr>
            <w:tcW w:w="851" w:type="dxa"/>
            <w:tcBorders>
              <w:top w:val="nil"/>
              <w:left w:val="nil"/>
              <w:bottom w:val="single" w:sz="4" w:space="0" w:color="auto"/>
              <w:right w:val="single" w:sz="4" w:space="0" w:color="auto"/>
            </w:tcBorders>
            <w:shd w:val="clear" w:color="auto" w:fill="auto"/>
            <w:vAlign w:val="center"/>
            <w:hideMark/>
          </w:tcPr>
          <w:p w14:paraId="078C79EA" w14:textId="146411B3"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0</w:t>
            </w:r>
          </w:p>
        </w:tc>
        <w:tc>
          <w:tcPr>
            <w:tcW w:w="160" w:type="dxa"/>
            <w:vAlign w:val="center"/>
            <w:hideMark/>
          </w:tcPr>
          <w:p w14:paraId="332DB43D" w14:textId="77777777" w:rsidR="0047337B" w:rsidRPr="00F16F66" w:rsidRDefault="0047337B" w:rsidP="0047337B">
            <w:pPr>
              <w:spacing w:after="0" w:line="240" w:lineRule="auto"/>
              <w:rPr>
                <w:rFonts w:ascii="Times New Roman" w:eastAsia="Times New Roman" w:hAnsi="Times New Roman" w:cs="Times New Roman"/>
                <w:sz w:val="20"/>
                <w:szCs w:val="20"/>
                <w:lang w:eastAsia="sk-SK"/>
              </w:rPr>
            </w:pPr>
          </w:p>
        </w:tc>
      </w:tr>
      <w:tr w:rsidR="0047337B" w:rsidRPr="00F16F66" w14:paraId="22E54313" w14:textId="77777777" w:rsidTr="00046C74">
        <w:trPr>
          <w:trHeight w:val="600"/>
        </w:trPr>
        <w:tc>
          <w:tcPr>
            <w:tcW w:w="528" w:type="dxa"/>
            <w:tcBorders>
              <w:top w:val="nil"/>
              <w:left w:val="single" w:sz="4" w:space="0" w:color="auto"/>
              <w:bottom w:val="single" w:sz="4" w:space="0" w:color="auto"/>
              <w:right w:val="single" w:sz="4" w:space="0" w:color="auto"/>
            </w:tcBorders>
            <w:shd w:val="clear" w:color="auto" w:fill="auto"/>
            <w:vAlign w:val="center"/>
          </w:tcPr>
          <w:p w14:paraId="6EEEC6E2" w14:textId="684D4FBB"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11</w:t>
            </w:r>
          </w:p>
        </w:tc>
        <w:tc>
          <w:tcPr>
            <w:tcW w:w="2098" w:type="dxa"/>
            <w:tcBorders>
              <w:top w:val="nil"/>
              <w:left w:val="nil"/>
              <w:bottom w:val="single" w:sz="4" w:space="0" w:color="auto"/>
              <w:right w:val="single" w:sz="4" w:space="0" w:color="auto"/>
            </w:tcBorders>
            <w:shd w:val="clear" w:color="auto" w:fill="auto"/>
            <w:vAlign w:val="center"/>
          </w:tcPr>
          <w:p w14:paraId="5950CCE7" w14:textId="78F8B204"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 xml:space="preserve">zavedenie postupov na riadenie rizika koncentrácie </w:t>
            </w:r>
          </w:p>
        </w:tc>
        <w:tc>
          <w:tcPr>
            <w:tcW w:w="1266" w:type="dxa"/>
            <w:tcBorders>
              <w:top w:val="nil"/>
              <w:left w:val="nil"/>
              <w:bottom w:val="single" w:sz="4" w:space="0" w:color="auto"/>
              <w:right w:val="single" w:sz="4" w:space="0" w:color="auto"/>
            </w:tcBorders>
            <w:shd w:val="clear" w:color="auto" w:fill="auto"/>
            <w:vAlign w:val="center"/>
          </w:tcPr>
          <w:p w14:paraId="0BD19D0D" w14:textId="77D231AB"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566/2001</w:t>
            </w:r>
          </w:p>
        </w:tc>
        <w:tc>
          <w:tcPr>
            <w:tcW w:w="1435" w:type="dxa"/>
            <w:tcBorders>
              <w:top w:val="nil"/>
              <w:left w:val="nil"/>
              <w:bottom w:val="single" w:sz="4" w:space="0" w:color="auto"/>
              <w:right w:val="single" w:sz="4" w:space="0" w:color="auto"/>
            </w:tcBorders>
            <w:shd w:val="clear" w:color="auto" w:fill="auto"/>
            <w:vAlign w:val="center"/>
          </w:tcPr>
          <w:p w14:paraId="0382BB1E" w14:textId="55C874D1"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 xml:space="preserve">§ 71c(2)(e) </w:t>
            </w:r>
          </w:p>
        </w:tc>
        <w:tc>
          <w:tcPr>
            <w:tcW w:w="1258" w:type="dxa"/>
            <w:tcBorders>
              <w:top w:val="nil"/>
              <w:left w:val="nil"/>
              <w:bottom w:val="single" w:sz="4" w:space="0" w:color="auto"/>
              <w:right w:val="single" w:sz="4" w:space="0" w:color="auto"/>
            </w:tcBorders>
            <w:shd w:val="clear" w:color="auto" w:fill="auto"/>
            <w:vAlign w:val="center"/>
          </w:tcPr>
          <w:p w14:paraId="495114A3" w14:textId="06364DF8"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2. EÚ úplná harmonizácia</w:t>
            </w:r>
          </w:p>
        </w:tc>
        <w:tc>
          <w:tcPr>
            <w:tcW w:w="933" w:type="dxa"/>
            <w:tcBorders>
              <w:top w:val="nil"/>
              <w:left w:val="nil"/>
              <w:bottom w:val="single" w:sz="4" w:space="0" w:color="auto"/>
              <w:right w:val="single" w:sz="4" w:space="0" w:color="auto"/>
            </w:tcBorders>
            <w:shd w:val="clear" w:color="auto" w:fill="auto"/>
            <w:vAlign w:val="center"/>
          </w:tcPr>
          <w:p w14:paraId="46918788" w14:textId="6C59E6FA"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25.06.26</w:t>
            </w:r>
          </w:p>
        </w:tc>
        <w:tc>
          <w:tcPr>
            <w:tcW w:w="1280" w:type="dxa"/>
            <w:tcBorders>
              <w:top w:val="nil"/>
              <w:left w:val="nil"/>
              <w:bottom w:val="single" w:sz="4" w:space="0" w:color="auto"/>
              <w:right w:val="single" w:sz="4" w:space="0" w:color="auto"/>
            </w:tcBorders>
            <w:shd w:val="clear" w:color="auto" w:fill="auto"/>
            <w:vAlign w:val="center"/>
          </w:tcPr>
          <w:p w14:paraId="58094FD6" w14:textId="4FFEF463"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obchodník s cennými papiermi</w:t>
            </w:r>
          </w:p>
        </w:tc>
        <w:tc>
          <w:tcPr>
            <w:tcW w:w="973" w:type="dxa"/>
            <w:tcBorders>
              <w:top w:val="nil"/>
              <w:left w:val="nil"/>
              <w:bottom w:val="single" w:sz="4" w:space="0" w:color="auto"/>
              <w:right w:val="single" w:sz="4" w:space="0" w:color="auto"/>
            </w:tcBorders>
            <w:shd w:val="clear" w:color="auto" w:fill="auto"/>
            <w:vAlign w:val="center"/>
          </w:tcPr>
          <w:p w14:paraId="7848A000" w14:textId="02F265A4" w:rsidR="0047337B" w:rsidRPr="00F16F66" w:rsidRDefault="0047337B" w:rsidP="0047337B">
            <w:pPr>
              <w:spacing w:after="0" w:line="240" w:lineRule="auto"/>
              <w:rPr>
                <w:rFonts w:ascii="Times New Roman" w:eastAsia="Times New Roman" w:hAnsi="Times New Roman" w:cs="Times New Roman"/>
                <w:color w:val="000000"/>
                <w:sz w:val="20"/>
                <w:szCs w:val="20"/>
                <w:lang w:eastAsia="sk-SK"/>
              </w:rPr>
            </w:pPr>
            <w:r>
              <w:rPr>
                <w:color w:val="000000"/>
                <w:sz w:val="20"/>
                <w:szCs w:val="20"/>
              </w:rPr>
              <w:t xml:space="preserve">                 15 </w:t>
            </w:r>
          </w:p>
        </w:tc>
        <w:tc>
          <w:tcPr>
            <w:tcW w:w="704" w:type="dxa"/>
            <w:tcBorders>
              <w:top w:val="nil"/>
              <w:left w:val="nil"/>
              <w:bottom w:val="single" w:sz="4" w:space="0" w:color="auto"/>
              <w:right w:val="single" w:sz="4" w:space="0" w:color="auto"/>
            </w:tcBorders>
            <w:shd w:val="clear" w:color="auto" w:fill="auto"/>
            <w:vAlign w:val="center"/>
          </w:tcPr>
          <w:p w14:paraId="152F2959" w14:textId="2831F8BB"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134</w:t>
            </w:r>
          </w:p>
        </w:tc>
        <w:tc>
          <w:tcPr>
            <w:tcW w:w="719" w:type="dxa"/>
            <w:tcBorders>
              <w:top w:val="nil"/>
              <w:left w:val="nil"/>
              <w:bottom w:val="single" w:sz="4" w:space="0" w:color="auto"/>
              <w:right w:val="single" w:sz="4" w:space="0" w:color="auto"/>
            </w:tcBorders>
            <w:shd w:val="clear" w:color="auto" w:fill="auto"/>
            <w:vAlign w:val="center"/>
          </w:tcPr>
          <w:p w14:paraId="4D51ECDC" w14:textId="201FE199"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2 012</w:t>
            </w:r>
          </w:p>
        </w:tc>
        <w:tc>
          <w:tcPr>
            <w:tcW w:w="992" w:type="dxa"/>
            <w:tcBorders>
              <w:top w:val="nil"/>
              <w:left w:val="nil"/>
              <w:bottom w:val="single" w:sz="4" w:space="0" w:color="auto"/>
              <w:right w:val="single" w:sz="4" w:space="0" w:color="auto"/>
            </w:tcBorders>
            <w:shd w:val="clear" w:color="auto" w:fill="auto"/>
            <w:vAlign w:val="center"/>
          </w:tcPr>
          <w:p w14:paraId="5AF8903B" w14:textId="021E75E4"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In (zvyšuje náklady)</w:t>
            </w:r>
          </w:p>
        </w:tc>
        <w:tc>
          <w:tcPr>
            <w:tcW w:w="992" w:type="dxa"/>
            <w:tcBorders>
              <w:top w:val="nil"/>
              <w:left w:val="nil"/>
              <w:bottom w:val="single" w:sz="4" w:space="0" w:color="auto"/>
              <w:right w:val="single" w:sz="4" w:space="0" w:color="auto"/>
            </w:tcBorders>
            <w:shd w:val="clear" w:color="auto" w:fill="auto"/>
            <w:vAlign w:val="center"/>
          </w:tcPr>
          <w:p w14:paraId="0CC21F3F" w14:textId="659D4DFE" w:rsidR="0047337B" w:rsidRPr="00F16F66" w:rsidRDefault="0047337B" w:rsidP="0047337B">
            <w:pPr>
              <w:spacing w:after="0" w:line="240" w:lineRule="auto"/>
              <w:jc w:val="center"/>
              <w:rPr>
                <w:rFonts w:ascii="Times New Roman" w:eastAsia="Times New Roman" w:hAnsi="Times New Roman" w:cs="Times New Roman"/>
                <w:sz w:val="20"/>
                <w:szCs w:val="20"/>
                <w:lang w:eastAsia="sk-SK"/>
              </w:rPr>
            </w:pPr>
            <w:r>
              <w:rPr>
                <w:sz w:val="20"/>
                <w:szCs w:val="20"/>
              </w:rPr>
              <w:t>0</w:t>
            </w:r>
          </w:p>
        </w:tc>
        <w:tc>
          <w:tcPr>
            <w:tcW w:w="851" w:type="dxa"/>
            <w:tcBorders>
              <w:top w:val="nil"/>
              <w:left w:val="nil"/>
              <w:bottom w:val="single" w:sz="4" w:space="0" w:color="auto"/>
              <w:right w:val="single" w:sz="4" w:space="0" w:color="auto"/>
            </w:tcBorders>
            <w:shd w:val="clear" w:color="auto" w:fill="auto"/>
            <w:vAlign w:val="center"/>
          </w:tcPr>
          <w:p w14:paraId="0E357860" w14:textId="5EC602E2"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0</w:t>
            </w:r>
          </w:p>
        </w:tc>
        <w:tc>
          <w:tcPr>
            <w:tcW w:w="160" w:type="dxa"/>
            <w:vAlign w:val="center"/>
            <w:hideMark/>
          </w:tcPr>
          <w:p w14:paraId="3457AF1A" w14:textId="77777777" w:rsidR="0047337B" w:rsidRPr="00F16F66" w:rsidRDefault="0047337B" w:rsidP="0047337B">
            <w:pPr>
              <w:spacing w:after="0" w:line="240" w:lineRule="auto"/>
              <w:rPr>
                <w:rFonts w:ascii="Times New Roman" w:eastAsia="Times New Roman" w:hAnsi="Times New Roman" w:cs="Times New Roman"/>
                <w:sz w:val="20"/>
                <w:szCs w:val="20"/>
                <w:lang w:eastAsia="sk-SK"/>
              </w:rPr>
            </w:pPr>
          </w:p>
        </w:tc>
      </w:tr>
      <w:tr w:rsidR="0047337B" w:rsidRPr="00F16F66" w14:paraId="04C54397" w14:textId="77777777" w:rsidTr="00046C74">
        <w:trPr>
          <w:trHeight w:val="585"/>
        </w:trPr>
        <w:tc>
          <w:tcPr>
            <w:tcW w:w="528" w:type="dxa"/>
            <w:tcBorders>
              <w:top w:val="nil"/>
              <w:left w:val="single" w:sz="4" w:space="0" w:color="auto"/>
              <w:bottom w:val="single" w:sz="4" w:space="0" w:color="auto"/>
              <w:right w:val="single" w:sz="4" w:space="0" w:color="auto"/>
            </w:tcBorders>
            <w:shd w:val="clear" w:color="auto" w:fill="auto"/>
            <w:vAlign w:val="center"/>
          </w:tcPr>
          <w:p w14:paraId="504B0672" w14:textId="03952196"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12</w:t>
            </w:r>
          </w:p>
        </w:tc>
        <w:tc>
          <w:tcPr>
            <w:tcW w:w="2098" w:type="dxa"/>
            <w:tcBorders>
              <w:top w:val="nil"/>
              <w:left w:val="nil"/>
              <w:bottom w:val="single" w:sz="4" w:space="0" w:color="auto"/>
              <w:right w:val="single" w:sz="4" w:space="0" w:color="auto"/>
            </w:tcBorders>
            <w:shd w:val="clear" w:color="auto" w:fill="auto"/>
            <w:vAlign w:val="center"/>
          </w:tcPr>
          <w:p w14:paraId="69431562" w14:textId="374C4714"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 xml:space="preserve">vypracovanie osobitného plánu a kvantifikovateľných cieľov </w:t>
            </w:r>
          </w:p>
        </w:tc>
        <w:tc>
          <w:tcPr>
            <w:tcW w:w="1266" w:type="dxa"/>
            <w:tcBorders>
              <w:top w:val="nil"/>
              <w:left w:val="nil"/>
              <w:bottom w:val="single" w:sz="4" w:space="0" w:color="auto"/>
              <w:right w:val="single" w:sz="4" w:space="0" w:color="auto"/>
            </w:tcBorders>
            <w:shd w:val="clear" w:color="auto" w:fill="auto"/>
            <w:vAlign w:val="center"/>
          </w:tcPr>
          <w:p w14:paraId="4D9845DD" w14:textId="044F9978"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566/2001</w:t>
            </w:r>
          </w:p>
        </w:tc>
        <w:tc>
          <w:tcPr>
            <w:tcW w:w="1435" w:type="dxa"/>
            <w:tcBorders>
              <w:top w:val="nil"/>
              <w:left w:val="nil"/>
              <w:bottom w:val="single" w:sz="4" w:space="0" w:color="auto"/>
              <w:right w:val="single" w:sz="4" w:space="0" w:color="auto"/>
            </w:tcBorders>
            <w:shd w:val="clear" w:color="auto" w:fill="auto"/>
            <w:vAlign w:val="center"/>
          </w:tcPr>
          <w:p w14:paraId="65BD1363" w14:textId="7CBF43D7"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 71c(7)</w:t>
            </w:r>
          </w:p>
        </w:tc>
        <w:tc>
          <w:tcPr>
            <w:tcW w:w="1258" w:type="dxa"/>
            <w:tcBorders>
              <w:top w:val="nil"/>
              <w:left w:val="nil"/>
              <w:bottom w:val="single" w:sz="4" w:space="0" w:color="auto"/>
              <w:right w:val="single" w:sz="4" w:space="0" w:color="auto"/>
            </w:tcBorders>
            <w:shd w:val="clear" w:color="auto" w:fill="auto"/>
            <w:vAlign w:val="center"/>
          </w:tcPr>
          <w:p w14:paraId="219DB095" w14:textId="509A9899"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2. EÚ úplná harmonizácia</w:t>
            </w:r>
          </w:p>
        </w:tc>
        <w:tc>
          <w:tcPr>
            <w:tcW w:w="933" w:type="dxa"/>
            <w:tcBorders>
              <w:top w:val="nil"/>
              <w:left w:val="nil"/>
              <w:bottom w:val="single" w:sz="4" w:space="0" w:color="auto"/>
              <w:right w:val="single" w:sz="4" w:space="0" w:color="auto"/>
            </w:tcBorders>
            <w:shd w:val="clear" w:color="auto" w:fill="auto"/>
            <w:vAlign w:val="center"/>
          </w:tcPr>
          <w:p w14:paraId="398C0205" w14:textId="55DD0B69"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25.06.26</w:t>
            </w:r>
          </w:p>
        </w:tc>
        <w:tc>
          <w:tcPr>
            <w:tcW w:w="1280" w:type="dxa"/>
            <w:tcBorders>
              <w:top w:val="nil"/>
              <w:left w:val="nil"/>
              <w:bottom w:val="single" w:sz="4" w:space="0" w:color="auto"/>
              <w:right w:val="single" w:sz="4" w:space="0" w:color="auto"/>
            </w:tcBorders>
            <w:shd w:val="clear" w:color="auto" w:fill="auto"/>
            <w:vAlign w:val="center"/>
          </w:tcPr>
          <w:p w14:paraId="4B365501" w14:textId="1C0B8F37"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obchodník s cennými papiermi</w:t>
            </w:r>
          </w:p>
        </w:tc>
        <w:tc>
          <w:tcPr>
            <w:tcW w:w="973" w:type="dxa"/>
            <w:tcBorders>
              <w:top w:val="nil"/>
              <w:left w:val="nil"/>
              <w:bottom w:val="single" w:sz="4" w:space="0" w:color="auto"/>
              <w:right w:val="single" w:sz="4" w:space="0" w:color="auto"/>
            </w:tcBorders>
            <w:shd w:val="clear" w:color="auto" w:fill="auto"/>
            <w:vAlign w:val="center"/>
          </w:tcPr>
          <w:p w14:paraId="7E67E35F" w14:textId="0282032E" w:rsidR="0047337B" w:rsidRPr="00F16F66" w:rsidRDefault="0047337B" w:rsidP="0047337B">
            <w:pPr>
              <w:spacing w:after="0" w:line="240" w:lineRule="auto"/>
              <w:rPr>
                <w:rFonts w:ascii="Times New Roman" w:eastAsia="Times New Roman" w:hAnsi="Times New Roman" w:cs="Times New Roman"/>
                <w:color w:val="000000"/>
                <w:sz w:val="20"/>
                <w:szCs w:val="20"/>
                <w:lang w:eastAsia="sk-SK"/>
              </w:rPr>
            </w:pPr>
            <w:r>
              <w:rPr>
                <w:color w:val="000000"/>
                <w:sz w:val="20"/>
                <w:szCs w:val="20"/>
              </w:rPr>
              <w:t xml:space="preserve">                 15 </w:t>
            </w:r>
          </w:p>
        </w:tc>
        <w:tc>
          <w:tcPr>
            <w:tcW w:w="704" w:type="dxa"/>
            <w:tcBorders>
              <w:top w:val="nil"/>
              <w:left w:val="nil"/>
              <w:bottom w:val="single" w:sz="4" w:space="0" w:color="auto"/>
              <w:right w:val="single" w:sz="4" w:space="0" w:color="auto"/>
            </w:tcBorders>
            <w:shd w:val="clear" w:color="auto" w:fill="auto"/>
            <w:vAlign w:val="center"/>
          </w:tcPr>
          <w:p w14:paraId="728AB5CF" w14:textId="50C0B927"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259</w:t>
            </w:r>
          </w:p>
        </w:tc>
        <w:tc>
          <w:tcPr>
            <w:tcW w:w="719" w:type="dxa"/>
            <w:tcBorders>
              <w:top w:val="nil"/>
              <w:left w:val="nil"/>
              <w:bottom w:val="single" w:sz="4" w:space="0" w:color="auto"/>
              <w:right w:val="single" w:sz="4" w:space="0" w:color="auto"/>
            </w:tcBorders>
            <w:shd w:val="clear" w:color="auto" w:fill="auto"/>
            <w:vAlign w:val="center"/>
          </w:tcPr>
          <w:p w14:paraId="4E6DC19B" w14:textId="0C8BE4EA"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3 887</w:t>
            </w:r>
          </w:p>
        </w:tc>
        <w:tc>
          <w:tcPr>
            <w:tcW w:w="992" w:type="dxa"/>
            <w:tcBorders>
              <w:top w:val="nil"/>
              <w:left w:val="nil"/>
              <w:bottom w:val="single" w:sz="4" w:space="0" w:color="auto"/>
              <w:right w:val="single" w:sz="4" w:space="0" w:color="auto"/>
            </w:tcBorders>
            <w:shd w:val="clear" w:color="auto" w:fill="auto"/>
            <w:vAlign w:val="center"/>
          </w:tcPr>
          <w:p w14:paraId="63A93771" w14:textId="6DD9A405"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In (zvyšuje náklady)</w:t>
            </w:r>
          </w:p>
        </w:tc>
        <w:tc>
          <w:tcPr>
            <w:tcW w:w="992" w:type="dxa"/>
            <w:tcBorders>
              <w:top w:val="nil"/>
              <w:left w:val="nil"/>
              <w:bottom w:val="single" w:sz="4" w:space="0" w:color="auto"/>
              <w:right w:val="single" w:sz="4" w:space="0" w:color="auto"/>
            </w:tcBorders>
            <w:shd w:val="clear" w:color="auto" w:fill="auto"/>
            <w:vAlign w:val="center"/>
          </w:tcPr>
          <w:p w14:paraId="6DC0C59C" w14:textId="51764ACD" w:rsidR="0047337B" w:rsidRPr="00F16F66" w:rsidRDefault="0047337B" w:rsidP="0047337B">
            <w:pPr>
              <w:spacing w:after="0" w:line="240" w:lineRule="auto"/>
              <w:jc w:val="center"/>
              <w:rPr>
                <w:rFonts w:ascii="Times New Roman" w:eastAsia="Times New Roman" w:hAnsi="Times New Roman" w:cs="Times New Roman"/>
                <w:sz w:val="20"/>
                <w:szCs w:val="20"/>
                <w:lang w:eastAsia="sk-SK"/>
              </w:rPr>
            </w:pPr>
            <w:r>
              <w:rPr>
                <w:sz w:val="20"/>
                <w:szCs w:val="20"/>
              </w:rPr>
              <w:t>0</w:t>
            </w:r>
          </w:p>
        </w:tc>
        <w:tc>
          <w:tcPr>
            <w:tcW w:w="851" w:type="dxa"/>
            <w:tcBorders>
              <w:top w:val="nil"/>
              <w:left w:val="nil"/>
              <w:bottom w:val="single" w:sz="4" w:space="0" w:color="auto"/>
              <w:right w:val="single" w:sz="4" w:space="0" w:color="auto"/>
            </w:tcBorders>
            <w:shd w:val="clear" w:color="auto" w:fill="auto"/>
            <w:vAlign w:val="center"/>
          </w:tcPr>
          <w:p w14:paraId="1769F087" w14:textId="42208565" w:rsidR="0047337B" w:rsidRPr="00F16F66" w:rsidRDefault="0047337B" w:rsidP="0047337B">
            <w:pPr>
              <w:spacing w:after="0" w:line="240" w:lineRule="auto"/>
              <w:jc w:val="center"/>
              <w:rPr>
                <w:rFonts w:ascii="Times New Roman" w:eastAsia="Times New Roman" w:hAnsi="Times New Roman" w:cs="Times New Roman"/>
                <w:color w:val="000000"/>
                <w:sz w:val="20"/>
                <w:szCs w:val="20"/>
                <w:lang w:eastAsia="sk-SK"/>
              </w:rPr>
            </w:pPr>
            <w:r>
              <w:rPr>
                <w:color w:val="000000"/>
                <w:sz w:val="20"/>
                <w:szCs w:val="20"/>
              </w:rPr>
              <w:t>0</w:t>
            </w:r>
          </w:p>
        </w:tc>
        <w:tc>
          <w:tcPr>
            <w:tcW w:w="160" w:type="dxa"/>
            <w:vAlign w:val="center"/>
            <w:hideMark/>
          </w:tcPr>
          <w:p w14:paraId="563D3273" w14:textId="77777777" w:rsidR="0047337B" w:rsidRPr="00F16F66" w:rsidRDefault="0047337B" w:rsidP="0047337B">
            <w:pPr>
              <w:spacing w:after="0" w:line="240" w:lineRule="auto"/>
              <w:rPr>
                <w:rFonts w:ascii="Times New Roman" w:eastAsia="Times New Roman" w:hAnsi="Times New Roman" w:cs="Times New Roman"/>
                <w:sz w:val="20"/>
                <w:szCs w:val="20"/>
                <w:lang w:eastAsia="sk-SK"/>
              </w:rPr>
            </w:pPr>
          </w:p>
        </w:tc>
      </w:tr>
    </w:tbl>
    <w:p w14:paraId="5AA335F8" w14:textId="77777777" w:rsidR="00F16F66" w:rsidRDefault="00F16F66" w:rsidP="00054C41">
      <w:pPr>
        <w:jc w:val="both"/>
        <w:rPr>
          <w:rFonts w:ascii="Times New Roman" w:eastAsia="Calibri" w:hAnsi="Times New Roman" w:cs="Times New Roman"/>
          <w:i/>
        </w:rPr>
      </w:pPr>
    </w:p>
    <w:p w14:paraId="1DA5C465" w14:textId="77777777" w:rsidR="00F16F66" w:rsidRPr="00895898" w:rsidRDefault="00F16F66" w:rsidP="00054C41">
      <w:pPr>
        <w:jc w:val="both"/>
        <w:rPr>
          <w:rFonts w:ascii="Times New Roman" w:eastAsia="Calibri" w:hAnsi="Times New Roman" w:cs="Times New Roman"/>
          <w:i/>
        </w:rPr>
      </w:pPr>
    </w:p>
    <w:p w14:paraId="798179FB" w14:textId="77777777" w:rsidR="00054C41" w:rsidRPr="00895898" w:rsidRDefault="00054C41" w:rsidP="00054C41">
      <w:pPr>
        <w:jc w:val="both"/>
        <w:rPr>
          <w:rFonts w:ascii="Times New Roman" w:eastAsia="Calibri" w:hAnsi="Times New Roman" w:cs="Times New Roman"/>
          <w:b/>
          <w:bCs/>
          <w:i/>
          <w:sz w:val="24"/>
          <w:szCs w:val="24"/>
        </w:rPr>
        <w:sectPr w:rsidR="00054C41" w:rsidRPr="00895898" w:rsidSect="00142154">
          <w:pgSz w:w="16838" w:h="11906" w:orient="landscape"/>
          <w:pgMar w:top="1417" w:right="1417" w:bottom="1417" w:left="1417" w:header="708" w:footer="708" w:gutter="0"/>
          <w:cols w:space="708"/>
          <w:docGrid w:linePitch="360"/>
        </w:sectPr>
      </w:pPr>
    </w:p>
    <w:p w14:paraId="77318665" w14:textId="77777777" w:rsidR="00054C41" w:rsidRPr="001F1B43" w:rsidRDefault="00511F8F" w:rsidP="00054C41">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lastRenderedPageBreak/>
        <w:t xml:space="preserve">3.1.3 </w:t>
      </w:r>
      <w:r w:rsidR="00054C41" w:rsidRPr="001F1B43">
        <w:rPr>
          <w:rFonts w:ascii="Times New Roman" w:eastAsia="Calibri" w:hAnsi="Times New Roman" w:cs="Times New Roman"/>
          <w:b/>
          <w:bCs/>
          <w:i/>
          <w:sz w:val="24"/>
          <w:szCs w:val="24"/>
          <w:u w:val="single"/>
        </w:rPr>
        <w:t xml:space="preserve">Doplňujúce informácie k spôsobu výpočtu vplyvov jednotlivých regulácií na zmenu nákladov </w:t>
      </w:r>
    </w:p>
    <w:p w14:paraId="41FDC667" w14:textId="668FE7AA" w:rsidR="00054C41" w:rsidRDefault="00054C41" w:rsidP="00054C41">
      <w:pPr>
        <w:jc w:val="both"/>
        <w:rPr>
          <w:rFonts w:ascii="Times New Roman" w:eastAsia="Calibri" w:hAnsi="Times New Roman" w:cs="Times New Roman"/>
          <w:bCs/>
          <w:i/>
          <w:iCs/>
          <w:color w:val="000000"/>
          <w:sz w:val="24"/>
          <w:szCs w:val="24"/>
        </w:rPr>
      </w:pPr>
      <w:r w:rsidRPr="00D8247C">
        <w:rPr>
          <w:rFonts w:ascii="Times New Roman" w:eastAsia="Calibri" w:hAnsi="Times New Roman" w:cs="Times New Roman"/>
          <w:bCs/>
          <w:i/>
          <w:iCs/>
          <w:color w:val="000000"/>
          <w:sz w:val="24"/>
          <w:szCs w:val="24"/>
        </w:rPr>
        <w:t xml:space="preserve">Osobitne pri každej regulácii s vplyvom na PP zhodnotenom v tabuľke č. 2 uveďte doplňujúce informácie tak, aby mohol byť skontrolovaný spôsob a správnosť výpočtov. Uveďte najmä, ako ste vypočítali vplyvy a z akého zdroja ste čerpali početnosti (uveďte aj </w:t>
      </w:r>
      <w:proofErr w:type="spellStart"/>
      <w:r w:rsidRPr="00D8247C">
        <w:rPr>
          <w:rFonts w:ascii="Times New Roman" w:eastAsia="Calibri" w:hAnsi="Times New Roman" w:cs="Times New Roman"/>
          <w:bCs/>
          <w:i/>
          <w:iCs/>
          <w:color w:val="000000"/>
          <w:sz w:val="24"/>
          <w:szCs w:val="24"/>
        </w:rPr>
        <w:t>link</w:t>
      </w:r>
      <w:proofErr w:type="spellEnd"/>
      <w:r w:rsidRPr="00D8247C">
        <w:rPr>
          <w:rFonts w:ascii="Times New Roman" w:eastAsia="Calibri" w:hAnsi="Times New Roman" w:cs="Times New Roman"/>
          <w:bCs/>
          <w:i/>
          <w:iCs/>
          <w:color w:val="000000"/>
          <w:sz w:val="24"/>
          <w:szCs w:val="24"/>
        </w:rPr>
        <w:t xml:space="preserve"> na konkrétne štatistiky, ak sú dostupné na internete). Jednotlivé regulácie môžu mať jeden alebo viac typov nákladov (A. Dane, odvody, clá</w:t>
      </w:r>
      <w:r w:rsidR="00A000DA">
        <w:rPr>
          <w:rFonts w:ascii="Times New Roman" w:eastAsia="Calibri" w:hAnsi="Times New Roman" w:cs="Times New Roman"/>
          <w:bCs/>
          <w:i/>
          <w:iCs/>
          <w:color w:val="000000"/>
          <w:sz w:val="24"/>
          <w:szCs w:val="24"/>
        </w:rPr>
        <w:t xml:space="preserve"> </w:t>
      </w:r>
      <w:r w:rsidR="00A000DA" w:rsidRPr="00A000DA">
        <w:rPr>
          <w:rFonts w:ascii="Times New Roman" w:eastAsia="Calibri" w:hAnsi="Times New Roman" w:cs="Times New Roman"/>
          <w:bCs/>
          <w:i/>
          <w:iCs/>
          <w:color w:val="000000"/>
          <w:sz w:val="24"/>
          <w:szCs w:val="24"/>
        </w:rPr>
        <w:t xml:space="preserve">a poplatky, ktorých cieľom je znižovať negatívne </w:t>
      </w:r>
      <w:proofErr w:type="spellStart"/>
      <w:r w:rsidR="00A000DA" w:rsidRPr="00A000DA">
        <w:rPr>
          <w:rFonts w:ascii="Times New Roman" w:eastAsia="Calibri" w:hAnsi="Times New Roman" w:cs="Times New Roman"/>
          <w:bCs/>
          <w:i/>
          <w:iCs/>
          <w:color w:val="000000"/>
          <w:sz w:val="24"/>
          <w:szCs w:val="24"/>
        </w:rPr>
        <w:t>externality</w:t>
      </w:r>
      <w:proofErr w:type="spellEnd"/>
      <w:r w:rsidRPr="00D8247C">
        <w:rPr>
          <w:rFonts w:ascii="Times New Roman" w:eastAsia="Calibri" w:hAnsi="Times New Roman" w:cs="Times New Roman"/>
          <w:bCs/>
          <w:i/>
          <w:iCs/>
          <w:color w:val="000000"/>
          <w:sz w:val="24"/>
          <w:szCs w:val="24"/>
        </w:rPr>
        <w:t xml:space="preserve">, B. </w:t>
      </w:r>
      <w:r w:rsidR="00A000DA">
        <w:rPr>
          <w:rFonts w:ascii="Times New Roman" w:eastAsia="Calibri" w:hAnsi="Times New Roman" w:cs="Times New Roman"/>
          <w:bCs/>
          <w:i/>
          <w:iCs/>
          <w:color w:val="000000"/>
          <w:sz w:val="24"/>
          <w:szCs w:val="24"/>
        </w:rPr>
        <w:t>Iné p</w:t>
      </w:r>
      <w:r w:rsidRPr="00D8247C">
        <w:rPr>
          <w:rFonts w:ascii="Times New Roman" w:eastAsia="Calibri" w:hAnsi="Times New Roman" w:cs="Times New Roman"/>
          <w:bCs/>
          <w:i/>
          <w:iCs/>
          <w:color w:val="000000"/>
          <w:sz w:val="24"/>
          <w:szCs w:val="24"/>
        </w:rPr>
        <w:t>oplatky</w:t>
      </w:r>
      <w:r w:rsidRPr="00952CF6">
        <w:rPr>
          <w:rFonts w:ascii="Times New Roman" w:eastAsia="Calibri" w:hAnsi="Times New Roman" w:cs="Times New Roman"/>
          <w:bCs/>
          <w:i/>
          <w:iCs/>
          <w:color w:val="000000"/>
          <w:sz w:val="24"/>
          <w:szCs w:val="24"/>
        </w:rPr>
        <w:t>,</w:t>
      </w:r>
      <w:r w:rsidRPr="00D8247C">
        <w:rPr>
          <w:rFonts w:ascii="Times New Roman" w:eastAsia="Calibri" w:hAnsi="Times New Roman" w:cs="Times New Roman"/>
          <w:bCs/>
          <w:i/>
          <w:iCs/>
          <w:color w:val="000000"/>
          <w:sz w:val="24"/>
          <w:szCs w:val="24"/>
        </w:rPr>
        <w:t xml:space="preserve"> C. </w:t>
      </w:r>
      <w:r w:rsidR="00024EE4">
        <w:rPr>
          <w:rFonts w:ascii="Times New Roman" w:eastAsia="Calibri" w:hAnsi="Times New Roman" w:cs="Times New Roman"/>
          <w:bCs/>
          <w:i/>
          <w:iCs/>
          <w:color w:val="000000"/>
          <w:sz w:val="24"/>
          <w:szCs w:val="24"/>
        </w:rPr>
        <w:t>Sankcie</w:t>
      </w:r>
      <w:r w:rsidRPr="00D8247C">
        <w:rPr>
          <w:rFonts w:ascii="Times New Roman" w:eastAsia="Calibri" w:hAnsi="Times New Roman" w:cs="Times New Roman"/>
          <w:bCs/>
          <w:i/>
          <w:iCs/>
          <w:color w:val="000000"/>
          <w:sz w:val="24"/>
          <w:szCs w:val="24"/>
        </w:rPr>
        <w:t xml:space="preserve">, D. </w:t>
      </w:r>
      <w:r w:rsidR="00024EE4">
        <w:rPr>
          <w:rFonts w:ascii="Times New Roman" w:eastAsia="Calibri" w:hAnsi="Times New Roman" w:cs="Times New Roman"/>
          <w:bCs/>
          <w:i/>
          <w:iCs/>
          <w:color w:val="000000"/>
          <w:sz w:val="24"/>
          <w:szCs w:val="24"/>
        </w:rPr>
        <w:t>Nepriame finančné náklady</w:t>
      </w:r>
      <w:r w:rsidR="00A94A0F">
        <w:rPr>
          <w:rFonts w:ascii="Times New Roman" w:eastAsia="Calibri" w:hAnsi="Times New Roman" w:cs="Times New Roman"/>
          <w:bCs/>
          <w:i/>
          <w:iCs/>
          <w:color w:val="000000"/>
          <w:sz w:val="24"/>
          <w:szCs w:val="24"/>
        </w:rPr>
        <w:t xml:space="preserve">, E. </w:t>
      </w:r>
      <w:r w:rsidRPr="00D8247C">
        <w:rPr>
          <w:rFonts w:ascii="Times New Roman" w:eastAsia="Calibri" w:hAnsi="Times New Roman" w:cs="Times New Roman"/>
          <w:bCs/>
          <w:i/>
          <w:iCs/>
          <w:color w:val="000000"/>
          <w:sz w:val="24"/>
          <w:szCs w:val="24"/>
        </w:rPr>
        <w:t xml:space="preserve">Administratívne náklady). Rozčleňte ich a vypočítajte v súlade s metodickým postupom. </w:t>
      </w:r>
    </w:p>
    <w:p w14:paraId="3FB1450B" w14:textId="274F6339" w:rsidR="001E24E8" w:rsidRPr="009D66A6" w:rsidRDefault="007B267B" w:rsidP="00054C41">
      <w:pPr>
        <w:jc w:val="both"/>
        <w:rPr>
          <w:rFonts w:ascii="Times New Roman" w:eastAsia="Calibri" w:hAnsi="Times New Roman" w:cs="Times New Roman"/>
          <w:bCs/>
          <w:color w:val="000000"/>
        </w:rPr>
      </w:pPr>
      <w:r w:rsidRPr="009D66A6">
        <w:rPr>
          <w:rFonts w:ascii="Times New Roman" w:eastAsia="Calibri" w:hAnsi="Times New Roman" w:cs="Times New Roman"/>
          <w:bCs/>
          <w:color w:val="000000"/>
        </w:rPr>
        <w:t xml:space="preserve">Východiskovým zdrojom údajov je prehľad o počte dohliadaných subjektov podľa </w:t>
      </w:r>
      <w:hyperlink r:id="rId12" w:history="1">
        <w:r w:rsidRPr="009D66A6">
          <w:rPr>
            <w:rStyle w:val="Hypertextovprepojenie"/>
            <w:rFonts w:ascii="Times New Roman" w:eastAsia="Calibri" w:hAnsi="Times New Roman" w:cs="Times New Roman"/>
            <w:bCs/>
            <w:color w:val="auto"/>
            <w:u w:val="none"/>
          </w:rPr>
          <w:t>www.nbs.sk</w:t>
        </w:r>
      </w:hyperlink>
      <w:r w:rsidRPr="009D66A6">
        <w:rPr>
          <w:rFonts w:ascii="Times New Roman" w:eastAsia="Calibri" w:hAnsi="Times New Roman" w:cs="Times New Roman"/>
          <w:bCs/>
          <w:color w:val="000000"/>
        </w:rPr>
        <w:t>.</w:t>
      </w:r>
      <w:r w:rsidR="00F16F66" w:rsidRPr="009D66A6">
        <w:rPr>
          <w:rFonts w:ascii="Times New Roman" w:eastAsia="Calibri" w:hAnsi="Times New Roman" w:cs="Times New Roman"/>
          <w:bCs/>
          <w:color w:val="000000"/>
        </w:rPr>
        <w:t xml:space="preserve"> </w:t>
      </w:r>
    </w:p>
    <w:p w14:paraId="3FBC3A8C" w14:textId="6724F611" w:rsidR="005C1139" w:rsidRPr="009D66A6" w:rsidRDefault="007B267B" w:rsidP="00054C41">
      <w:pPr>
        <w:jc w:val="both"/>
        <w:rPr>
          <w:rFonts w:ascii="Times New Roman" w:eastAsia="Calibri" w:hAnsi="Times New Roman" w:cs="Times New Roman"/>
          <w:bCs/>
          <w:color w:val="000000"/>
        </w:rPr>
      </w:pPr>
      <w:r w:rsidRPr="009D66A6">
        <w:rPr>
          <w:rFonts w:ascii="Times New Roman" w:eastAsia="Calibri" w:hAnsi="Times New Roman" w:cs="Times New Roman"/>
          <w:bCs/>
          <w:color w:val="000000"/>
        </w:rPr>
        <w:t xml:space="preserve">V druhom kroku sa bral do úvahy odhadovaný počet subjektov, ktorých sa daná povinnosť môže týkať. </w:t>
      </w:r>
      <w:r w:rsidR="00F16F66" w:rsidRPr="009D66A6">
        <w:rPr>
          <w:rFonts w:ascii="Times New Roman" w:eastAsia="Calibri" w:hAnsi="Times New Roman" w:cs="Times New Roman"/>
          <w:bCs/>
          <w:color w:val="000000"/>
        </w:rPr>
        <w:t xml:space="preserve">Pri výpočte nákladov sme brali do úvahy, že príslušné povinnosti sa budú v priemere vzťahovať na 15 (resp. 20 pri vybraných povinnostiach, kde možno predpokladať dopady na vyšší počet obchodníkov s cennými papiermi)  obchodníkov s cennými papiermi (vrátane bánk)  a 1 burzu cenných papierov.  </w:t>
      </w:r>
      <w:r w:rsidRPr="009D66A6">
        <w:rPr>
          <w:rFonts w:ascii="Times New Roman" w:eastAsia="Calibri" w:hAnsi="Times New Roman" w:cs="Times New Roman"/>
          <w:bCs/>
          <w:color w:val="000000"/>
        </w:rPr>
        <w:t xml:space="preserve"> </w:t>
      </w:r>
    </w:p>
    <w:p w14:paraId="46533FC6" w14:textId="27A574A2" w:rsidR="007B267B" w:rsidRPr="009D66A6" w:rsidRDefault="005C1139" w:rsidP="00054C41">
      <w:pPr>
        <w:jc w:val="both"/>
        <w:rPr>
          <w:rFonts w:ascii="Times New Roman" w:eastAsia="Calibri" w:hAnsi="Times New Roman" w:cs="Times New Roman"/>
          <w:bCs/>
          <w:color w:val="000000"/>
        </w:rPr>
      </w:pPr>
      <w:r w:rsidRPr="009D66A6">
        <w:rPr>
          <w:rFonts w:ascii="Times New Roman" w:eastAsia="Calibri" w:hAnsi="Times New Roman" w:cs="Times New Roman"/>
          <w:bCs/>
          <w:color w:val="000000"/>
        </w:rPr>
        <w:t>Výsledný efekt sa následne vypočítal ako súčin počtu dotknutých subjektov a nákladov vyvolaných zmenou regulácie</w:t>
      </w:r>
      <w:r w:rsidR="00F16F66" w:rsidRPr="009D66A6">
        <w:rPr>
          <w:rFonts w:ascii="Times New Roman" w:eastAsia="Calibri" w:hAnsi="Times New Roman" w:cs="Times New Roman"/>
          <w:bCs/>
          <w:color w:val="000000"/>
        </w:rPr>
        <w:t>, p</w:t>
      </w:r>
      <w:r w:rsidRPr="009D66A6">
        <w:rPr>
          <w:rFonts w:ascii="Times New Roman" w:eastAsia="Calibri" w:hAnsi="Times New Roman" w:cs="Times New Roman"/>
          <w:bCs/>
          <w:color w:val="000000"/>
        </w:rPr>
        <w:t xml:space="preserve">ri zohľadnení frekvencie nových povinností. </w:t>
      </w:r>
      <w:r w:rsidR="00F16F66" w:rsidRPr="009D66A6">
        <w:rPr>
          <w:rFonts w:ascii="Times New Roman" w:eastAsia="Calibri" w:hAnsi="Times New Roman" w:cs="Times New Roman"/>
          <w:bCs/>
          <w:color w:val="000000"/>
        </w:rPr>
        <w:t>Niektoré povinnosti sa pritom plnia na dennej báze, pričom kalkulačka vplyvov umožňuje automaticky vypočítať vplyvy s najnižšou frekvenciou na týždennej báze. Táto skutočnosť však významne neovplyvní výpočet vplyvov, keďže štandardizované a opakované činnosti týkajúce sa zverejňovania údajov a </w:t>
      </w:r>
      <w:proofErr w:type="spellStart"/>
      <w:r w:rsidR="00F16F66" w:rsidRPr="009D66A6">
        <w:rPr>
          <w:rFonts w:ascii="Times New Roman" w:eastAsia="Calibri" w:hAnsi="Times New Roman" w:cs="Times New Roman"/>
          <w:bCs/>
          <w:color w:val="000000"/>
        </w:rPr>
        <w:t>reportingu</w:t>
      </w:r>
      <w:proofErr w:type="spellEnd"/>
      <w:r w:rsidR="00F16F66" w:rsidRPr="009D66A6">
        <w:rPr>
          <w:rFonts w:ascii="Times New Roman" w:eastAsia="Calibri" w:hAnsi="Times New Roman" w:cs="Times New Roman"/>
          <w:bCs/>
          <w:color w:val="000000"/>
        </w:rPr>
        <w:t xml:space="preserve"> údajov Národnej banke Slovenska sú do veľkej miery automatizované</w:t>
      </w:r>
      <w:r w:rsidR="00C156B5" w:rsidRPr="009D66A6">
        <w:rPr>
          <w:rFonts w:ascii="Times New Roman" w:eastAsia="Calibri" w:hAnsi="Times New Roman" w:cs="Times New Roman"/>
          <w:bCs/>
          <w:color w:val="000000"/>
        </w:rPr>
        <w:t xml:space="preserve"> prostredníctvom príslušných informačných systémov. </w:t>
      </w:r>
      <w:r w:rsidR="00F16F66" w:rsidRPr="009D66A6">
        <w:rPr>
          <w:rFonts w:ascii="Times New Roman" w:eastAsia="Calibri" w:hAnsi="Times New Roman" w:cs="Times New Roman"/>
          <w:bCs/>
          <w:color w:val="000000"/>
        </w:rPr>
        <w:t xml:space="preserve">         </w:t>
      </w:r>
      <w:r w:rsidRPr="009D66A6">
        <w:rPr>
          <w:rFonts w:ascii="Times New Roman" w:eastAsia="Calibri" w:hAnsi="Times New Roman" w:cs="Times New Roman"/>
          <w:bCs/>
          <w:color w:val="000000"/>
        </w:rPr>
        <w:t xml:space="preserve"> </w:t>
      </w:r>
      <w:r w:rsidR="007B267B" w:rsidRPr="009D66A6">
        <w:rPr>
          <w:rFonts w:ascii="Times New Roman" w:eastAsia="Calibri" w:hAnsi="Times New Roman" w:cs="Times New Roman"/>
          <w:bCs/>
          <w:color w:val="000000"/>
        </w:rPr>
        <w:t xml:space="preserve">     </w:t>
      </w:r>
    </w:p>
    <w:p w14:paraId="3E872B28" w14:textId="77777777" w:rsidR="00890338" w:rsidRPr="009D66A6" w:rsidRDefault="00890338" w:rsidP="00890338">
      <w:pPr>
        <w:spacing w:after="120"/>
        <w:jc w:val="both"/>
        <w:rPr>
          <w:rFonts w:ascii="Times New Roman" w:eastAsia="Calibri" w:hAnsi="Times New Roman" w:cs="Times New Roman"/>
          <w:iCs/>
        </w:rPr>
      </w:pPr>
      <w:r w:rsidRPr="009D66A6">
        <w:rPr>
          <w:rFonts w:ascii="Times New Roman" w:eastAsia="Calibri" w:hAnsi="Times New Roman" w:cs="Times New Roman"/>
          <w:iCs/>
        </w:rPr>
        <w:t>K uvedeným reguláciám, ktoré sú uvedené v návrhu novely zákona č. 566/2001 Z. z.  o cenných papieroch a investičných službách, pridávame nasledovný popis:</w:t>
      </w:r>
    </w:p>
    <w:p w14:paraId="628F6F34" w14:textId="50E9F273" w:rsidR="00890338" w:rsidRPr="009D66A6" w:rsidRDefault="00890338" w:rsidP="00890338">
      <w:pPr>
        <w:pStyle w:val="Odsekzoznamu"/>
        <w:numPr>
          <w:ilvl w:val="0"/>
          <w:numId w:val="15"/>
        </w:numPr>
        <w:spacing w:after="120"/>
        <w:jc w:val="both"/>
        <w:rPr>
          <w:rFonts w:ascii="Times New Roman" w:eastAsia="Calibri" w:hAnsi="Times New Roman" w:cs="Times New Roman"/>
          <w:iCs/>
        </w:rPr>
      </w:pPr>
      <w:r w:rsidRPr="009D66A6">
        <w:rPr>
          <w:rFonts w:ascii="Times New Roman" w:eastAsia="Calibri" w:hAnsi="Times New Roman" w:cs="Times New Roman"/>
          <w:iCs/>
        </w:rPr>
        <w:t>§ 71c(2)(e) zákona č. 566/2001 – zavedenie postupov na riadenie rizika – týka sa len úzkeho okruhu obchodníkov s cennými papiermi, keďže nie všetci obchodníci majú expozície voči systémovo významným centrálnym protistranám, dopad predpokladáme minimálny na obchodníkov s cennými papiermi v SR.</w:t>
      </w:r>
      <w:r w:rsidR="00A82F75" w:rsidRPr="009D66A6">
        <w:rPr>
          <w:rFonts w:ascii="Times New Roman" w:eastAsia="Calibri" w:hAnsi="Times New Roman" w:cs="Times New Roman"/>
          <w:iCs/>
        </w:rPr>
        <w:t xml:space="preserve"> Nepriame finančné náklady vznikajú v súvislo</w:t>
      </w:r>
      <w:r w:rsidR="00CC7CF0" w:rsidRPr="009D66A6">
        <w:rPr>
          <w:rFonts w:ascii="Times New Roman" w:eastAsia="Calibri" w:hAnsi="Times New Roman" w:cs="Times New Roman"/>
          <w:iCs/>
        </w:rPr>
        <w:t>s</w:t>
      </w:r>
      <w:r w:rsidR="00A82F75" w:rsidRPr="009D66A6">
        <w:rPr>
          <w:rFonts w:ascii="Times New Roman" w:eastAsia="Calibri" w:hAnsi="Times New Roman" w:cs="Times New Roman"/>
          <w:iCs/>
        </w:rPr>
        <w:t>ti s</w:t>
      </w:r>
      <w:r w:rsidR="00CC7CF0" w:rsidRPr="009D66A6">
        <w:rPr>
          <w:rFonts w:ascii="Times New Roman" w:eastAsia="Calibri" w:hAnsi="Times New Roman" w:cs="Times New Roman"/>
          <w:iCs/>
        </w:rPr>
        <w:t xml:space="preserve"> riadením rizika koncentrácie, ktoré sú ovplyvňované externými faktormi.  </w:t>
      </w:r>
      <w:r w:rsidR="00A82F75" w:rsidRPr="009D66A6">
        <w:rPr>
          <w:rFonts w:ascii="Times New Roman" w:eastAsia="Calibri" w:hAnsi="Times New Roman" w:cs="Times New Roman"/>
          <w:iCs/>
        </w:rPr>
        <w:t xml:space="preserve">  </w:t>
      </w:r>
      <w:r w:rsidRPr="009D66A6">
        <w:rPr>
          <w:rFonts w:ascii="Times New Roman" w:eastAsia="Calibri" w:hAnsi="Times New Roman" w:cs="Times New Roman"/>
          <w:iCs/>
        </w:rPr>
        <w:t xml:space="preserve"> </w:t>
      </w:r>
    </w:p>
    <w:p w14:paraId="33A9F748" w14:textId="54CE8C61" w:rsidR="00890338" w:rsidRPr="009D66A6" w:rsidRDefault="00890338" w:rsidP="00890338">
      <w:pPr>
        <w:pStyle w:val="Odsekzoznamu"/>
        <w:numPr>
          <w:ilvl w:val="0"/>
          <w:numId w:val="15"/>
        </w:numPr>
        <w:spacing w:after="120"/>
        <w:jc w:val="both"/>
        <w:rPr>
          <w:rFonts w:ascii="Times New Roman" w:eastAsia="Calibri" w:hAnsi="Times New Roman" w:cs="Times New Roman"/>
          <w:iCs/>
        </w:rPr>
      </w:pPr>
      <w:r w:rsidRPr="009D66A6">
        <w:rPr>
          <w:rFonts w:ascii="Times New Roman" w:eastAsia="Calibri" w:hAnsi="Times New Roman" w:cs="Times New Roman"/>
          <w:iCs/>
        </w:rPr>
        <w:t xml:space="preserve">§ 71c(7) zákona č. 566/2001 -  vypracovanie osobitného plánu a kvantifikovateľných cieľov sa týka len obchodníkov s cennými papiermi, ktorí majú expozície voči centrálnym protistranám. </w:t>
      </w:r>
      <w:r w:rsidR="00CC7CF0" w:rsidRPr="009D66A6">
        <w:rPr>
          <w:rFonts w:ascii="Times New Roman" w:eastAsia="Calibri" w:hAnsi="Times New Roman" w:cs="Times New Roman"/>
          <w:iCs/>
        </w:rPr>
        <w:t>Predpokladá sa náklad na vypracovanie takéhoto osobitného plánu.</w:t>
      </w:r>
    </w:p>
    <w:p w14:paraId="1A805362" w14:textId="0DD4910A" w:rsidR="00890338" w:rsidRPr="009D66A6" w:rsidRDefault="00890338" w:rsidP="00890338">
      <w:pPr>
        <w:pStyle w:val="Odsekzoznamu"/>
        <w:numPr>
          <w:ilvl w:val="0"/>
          <w:numId w:val="15"/>
        </w:numPr>
        <w:spacing w:after="120"/>
        <w:jc w:val="both"/>
        <w:rPr>
          <w:rFonts w:ascii="Times New Roman" w:eastAsia="Calibri" w:hAnsi="Times New Roman" w:cs="Times New Roman"/>
          <w:iCs/>
        </w:rPr>
      </w:pPr>
      <w:r w:rsidRPr="009D66A6">
        <w:rPr>
          <w:rFonts w:ascii="Times New Roman" w:eastAsia="Calibri" w:hAnsi="Times New Roman" w:cs="Times New Roman"/>
          <w:iCs/>
        </w:rPr>
        <w:t xml:space="preserve">§ 73b(24) zákona č. 566/2001 - vypracovanie prieskumov v súlade s kódexom správania EÚ pre prieskum sponzorovaný emitentom – nepredpokladáme, že táto povinnosť bude mať významný dopad na slovenských obchodníkov s cennými papiermi. </w:t>
      </w:r>
      <w:r w:rsidR="00CC7CF0" w:rsidRPr="009D66A6">
        <w:rPr>
          <w:rFonts w:ascii="Times New Roman" w:eastAsia="Calibri" w:hAnsi="Times New Roman" w:cs="Times New Roman"/>
          <w:iCs/>
        </w:rPr>
        <w:t>Nepriamy náklad vznikne z dôvodu prispôsobovania sa novým požiadavkám a ich implementácii do interných procesov obchodníka s cennými papiermi.</w:t>
      </w:r>
      <w:r w:rsidRPr="009D66A6">
        <w:rPr>
          <w:rFonts w:ascii="Times New Roman" w:eastAsia="Calibri" w:hAnsi="Times New Roman" w:cs="Times New Roman"/>
          <w:iCs/>
        </w:rPr>
        <w:t xml:space="preserve">    </w:t>
      </w:r>
    </w:p>
    <w:p w14:paraId="480BA25B" w14:textId="44FB6F92" w:rsidR="00890338" w:rsidRPr="009D66A6" w:rsidRDefault="00890338" w:rsidP="00890338">
      <w:pPr>
        <w:pStyle w:val="Odsekzoznamu"/>
        <w:numPr>
          <w:ilvl w:val="0"/>
          <w:numId w:val="15"/>
        </w:numPr>
        <w:spacing w:after="120"/>
        <w:jc w:val="both"/>
        <w:rPr>
          <w:rFonts w:ascii="Times New Roman" w:eastAsia="Calibri" w:hAnsi="Times New Roman" w:cs="Times New Roman"/>
          <w:iCs/>
        </w:rPr>
      </w:pPr>
      <w:r w:rsidRPr="009D66A6">
        <w:rPr>
          <w:rFonts w:ascii="Times New Roman" w:eastAsia="Calibri" w:hAnsi="Times New Roman" w:cs="Times New Roman"/>
          <w:iCs/>
        </w:rPr>
        <w:t>§ 73b(30) zákona č. 566/2001 -   záznamy o celkových nákladoch za prieskumy vykonávané treťou stranou sa budú týkať len úzkeho okruhu obchodníkov s cennými papiermi, ktorí budú distribuovať svojim klientom prieskumy vykonávané treťou stranou.</w:t>
      </w:r>
      <w:r w:rsidR="00CC7CF0" w:rsidRPr="009D66A6">
        <w:rPr>
          <w:rFonts w:ascii="Times New Roman" w:eastAsia="Calibri" w:hAnsi="Times New Roman" w:cs="Times New Roman"/>
          <w:iCs/>
        </w:rPr>
        <w:t xml:space="preserve"> Nepriamy náklad</w:t>
      </w:r>
      <w:r w:rsidRPr="009D66A6">
        <w:rPr>
          <w:rFonts w:ascii="Times New Roman" w:eastAsia="Calibri" w:hAnsi="Times New Roman" w:cs="Times New Roman"/>
          <w:iCs/>
        </w:rPr>
        <w:t xml:space="preserve"> </w:t>
      </w:r>
      <w:r w:rsidR="00CC7CF0" w:rsidRPr="009D66A6">
        <w:rPr>
          <w:rFonts w:ascii="Times New Roman" w:eastAsia="Calibri" w:hAnsi="Times New Roman" w:cs="Times New Roman"/>
          <w:iCs/>
        </w:rPr>
        <w:t xml:space="preserve">vznikne uzavretím dohody obchodníka s cennými papiermi s treťou osobou, ktorá bude poskytovať prieskumy vypracované touto treťou osobou, a ktoré budú zohľadňovať náklady tejto tretej osoby na vypracovanie prieskumov.    </w:t>
      </w:r>
      <w:r w:rsidRPr="009D66A6">
        <w:rPr>
          <w:rFonts w:ascii="Times New Roman" w:eastAsia="Calibri" w:hAnsi="Times New Roman" w:cs="Times New Roman"/>
          <w:iCs/>
        </w:rPr>
        <w:t xml:space="preserve">  </w:t>
      </w:r>
    </w:p>
    <w:p w14:paraId="2D580FB1" w14:textId="35E25A8C" w:rsidR="00890338" w:rsidRPr="009D66A6" w:rsidRDefault="00890338" w:rsidP="00046C74">
      <w:pPr>
        <w:pStyle w:val="Odsekzoznamu"/>
        <w:numPr>
          <w:ilvl w:val="0"/>
          <w:numId w:val="15"/>
        </w:numPr>
        <w:spacing w:after="120"/>
        <w:jc w:val="both"/>
        <w:rPr>
          <w:rFonts w:ascii="Times New Roman" w:eastAsia="Calibri" w:hAnsi="Times New Roman" w:cs="Times New Roman"/>
          <w:iCs/>
        </w:rPr>
      </w:pPr>
      <w:r w:rsidRPr="009D66A6">
        <w:rPr>
          <w:rFonts w:ascii="Times New Roman" w:eastAsia="Calibri" w:hAnsi="Times New Roman" w:cs="Times New Roman"/>
          <w:iCs/>
        </w:rPr>
        <w:t xml:space="preserve">§ 58(1) zákona č. 429/2002 Z. z. sankcie za nedodržanie povinností -  predpokladáme sankcie v priemernej výške 1000 Eur, výška sankcie však závisí od miery zistených nedostatkov, preto je náročné vyčísľovať akékoľvek sankcie a miera odhadu sa môže významne líšiť od </w:t>
      </w:r>
      <w:r w:rsidRPr="009D66A6">
        <w:rPr>
          <w:rFonts w:ascii="Times New Roman" w:eastAsia="Calibri" w:hAnsi="Times New Roman" w:cs="Times New Roman"/>
          <w:iCs/>
        </w:rPr>
        <w:lastRenderedPageBreak/>
        <w:t xml:space="preserve">skutočnosti. </w:t>
      </w:r>
      <w:r w:rsidR="00CC7CF0" w:rsidRPr="009D66A6">
        <w:rPr>
          <w:rFonts w:ascii="Times New Roman" w:eastAsia="Calibri" w:hAnsi="Times New Roman" w:cs="Times New Roman"/>
          <w:iCs/>
        </w:rPr>
        <w:t xml:space="preserve">Nepriame náklady môžu byť vyvolané nedodržaním zákonných povinností na základe negatívnych vplyvov tretej osoby.      </w:t>
      </w:r>
      <w:r w:rsidRPr="009D66A6">
        <w:rPr>
          <w:rFonts w:ascii="Times New Roman" w:eastAsia="Calibri" w:hAnsi="Times New Roman" w:cs="Times New Roman"/>
          <w:iCs/>
        </w:rPr>
        <w:t xml:space="preserve"> </w:t>
      </w:r>
    </w:p>
    <w:p w14:paraId="265EB40C" w14:textId="6E593D28" w:rsidR="00890338" w:rsidRPr="009D66A6" w:rsidRDefault="00890338" w:rsidP="00046C74">
      <w:pPr>
        <w:pStyle w:val="Odsekzoznamu"/>
        <w:numPr>
          <w:ilvl w:val="0"/>
          <w:numId w:val="15"/>
        </w:numPr>
        <w:spacing w:after="120"/>
        <w:jc w:val="both"/>
        <w:rPr>
          <w:rFonts w:ascii="Times New Roman" w:eastAsia="Calibri" w:hAnsi="Times New Roman" w:cs="Times New Roman"/>
          <w:iCs/>
        </w:rPr>
      </w:pPr>
      <w:r w:rsidRPr="009D66A6">
        <w:rPr>
          <w:rFonts w:ascii="Times New Roman" w:eastAsia="Calibri" w:hAnsi="Times New Roman" w:cs="Times New Roman"/>
          <w:iCs/>
        </w:rPr>
        <w:t xml:space="preserve">§ 52(9) zákona č. 429/2002 Z. z.  zabezpečenie plnenia noriem kvality údajov – táto povinnosť existuje už v súčasnosti, rovnaká povinnosť bude po zavedení konsolidovaného systému pre jednotlivé skupiny finančných nástrojov (akcie, dlhopisy a derivátové nástroje).Predpokladáme </w:t>
      </w:r>
      <w:r w:rsidR="00CC7CF0" w:rsidRPr="009D66A6">
        <w:rPr>
          <w:rFonts w:ascii="Times New Roman" w:eastAsia="Calibri" w:hAnsi="Times New Roman" w:cs="Times New Roman"/>
          <w:iCs/>
        </w:rPr>
        <w:t xml:space="preserve">jednorazové </w:t>
      </w:r>
      <w:r w:rsidRPr="009D66A6">
        <w:rPr>
          <w:rFonts w:ascii="Times New Roman" w:eastAsia="Calibri" w:hAnsi="Times New Roman" w:cs="Times New Roman"/>
          <w:iCs/>
        </w:rPr>
        <w:t>náklady na úpravu informačného systému</w:t>
      </w:r>
      <w:r w:rsidR="00CC7CF0" w:rsidRPr="009D66A6">
        <w:rPr>
          <w:rFonts w:ascii="Times New Roman" w:eastAsia="Calibri" w:hAnsi="Times New Roman" w:cs="Times New Roman"/>
          <w:iCs/>
        </w:rPr>
        <w:t xml:space="preserve"> a priebežné zabezpečovanie noriem kvality údajov. Nepriame náklady vzniknú nedodaním kvalitných údajov zo strany jednotlivých obchodníkov s cennými papiermi.  </w:t>
      </w:r>
      <w:r w:rsidRPr="009D66A6">
        <w:rPr>
          <w:rFonts w:ascii="Times New Roman" w:eastAsia="Calibri" w:hAnsi="Times New Roman" w:cs="Times New Roman"/>
          <w:iCs/>
        </w:rPr>
        <w:t xml:space="preserve"> </w:t>
      </w:r>
    </w:p>
    <w:p w14:paraId="3DAEE58C" w14:textId="41EE60DE" w:rsidR="00890338" w:rsidRPr="009D66A6" w:rsidRDefault="00890338" w:rsidP="00046C74">
      <w:pPr>
        <w:pStyle w:val="Odsekzoznamu"/>
        <w:numPr>
          <w:ilvl w:val="0"/>
          <w:numId w:val="15"/>
        </w:numPr>
        <w:spacing w:after="120"/>
        <w:jc w:val="both"/>
        <w:rPr>
          <w:rFonts w:ascii="Times New Roman" w:eastAsia="Calibri" w:hAnsi="Times New Roman" w:cs="Times New Roman"/>
          <w:iCs/>
        </w:rPr>
      </w:pPr>
      <w:r w:rsidRPr="009D66A6">
        <w:rPr>
          <w:rFonts w:ascii="Times New Roman" w:eastAsia="Calibri" w:hAnsi="Times New Roman" w:cs="Times New Roman"/>
          <w:iCs/>
        </w:rPr>
        <w:t>§ 73b(18) zákona č. 566/2001 -  uzavretie dohody o poskytovaní investičného prieskumu treťou stranou – keďže mnoho obchodníkov s cennými papiermi vyhotovuje vlastné investičné prieskumy, nepredpokladáme, že všetci obchodníci s cennými papiermi uza</w:t>
      </w:r>
      <w:r w:rsidR="00CC7CF0" w:rsidRPr="009D66A6">
        <w:rPr>
          <w:rFonts w:ascii="Times New Roman" w:eastAsia="Calibri" w:hAnsi="Times New Roman" w:cs="Times New Roman"/>
          <w:iCs/>
        </w:rPr>
        <w:t xml:space="preserve">tvoria </w:t>
      </w:r>
      <w:r w:rsidRPr="009D66A6">
        <w:rPr>
          <w:rFonts w:ascii="Times New Roman" w:eastAsia="Calibri" w:hAnsi="Times New Roman" w:cs="Times New Roman"/>
          <w:iCs/>
        </w:rPr>
        <w:t>predmetnú dohodu, dopad predpokladáme zanedbateľný.</w:t>
      </w:r>
      <w:r w:rsidR="00CC7CF0" w:rsidRPr="009D66A6">
        <w:rPr>
          <w:rFonts w:ascii="Times New Roman" w:eastAsia="Calibri" w:hAnsi="Times New Roman" w:cs="Times New Roman"/>
          <w:iCs/>
        </w:rPr>
        <w:t xml:space="preserve"> Nepriame náklady vzniknú budú odrážať náklady tretej osoby, ktorá bude vypracovávať prieskumy a dodávať ich obchodníkovi  s cennými papiermi.   </w:t>
      </w:r>
      <w:r w:rsidRPr="009D66A6">
        <w:rPr>
          <w:rFonts w:ascii="Times New Roman" w:eastAsia="Calibri" w:hAnsi="Times New Roman" w:cs="Times New Roman"/>
          <w:iCs/>
        </w:rPr>
        <w:t xml:space="preserve"> </w:t>
      </w:r>
    </w:p>
    <w:p w14:paraId="1A2DF36C" w14:textId="46B26F23" w:rsidR="00890338" w:rsidRPr="009D66A6" w:rsidRDefault="00890338" w:rsidP="00046C74">
      <w:pPr>
        <w:pStyle w:val="Odsekzoznamu"/>
        <w:numPr>
          <w:ilvl w:val="0"/>
          <w:numId w:val="15"/>
        </w:numPr>
        <w:spacing w:after="120"/>
        <w:jc w:val="both"/>
        <w:rPr>
          <w:rFonts w:ascii="Times New Roman" w:eastAsia="Calibri" w:hAnsi="Times New Roman" w:cs="Times New Roman"/>
          <w:iCs/>
        </w:rPr>
      </w:pPr>
      <w:r w:rsidRPr="009D66A6">
        <w:rPr>
          <w:rFonts w:ascii="Times New Roman" w:eastAsia="Times New Roman" w:hAnsi="Times New Roman" w:cs="Times New Roman"/>
          <w:color w:val="000000"/>
          <w:lang w:eastAsia="sk-SK"/>
        </w:rPr>
        <w:t>§ 73p(5) zákona č. 566/2001 - povinnosť zverejniť súhrn informácií o vykonaných pokynoch</w:t>
      </w:r>
      <w:r w:rsidR="00706079" w:rsidRPr="009D66A6">
        <w:rPr>
          <w:rFonts w:ascii="Times New Roman" w:eastAsia="Times New Roman" w:hAnsi="Times New Roman" w:cs="Times New Roman"/>
          <w:color w:val="000000"/>
          <w:lang w:eastAsia="sk-SK"/>
        </w:rPr>
        <w:t xml:space="preserve"> – daný súhrn vychádza z príslušného informačného systému obchodníka s cennými papiermi, preto sa brali do úvahy  náklady na obstaranie a udržiavanie príslušného informačného systému. </w:t>
      </w:r>
      <w:r w:rsidR="00975F33" w:rsidRPr="009D66A6">
        <w:rPr>
          <w:rFonts w:ascii="Times New Roman" w:eastAsia="Times New Roman" w:hAnsi="Times New Roman" w:cs="Times New Roman"/>
          <w:color w:val="000000"/>
          <w:lang w:eastAsia="sk-SK"/>
        </w:rPr>
        <w:t xml:space="preserve">Nepriame náklady budú ovplyvňované frekvenciou zverejňovania daných informácií, a vzniknú na základe údajov poskytovaných zo strany obchodníkov s cennými papiermi.  </w:t>
      </w:r>
      <w:r w:rsidR="00706079" w:rsidRPr="009D66A6">
        <w:rPr>
          <w:rFonts w:ascii="Times New Roman" w:eastAsia="Times New Roman" w:hAnsi="Times New Roman" w:cs="Times New Roman"/>
          <w:color w:val="000000"/>
          <w:lang w:eastAsia="sk-SK"/>
        </w:rPr>
        <w:t xml:space="preserve"> </w:t>
      </w:r>
    </w:p>
    <w:p w14:paraId="6FE03F83" w14:textId="6E52163F" w:rsidR="00890338" w:rsidRPr="009D66A6" w:rsidRDefault="00890338" w:rsidP="00046C74">
      <w:pPr>
        <w:pStyle w:val="Odsekzoznamu"/>
        <w:numPr>
          <w:ilvl w:val="0"/>
          <w:numId w:val="15"/>
        </w:numPr>
        <w:spacing w:after="120"/>
        <w:jc w:val="both"/>
        <w:rPr>
          <w:rFonts w:ascii="Times New Roman" w:eastAsia="Calibri" w:hAnsi="Times New Roman" w:cs="Times New Roman"/>
          <w:iCs/>
        </w:rPr>
      </w:pPr>
      <w:r w:rsidRPr="009D66A6">
        <w:rPr>
          <w:rFonts w:ascii="Times New Roman" w:eastAsia="Calibri" w:hAnsi="Times New Roman" w:cs="Times New Roman"/>
          <w:iCs/>
        </w:rPr>
        <w:t>§ 14 zákona č. 429/2002 Z. z. – ide o zavedenie organizačných opatrení na zabezpečenie kvality údajov. Tu predpokladáme, že organizačné opatrenia už sú zavedené, bude sa meniť len štruktúra zverejňovaných údajov a teda dopad bude zanedbateľný.</w:t>
      </w:r>
      <w:r w:rsidR="002B06AC" w:rsidRPr="009D66A6">
        <w:rPr>
          <w:rFonts w:ascii="Times New Roman" w:eastAsia="Calibri" w:hAnsi="Times New Roman" w:cs="Times New Roman"/>
          <w:iCs/>
        </w:rPr>
        <w:t xml:space="preserve"> Berie sa do úvahy potenciálny celkový náklad na úpravu súčasného burzového systému, pričom kontrola kvality údajov bude prebiehať denne (v kalkulačke vplyvov nebolo možné zadať dennú frekvenciu, preto je uvedená týždenná frekvencia).</w:t>
      </w:r>
      <w:r w:rsidR="00975F33" w:rsidRPr="009D66A6">
        <w:rPr>
          <w:rFonts w:ascii="Times New Roman" w:eastAsia="Calibri" w:hAnsi="Times New Roman" w:cs="Times New Roman"/>
          <w:iCs/>
        </w:rPr>
        <w:t xml:space="preserve"> Kvalita údajov bude závisieť od podkladov, ktoré budú predkladať burze cenných papierov obchodníci s cennými papiermi. </w:t>
      </w:r>
      <w:r w:rsidR="002B06AC" w:rsidRPr="009D66A6">
        <w:rPr>
          <w:rFonts w:ascii="Times New Roman" w:eastAsia="Calibri" w:hAnsi="Times New Roman" w:cs="Times New Roman"/>
          <w:iCs/>
        </w:rPr>
        <w:t xml:space="preserve">     </w:t>
      </w:r>
      <w:r w:rsidRPr="009D66A6">
        <w:rPr>
          <w:rFonts w:ascii="Times New Roman" w:eastAsia="Calibri" w:hAnsi="Times New Roman" w:cs="Times New Roman"/>
          <w:iCs/>
        </w:rPr>
        <w:t xml:space="preserve">   </w:t>
      </w:r>
    </w:p>
    <w:p w14:paraId="08F17729" w14:textId="6AC7BD31" w:rsidR="00890338" w:rsidRPr="009D66A6" w:rsidRDefault="00890338" w:rsidP="00046C74">
      <w:pPr>
        <w:pStyle w:val="Odsekzoznamu"/>
        <w:numPr>
          <w:ilvl w:val="0"/>
          <w:numId w:val="15"/>
        </w:numPr>
        <w:spacing w:after="120"/>
        <w:jc w:val="both"/>
        <w:rPr>
          <w:rFonts w:ascii="Times New Roman" w:eastAsia="Calibri" w:hAnsi="Times New Roman" w:cs="Times New Roman"/>
          <w:iCs/>
        </w:rPr>
      </w:pPr>
      <w:r w:rsidRPr="009D66A6">
        <w:rPr>
          <w:rFonts w:ascii="Times New Roman" w:eastAsia="Calibri" w:hAnsi="Times New Roman" w:cs="Times New Roman"/>
          <w:iCs/>
        </w:rPr>
        <w:t>§ 30 zákona č. 429/2002 Z. z. splnenie  podmienok pre prijatie akcií na burzu – ide o veľmi podobné ustanovenia, ktoré už platia v súčasnosti a teda nejde o významné nové skutočnosti. Zároveň len málo akciových emisií sa prijíma k obchodovaniu na domácej burze cenných papierov. Predpokladáme minimálny vplyv.</w:t>
      </w:r>
      <w:r w:rsidR="00975F33" w:rsidRPr="009D66A6">
        <w:rPr>
          <w:rFonts w:ascii="Times New Roman" w:eastAsia="Calibri" w:hAnsi="Times New Roman" w:cs="Times New Roman"/>
          <w:iCs/>
        </w:rPr>
        <w:t xml:space="preserve"> Nepriame náklady vzniknú z dôvodu overovania údajov predložených zo strany emitentov cenných papierov.   </w:t>
      </w:r>
      <w:r w:rsidRPr="009D66A6">
        <w:rPr>
          <w:rFonts w:ascii="Times New Roman" w:eastAsia="Calibri" w:hAnsi="Times New Roman" w:cs="Times New Roman"/>
          <w:iCs/>
        </w:rPr>
        <w:t xml:space="preserve">   </w:t>
      </w:r>
    </w:p>
    <w:p w14:paraId="32750908" w14:textId="17FDBA67" w:rsidR="00890338" w:rsidRPr="009D66A6" w:rsidRDefault="00890338" w:rsidP="00046C74">
      <w:pPr>
        <w:pStyle w:val="Odsekzoznamu"/>
        <w:numPr>
          <w:ilvl w:val="0"/>
          <w:numId w:val="15"/>
        </w:numPr>
        <w:spacing w:after="120"/>
        <w:jc w:val="both"/>
        <w:rPr>
          <w:rFonts w:ascii="Times New Roman" w:eastAsia="Calibri" w:hAnsi="Times New Roman" w:cs="Times New Roman"/>
          <w:iCs/>
        </w:rPr>
      </w:pPr>
      <w:r w:rsidRPr="009D66A6">
        <w:rPr>
          <w:rFonts w:ascii="Times New Roman" w:eastAsia="Calibri" w:hAnsi="Times New Roman" w:cs="Times New Roman"/>
          <w:iCs/>
        </w:rPr>
        <w:t xml:space="preserve">§ 38a ods. 6 a 7 zákona č. 429/2002 Z. z. zverejnenie údajov o zastavení alebo obmedzení obchodovania – hoci samotné zverejňovanie údajov nestojí skoro nič, započítali sa náklady na udržiavanie webového sídla. </w:t>
      </w:r>
      <w:r w:rsidR="00975F33" w:rsidRPr="009D66A6">
        <w:rPr>
          <w:rFonts w:ascii="Times New Roman" w:eastAsia="Calibri" w:hAnsi="Times New Roman" w:cs="Times New Roman"/>
          <w:iCs/>
        </w:rPr>
        <w:t xml:space="preserve">Nepriame náklady sú ovplyvnené náklady prevádzkovateľa webového sídla. </w:t>
      </w:r>
    </w:p>
    <w:p w14:paraId="4EE84708" w14:textId="67E0671F" w:rsidR="00890338" w:rsidRPr="009D66A6" w:rsidRDefault="00890338" w:rsidP="00046C74">
      <w:pPr>
        <w:pStyle w:val="Odsekzoznamu"/>
        <w:numPr>
          <w:ilvl w:val="0"/>
          <w:numId w:val="15"/>
        </w:numPr>
        <w:spacing w:after="0"/>
        <w:jc w:val="both"/>
        <w:rPr>
          <w:rFonts w:ascii="Times New Roman" w:eastAsia="Calibri" w:hAnsi="Times New Roman" w:cs="Times New Roman"/>
          <w:iCs/>
        </w:rPr>
      </w:pPr>
      <w:r w:rsidRPr="009D66A6">
        <w:rPr>
          <w:rFonts w:ascii="Times New Roman" w:eastAsia="Calibri" w:hAnsi="Times New Roman" w:cs="Times New Roman"/>
          <w:iCs/>
        </w:rPr>
        <w:t>§ 57b(1)(a) zákona č. 429/2002 Z. z. - oznamovanie správ o súhrnných pozíciách v komoditných derivátoch – netýka sa všetkých obchodníkov s cennými papiermi, predpokladáme limitovaný dopad na slovenských obchodníkov s cennými papiermi.</w:t>
      </w:r>
      <w:r w:rsidR="00975F33" w:rsidRPr="009D66A6">
        <w:rPr>
          <w:rFonts w:ascii="Times New Roman" w:eastAsia="Calibri" w:hAnsi="Times New Roman" w:cs="Times New Roman"/>
          <w:iCs/>
        </w:rPr>
        <w:t xml:space="preserve"> Nepriame náklady budú odrážať frekvenciu správ a počet reportujúcich obchodníkov s cennými papiermi.   </w:t>
      </w:r>
      <w:r w:rsidRPr="009D66A6">
        <w:rPr>
          <w:rFonts w:ascii="Times New Roman" w:eastAsia="Calibri" w:hAnsi="Times New Roman" w:cs="Times New Roman"/>
          <w:iCs/>
        </w:rPr>
        <w:t xml:space="preserve">  </w:t>
      </w:r>
    </w:p>
    <w:p w14:paraId="0F84966B" w14:textId="77777777" w:rsidR="007B267B" w:rsidRPr="009D66A6" w:rsidRDefault="007B267B" w:rsidP="00054C41">
      <w:pPr>
        <w:jc w:val="both"/>
        <w:rPr>
          <w:rFonts w:ascii="Times New Roman" w:eastAsia="Calibri" w:hAnsi="Times New Roman" w:cs="Times New Roman"/>
          <w:bCs/>
          <w:color w:val="000000"/>
        </w:rPr>
      </w:pPr>
    </w:p>
    <w:p w14:paraId="0A94251E" w14:textId="77777777" w:rsidR="00890338" w:rsidRDefault="00890338" w:rsidP="00054C41">
      <w:pPr>
        <w:jc w:val="both"/>
        <w:rPr>
          <w:rFonts w:ascii="Times New Roman" w:eastAsia="Calibri" w:hAnsi="Times New Roman" w:cs="Times New Roman"/>
          <w:bCs/>
          <w:color w:val="000000"/>
        </w:rPr>
      </w:pPr>
    </w:p>
    <w:p w14:paraId="37DD36A5" w14:textId="77777777" w:rsidR="009D66A6" w:rsidRPr="009D66A6" w:rsidRDefault="009D66A6" w:rsidP="00054C41">
      <w:pPr>
        <w:jc w:val="both"/>
        <w:rPr>
          <w:rFonts w:ascii="Times New Roman" w:eastAsia="Calibri" w:hAnsi="Times New Roman" w:cs="Times New Roman"/>
          <w:bCs/>
          <w:color w:val="000000"/>
        </w:rPr>
      </w:pPr>
    </w:p>
    <w:p w14:paraId="4773BF85" w14:textId="77777777" w:rsidR="00890338" w:rsidRPr="007B267B" w:rsidRDefault="00890338" w:rsidP="00054C41">
      <w:pPr>
        <w:jc w:val="both"/>
        <w:rPr>
          <w:rFonts w:ascii="Arial Narrow" w:eastAsia="Calibri" w:hAnsi="Arial Narrow" w:cs="Times New Roman"/>
          <w:bCs/>
          <w:color w:val="000000"/>
          <w:sz w:val="24"/>
          <w:szCs w:val="24"/>
        </w:rPr>
      </w:pPr>
    </w:p>
    <w:p w14:paraId="0EB298DB" w14:textId="77777777" w:rsidR="00512BA7" w:rsidRPr="001F1B43" w:rsidRDefault="00511F8F" w:rsidP="00512BA7">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lastRenderedPageBreak/>
        <w:t xml:space="preserve">3.1.4 </w:t>
      </w:r>
      <w:r w:rsidR="001E24E8">
        <w:rPr>
          <w:rFonts w:ascii="Times New Roman" w:eastAsia="Calibri" w:hAnsi="Times New Roman" w:cs="Times New Roman"/>
          <w:b/>
          <w:bCs/>
          <w:i/>
          <w:sz w:val="24"/>
          <w:szCs w:val="24"/>
          <w:u w:val="single"/>
        </w:rPr>
        <w:t>Odôvodnenie</w:t>
      </w:r>
      <w:r w:rsidR="008F6ADE" w:rsidRPr="00804BC8">
        <w:rPr>
          <w:rFonts w:ascii="Times New Roman" w:eastAsia="Calibri" w:hAnsi="Times New Roman" w:cs="Times New Roman"/>
          <w:b/>
          <w:bCs/>
          <w:i/>
          <w:sz w:val="24"/>
          <w:szCs w:val="24"/>
          <w:u w:val="single"/>
        </w:rPr>
        <w:t xml:space="preserve"> </w:t>
      </w:r>
      <w:proofErr w:type="spellStart"/>
      <w:r w:rsidR="008F6ADE" w:rsidRPr="00804BC8">
        <w:rPr>
          <w:rFonts w:ascii="Times New Roman" w:eastAsia="Calibri" w:hAnsi="Times New Roman" w:cs="Times New Roman"/>
          <w:b/>
          <w:bCs/>
          <w:i/>
          <w:sz w:val="24"/>
          <w:szCs w:val="24"/>
          <w:u w:val="single"/>
        </w:rPr>
        <w:t>goldplating</w:t>
      </w:r>
      <w:r w:rsidR="0016512E">
        <w:rPr>
          <w:rFonts w:ascii="Times New Roman" w:eastAsia="Calibri" w:hAnsi="Times New Roman" w:cs="Times New Roman"/>
          <w:b/>
          <w:bCs/>
          <w:i/>
          <w:sz w:val="24"/>
          <w:szCs w:val="24"/>
          <w:u w:val="single"/>
        </w:rPr>
        <w:t>u</w:t>
      </w:r>
      <w:proofErr w:type="spellEnd"/>
      <w:r w:rsidR="001E24E8">
        <w:rPr>
          <w:rFonts w:ascii="Times New Roman" w:eastAsia="Calibri" w:hAnsi="Times New Roman" w:cs="Times New Roman"/>
          <w:b/>
          <w:bCs/>
          <w:i/>
          <w:sz w:val="24"/>
          <w:szCs w:val="24"/>
          <w:u w:val="single"/>
        </w:rPr>
        <w:t xml:space="preserve"> </w:t>
      </w:r>
      <w:r w:rsidR="008F6ADE" w:rsidRPr="00804BC8">
        <w:rPr>
          <w:rFonts w:ascii="Times New Roman" w:eastAsia="Calibri" w:hAnsi="Times New Roman" w:cs="Times New Roman"/>
          <w:b/>
          <w:bCs/>
          <w:i/>
          <w:sz w:val="24"/>
          <w:szCs w:val="24"/>
          <w:u w:val="single"/>
        </w:rPr>
        <w:t xml:space="preserve">podľa bodu 4 časti III </w:t>
      </w:r>
      <w:r w:rsidR="00FA6FFE">
        <w:rPr>
          <w:rFonts w:ascii="Times New Roman" w:eastAsia="Calibri" w:hAnsi="Times New Roman" w:cs="Times New Roman"/>
          <w:b/>
          <w:bCs/>
          <w:i/>
          <w:sz w:val="24"/>
          <w:szCs w:val="24"/>
          <w:u w:val="single"/>
        </w:rPr>
        <w:t>j</w:t>
      </w:r>
      <w:r w:rsidR="001E24E8">
        <w:rPr>
          <w:rFonts w:ascii="Times New Roman" w:eastAsia="Calibri" w:hAnsi="Times New Roman" w:cs="Times New Roman"/>
          <w:b/>
          <w:bCs/>
          <w:i/>
          <w:sz w:val="24"/>
          <w:szCs w:val="24"/>
          <w:u w:val="single"/>
        </w:rPr>
        <w:t xml:space="preserve">ednotnej metodiky </w:t>
      </w:r>
      <w:r w:rsidR="00400BA5">
        <w:rPr>
          <w:rFonts w:ascii="Times New Roman" w:eastAsia="Calibri" w:hAnsi="Times New Roman" w:cs="Times New Roman"/>
          <w:b/>
          <w:bCs/>
          <w:i/>
          <w:sz w:val="24"/>
          <w:szCs w:val="24"/>
          <w:u w:val="single"/>
        </w:rPr>
        <w:t>a </w:t>
      </w:r>
      <w:r w:rsidR="00B21D1F">
        <w:rPr>
          <w:rFonts w:ascii="Times New Roman" w:eastAsia="Calibri" w:hAnsi="Times New Roman" w:cs="Times New Roman"/>
          <w:b/>
          <w:bCs/>
          <w:i/>
          <w:sz w:val="24"/>
          <w:szCs w:val="24"/>
          <w:u w:val="single"/>
        </w:rPr>
        <w:t>ďalšie</w:t>
      </w:r>
      <w:r w:rsidR="00400BA5">
        <w:rPr>
          <w:rFonts w:ascii="Times New Roman" w:eastAsia="Calibri" w:hAnsi="Times New Roman" w:cs="Times New Roman"/>
          <w:b/>
          <w:bCs/>
          <w:i/>
          <w:sz w:val="24"/>
          <w:szCs w:val="24"/>
          <w:u w:val="single"/>
        </w:rPr>
        <w:t xml:space="preserve"> d</w:t>
      </w:r>
      <w:r w:rsidR="00512BA7" w:rsidRPr="001F1B43">
        <w:rPr>
          <w:rFonts w:ascii="Times New Roman" w:eastAsia="Calibri" w:hAnsi="Times New Roman" w:cs="Times New Roman"/>
          <w:b/>
          <w:bCs/>
          <w:i/>
          <w:sz w:val="24"/>
          <w:szCs w:val="24"/>
          <w:u w:val="single"/>
        </w:rPr>
        <w:t>oplňujúce informácie</w:t>
      </w:r>
      <w:r w:rsidR="00512BA7">
        <w:rPr>
          <w:rStyle w:val="Odkaznapoznmkupodiarou"/>
          <w:rFonts w:ascii="Times New Roman" w:eastAsia="Calibri" w:hAnsi="Times New Roman" w:cs="Times New Roman"/>
          <w:b/>
          <w:bCs/>
          <w:i/>
          <w:sz w:val="24"/>
          <w:szCs w:val="24"/>
          <w:u w:val="single"/>
        </w:rPr>
        <w:footnoteReference w:id="2"/>
      </w:r>
      <w:r w:rsidR="00512BA7" w:rsidRPr="001F1B43">
        <w:rPr>
          <w:rFonts w:ascii="Times New Roman" w:eastAsia="Calibri" w:hAnsi="Times New Roman" w:cs="Times New Roman"/>
          <w:b/>
          <w:bCs/>
          <w:i/>
          <w:sz w:val="24"/>
          <w:szCs w:val="24"/>
          <w:u w:val="single"/>
        </w:rPr>
        <w:t xml:space="preserve"> </w:t>
      </w:r>
    </w:p>
    <w:p w14:paraId="749EC593" w14:textId="77777777" w:rsidR="000C5419" w:rsidRPr="000C5419" w:rsidRDefault="000C5419" w:rsidP="000C5419">
      <w:pPr>
        <w:jc w:val="both"/>
        <w:rPr>
          <w:rFonts w:ascii="Times New Roman" w:eastAsia="Calibri" w:hAnsi="Times New Roman" w:cs="Times New Roman"/>
          <w:bCs/>
          <w:i/>
          <w:iCs/>
          <w:color w:val="000000"/>
          <w:sz w:val="24"/>
          <w:szCs w:val="24"/>
        </w:rPr>
      </w:pPr>
      <w:r w:rsidRPr="000C5419">
        <w:rPr>
          <w:rFonts w:ascii="Times New Roman" w:eastAsia="Calibri" w:hAnsi="Times New Roman" w:cs="Times New Roman"/>
          <w:bCs/>
          <w:i/>
          <w:iCs/>
          <w:color w:val="000000"/>
          <w:sz w:val="24"/>
          <w:szCs w:val="24"/>
        </w:rPr>
        <w:t xml:space="preserve">Požadované informácie </w:t>
      </w:r>
      <w:r w:rsidR="00F153D7">
        <w:rPr>
          <w:rFonts w:ascii="Times New Roman" w:eastAsia="Calibri" w:hAnsi="Times New Roman" w:cs="Times New Roman"/>
          <w:bCs/>
          <w:i/>
          <w:iCs/>
          <w:color w:val="000000"/>
          <w:sz w:val="24"/>
          <w:szCs w:val="24"/>
        </w:rPr>
        <w:t>uveďte</w:t>
      </w:r>
      <w:r w:rsidRPr="000C5419">
        <w:rPr>
          <w:rFonts w:ascii="Times New Roman" w:eastAsia="Calibri" w:hAnsi="Times New Roman" w:cs="Times New Roman"/>
          <w:bCs/>
          <w:i/>
          <w:iCs/>
          <w:color w:val="000000"/>
          <w:sz w:val="24"/>
          <w:szCs w:val="24"/>
        </w:rPr>
        <w:t xml:space="preserve"> osobitne ku každému identifikovanému </w:t>
      </w:r>
      <w:proofErr w:type="spellStart"/>
      <w:r w:rsidRPr="000C5419">
        <w:rPr>
          <w:rFonts w:ascii="Times New Roman" w:eastAsia="Calibri" w:hAnsi="Times New Roman" w:cs="Times New Roman"/>
          <w:bCs/>
          <w:i/>
          <w:iCs/>
          <w:color w:val="000000"/>
          <w:sz w:val="24"/>
          <w:szCs w:val="24"/>
        </w:rPr>
        <w:t>goldplatingu</w:t>
      </w:r>
      <w:proofErr w:type="spellEnd"/>
      <w:r w:rsidRPr="000C5419">
        <w:rPr>
          <w:rFonts w:ascii="Times New Roman" w:eastAsia="Calibri" w:hAnsi="Times New Roman" w:cs="Times New Roman"/>
          <w:bCs/>
          <w:i/>
          <w:iCs/>
          <w:color w:val="000000"/>
          <w:sz w:val="24"/>
          <w:szCs w:val="24"/>
        </w:rPr>
        <w:t xml:space="preserve"> (ku každej hodnotenej regulácii s </w:t>
      </w:r>
      <w:proofErr w:type="spellStart"/>
      <w:r w:rsidRPr="000C5419">
        <w:rPr>
          <w:rFonts w:ascii="Times New Roman" w:eastAsia="Calibri" w:hAnsi="Times New Roman" w:cs="Times New Roman"/>
          <w:bCs/>
          <w:i/>
          <w:iCs/>
          <w:color w:val="000000"/>
          <w:sz w:val="24"/>
          <w:szCs w:val="24"/>
        </w:rPr>
        <w:t>goldplatingom</w:t>
      </w:r>
      <w:proofErr w:type="spellEnd"/>
      <w:r w:rsidRPr="000C5419">
        <w:rPr>
          <w:rFonts w:ascii="Times New Roman" w:eastAsia="Calibri" w:hAnsi="Times New Roman" w:cs="Times New Roman"/>
          <w:bCs/>
          <w:i/>
          <w:iCs/>
          <w:color w:val="000000"/>
          <w:sz w:val="24"/>
          <w:szCs w:val="24"/>
        </w:rPr>
        <w:t xml:space="preserve"> osobitne). </w:t>
      </w:r>
    </w:p>
    <w:p w14:paraId="0A0E8534" w14:textId="77777777" w:rsidR="0016512E" w:rsidRPr="000C5419" w:rsidRDefault="0016512E" w:rsidP="0016512E">
      <w:p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Uveďte</w:t>
      </w:r>
      <w:r w:rsidR="004239D1">
        <w:rPr>
          <w:rFonts w:ascii="Times New Roman" w:eastAsia="Calibri" w:hAnsi="Times New Roman" w:cs="Times New Roman"/>
          <w:bCs/>
          <w:i/>
          <w:iCs/>
          <w:color w:val="000000"/>
          <w:sz w:val="24"/>
          <w:szCs w:val="24"/>
        </w:rPr>
        <w:t xml:space="preserve"> o</w:t>
      </w:r>
      <w:r w:rsidR="004239D1" w:rsidRPr="004239D1">
        <w:rPr>
          <w:rFonts w:ascii="Times New Roman" w:eastAsia="Calibri" w:hAnsi="Times New Roman" w:cs="Times New Roman"/>
          <w:bCs/>
          <w:i/>
          <w:iCs/>
          <w:color w:val="000000"/>
          <w:sz w:val="24"/>
          <w:szCs w:val="24"/>
        </w:rPr>
        <w:t xml:space="preserve">dôvodnenie </w:t>
      </w:r>
      <w:proofErr w:type="spellStart"/>
      <w:r w:rsidR="004239D1" w:rsidRPr="004239D1">
        <w:rPr>
          <w:rFonts w:ascii="Times New Roman" w:eastAsia="Calibri" w:hAnsi="Times New Roman" w:cs="Times New Roman"/>
          <w:bCs/>
          <w:i/>
          <w:iCs/>
          <w:color w:val="000000"/>
          <w:sz w:val="24"/>
          <w:szCs w:val="24"/>
        </w:rPr>
        <w:t>goldplatingu</w:t>
      </w:r>
      <w:proofErr w:type="spellEnd"/>
      <w:r w:rsidR="004239D1" w:rsidRPr="004239D1">
        <w:rPr>
          <w:rFonts w:ascii="Times New Roman" w:eastAsia="Calibri" w:hAnsi="Times New Roman" w:cs="Times New Roman"/>
          <w:bCs/>
          <w:i/>
          <w:iCs/>
          <w:color w:val="000000"/>
          <w:sz w:val="24"/>
          <w:szCs w:val="24"/>
        </w:rPr>
        <w:t xml:space="preserve"> </w:t>
      </w:r>
      <w:r w:rsidR="004239D1">
        <w:rPr>
          <w:rFonts w:ascii="Times New Roman" w:eastAsia="Calibri" w:hAnsi="Times New Roman" w:cs="Times New Roman"/>
          <w:bCs/>
          <w:i/>
          <w:iCs/>
          <w:color w:val="000000"/>
          <w:sz w:val="24"/>
          <w:szCs w:val="24"/>
        </w:rPr>
        <w:t xml:space="preserve">z hľadiska </w:t>
      </w:r>
      <w:r w:rsidR="004239D1" w:rsidRPr="004239D1">
        <w:rPr>
          <w:rFonts w:ascii="Times New Roman" w:eastAsia="Calibri" w:hAnsi="Times New Roman" w:cs="Times New Roman"/>
          <w:bCs/>
          <w:i/>
          <w:iCs/>
          <w:color w:val="000000"/>
          <w:sz w:val="24"/>
          <w:szCs w:val="24"/>
        </w:rPr>
        <w:t>jeho nespochybniteľnej nevyhnutnosti.</w:t>
      </w:r>
      <w:r>
        <w:rPr>
          <w:rFonts w:ascii="Times New Roman" w:eastAsia="Calibri" w:hAnsi="Times New Roman" w:cs="Times New Roman"/>
          <w:bCs/>
          <w:i/>
          <w:iCs/>
          <w:color w:val="000000"/>
          <w:sz w:val="24"/>
          <w:szCs w:val="24"/>
        </w:rPr>
        <w:t xml:space="preserve"> Odôvodnenie doložte dôkladným hodnotením prínosov a</w:t>
      </w:r>
      <w:r w:rsidR="005D39D8">
        <w:rPr>
          <w:rFonts w:ascii="Times New Roman" w:eastAsia="Calibri" w:hAnsi="Times New Roman" w:cs="Times New Roman"/>
          <w:bCs/>
          <w:i/>
          <w:iCs/>
          <w:color w:val="000000"/>
          <w:sz w:val="24"/>
          <w:szCs w:val="24"/>
        </w:rPr>
        <w:t> </w:t>
      </w:r>
      <w:r>
        <w:rPr>
          <w:rFonts w:ascii="Times New Roman" w:eastAsia="Calibri" w:hAnsi="Times New Roman" w:cs="Times New Roman"/>
          <w:bCs/>
          <w:i/>
          <w:iCs/>
          <w:color w:val="000000"/>
          <w:sz w:val="24"/>
          <w:szCs w:val="24"/>
        </w:rPr>
        <w:t>nákladov</w:t>
      </w:r>
      <w:r w:rsidR="005D39D8">
        <w:rPr>
          <w:rFonts w:ascii="Times New Roman" w:eastAsia="Calibri" w:hAnsi="Times New Roman" w:cs="Times New Roman"/>
          <w:bCs/>
          <w:i/>
          <w:iCs/>
          <w:color w:val="000000"/>
          <w:sz w:val="24"/>
          <w:szCs w:val="24"/>
        </w:rPr>
        <w:t xml:space="preserve">. </w:t>
      </w:r>
      <w:r w:rsidR="005D39D8" w:rsidRPr="005D39D8">
        <w:rPr>
          <w:rFonts w:ascii="Times New Roman" w:eastAsia="Calibri" w:hAnsi="Times New Roman" w:cs="Times New Roman"/>
          <w:bCs/>
          <w:i/>
          <w:iCs/>
          <w:color w:val="000000"/>
          <w:sz w:val="24"/>
          <w:szCs w:val="24"/>
        </w:rPr>
        <w:t>Uveďte zvážené alternatívne riešenia.</w:t>
      </w:r>
      <w:r>
        <w:rPr>
          <w:rFonts w:ascii="Times New Roman" w:eastAsia="Calibri" w:hAnsi="Times New Roman" w:cs="Times New Roman"/>
          <w:bCs/>
          <w:i/>
          <w:iCs/>
          <w:color w:val="000000"/>
          <w:sz w:val="24"/>
          <w:szCs w:val="24"/>
        </w:rPr>
        <w:t>.</w:t>
      </w:r>
    </w:p>
    <w:p w14:paraId="6A18C579" w14:textId="0633763E" w:rsidR="000C5419" w:rsidRPr="000C5419" w:rsidRDefault="00990813" w:rsidP="000C5419">
      <w:p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 xml:space="preserve">Zároveň </w:t>
      </w:r>
      <w:r w:rsidR="00D5309D">
        <w:rPr>
          <w:rFonts w:ascii="Times New Roman" w:eastAsia="Calibri" w:hAnsi="Times New Roman" w:cs="Times New Roman"/>
          <w:bCs/>
          <w:i/>
          <w:iCs/>
          <w:color w:val="000000"/>
          <w:sz w:val="24"/>
          <w:szCs w:val="24"/>
        </w:rPr>
        <w:t>uveďte</w:t>
      </w:r>
      <w:r w:rsidR="000C5419">
        <w:rPr>
          <w:rFonts w:ascii="Times New Roman" w:eastAsia="Calibri" w:hAnsi="Times New Roman" w:cs="Times New Roman"/>
          <w:bCs/>
          <w:i/>
          <w:iCs/>
          <w:color w:val="000000"/>
          <w:sz w:val="24"/>
          <w:szCs w:val="24"/>
        </w:rPr>
        <w:t xml:space="preserve"> </w:t>
      </w:r>
      <w:r w:rsidR="000C5419" w:rsidRPr="00284B8C">
        <w:rPr>
          <w:rFonts w:ascii="Times New Roman" w:eastAsia="Calibri" w:hAnsi="Times New Roman" w:cs="Times New Roman"/>
          <w:bCs/>
          <w:i/>
          <w:iCs/>
          <w:color w:val="000000"/>
          <w:sz w:val="24"/>
          <w:szCs w:val="24"/>
        </w:rPr>
        <w:t>konkrétne informácie súvisiace s </w:t>
      </w:r>
      <w:r>
        <w:rPr>
          <w:rFonts w:ascii="Times New Roman" w:eastAsia="Calibri" w:hAnsi="Times New Roman" w:cs="Times New Roman"/>
          <w:bCs/>
          <w:i/>
          <w:iCs/>
          <w:color w:val="000000"/>
          <w:sz w:val="24"/>
          <w:szCs w:val="24"/>
        </w:rPr>
        <w:t>kategóriou</w:t>
      </w:r>
      <w:r w:rsidRPr="00284B8C">
        <w:rPr>
          <w:rFonts w:ascii="Times New Roman" w:eastAsia="Calibri" w:hAnsi="Times New Roman" w:cs="Times New Roman"/>
          <w:bCs/>
          <w:i/>
          <w:iCs/>
          <w:color w:val="000000"/>
          <w:sz w:val="24"/>
          <w:szCs w:val="24"/>
        </w:rPr>
        <w:t xml:space="preserve"> </w:t>
      </w:r>
      <w:proofErr w:type="spellStart"/>
      <w:r w:rsidR="000C5419" w:rsidRPr="00284B8C">
        <w:rPr>
          <w:rFonts w:ascii="Times New Roman" w:eastAsia="Calibri" w:hAnsi="Times New Roman" w:cs="Times New Roman"/>
          <w:bCs/>
          <w:i/>
          <w:iCs/>
          <w:color w:val="000000"/>
          <w:sz w:val="24"/>
          <w:szCs w:val="24"/>
        </w:rPr>
        <w:t>goldplatingu</w:t>
      </w:r>
      <w:proofErr w:type="spellEnd"/>
      <w:r>
        <w:rPr>
          <w:rFonts w:ascii="Times New Roman" w:eastAsia="Calibri" w:hAnsi="Times New Roman" w:cs="Times New Roman"/>
          <w:bCs/>
          <w:i/>
          <w:iCs/>
          <w:color w:val="000000"/>
          <w:sz w:val="24"/>
          <w:szCs w:val="24"/>
        </w:rPr>
        <w:t xml:space="preserve"> podľa </w:t>
      </w:r>
      <w:r w:rsidR="00D114ED">
        <w:rPr>
          <w:rFonts w:ascii="Times New Roman" w:eastAsia="Calibri" w:hAnsi="Times New Roman" w:cs="Times New Roman"/>
          <w:bCs/>
          <w:i/>
          <w:iCs/>
          <w:color w:val="000000"/>
          <w:sz w:val="24"/>
          <w:szCs w:val="24"/>
        </w:rPr>
        <w:t>jednotnej metodiky</w:t>
      </w:r>
      <w:r w:rsidR="000C5419" w:rsidRPr="00284B8C">
        <w:rPr>
          <w:rFonts w:ascii="Times New Roman" w:eastAsia="Calibri" w:hAnsi="Times New Roman" w:cs="Times New Roman"/>
          <w:bCs/>
          <w:i/>
          <w:iCs/>
          <w:color w:val="000000"/>
          <w:sz w:val="24"/>
          <w:szCs w:val="24"/>
        </w:rPr>
        <w:t>, najmä: na aké subjekty sa nad rámec navrhuje rozšíriť pôsobnosť smernice a z akého dôvodu; aké požiadavky sa navyšujú a na aké subjekty nad rámec minimálnych požiadaviek smernice; aká  menej prísnejšia výnimka alebo úprava vyplývajúca zo smernice nebola využitá a prečo; z akého dôvodu sa navrhujú prísnejšie sankčné režimy; z akého dôvodu sa navrhuje skoršia transpozícia; z akého dôvodu sa ponechávajú v platnosti už existujúce prísnejšie vnútroštátne</w:t>
      </w:r>
      <w:r w:rsidR="000C5419" w:rsidRPr="000C5419">
        <w:rPr>
          <w:rFonts w:ascii="Times New Roman" w:eastAsia="Calibri" w:hAnsi="Times New Roman" w:cs="Times New Roman"/>
          <w:bCs/>
          <w:i/>
          <w:iCs/>
          <w:color w:val="000000"/>
          <w:sz w:val="24"/>
          <w:szCs w:val="24"/>
        </w:rPr>
        <w:t xml:space="preserve"> požiadavky. </w:t>
      </w:r>
    </w:p>
    <w:p w14:paraId="535CABE4" w14:textId="77777777" w:rsidR="00D114ED" w:rsidRPr="00F244DC" w:rsidRDefault="00D114ED" w:rsidP="00751DA9">
      <w:pPr>
        <w:jc w:val="both"/>
        <w:rPr>
          <w:rFonts w:ascii="Times New Roman" w:eastAsia="Calibri" w:hAnsi="Times New Roman" w:cs="Times New Roman"/>
          <w:bCs/>
          <w:i/>
          <w:iCs/>
          <w:sz w:val="24"/>
          <w:szCs w:val="24"/>
        </w:rPr>
      </w:pPr>
      <w:r w:rsidRPr="00F244DC">
        <w:rPr>
          <w:rFonts w:ascii="Times New Roman" w:eastAsia="Calibri" w:hAnsi="Times New Roman" w:cs="Times New Roman"/>
          <w:bCs/>
          <w:i/>
          <w:iCs/>
          <w:sz w:val="24"/>
          <w:szCs w:val="24"/>
        </w:rPr>
        <w:t xml:space="preserve">Využitie </w:t>
      </w:r>
      <w:proofErr w:type="spellStart"/>
      <w:r w:rsidRPr="00F244DC">
        <w:rPr>
          <w:rFonts w:ascii="Times New Roman" w:eastAsia="Calibri" w:hAnsi="Times New Roman" w:cs="Times New Roman"/>
          <w:bCs/>
          <w:i/>
          <w:iCs/>
          <w:sz w:val="24"/>
          <w:szCs w:val="24"/>
        </w:rPr>
        <w:t>goldplatingu</w:t>
      </w:r>
      <w:proofErr w:type="spellEnd"/>
      <w:r w:rsidRPr="00F244DC">
        <w:rPr>
          <w:rFonts w:ascii="Times New Roman" w:eastAsia="Calibri" w:hAnsi="Times New Roman" w:cs="Times New Roman"/>
          <w:bCs/>
          <w:i/>
          <w:iCs/>
          <w:sz w:val="24"/>
          <w:szCs w:val="24"/>
        </w:rPr>
        <w:t xml:space="preserve"> pri transpozícii alebo implementácii legislatívy EÚ je v zásade nežiadúce, keďže takýto postup môže viesť k zníženiu konkurencieschopnosti domácich podnikov v porovnaní s podnikmi z krajín, kde právne predpisy nie sú natoľko prísne. Využitie </w:t>
      </w:r>
      <w:proofErr w:type="spellStart"/>
      <w:r w:rsidRPr="00F244DC">
        <w:rPr>
          <w:rFonts w:ascii="Times New Roman" w:eastAsia="Calibri" w:hAnsi="Times New Roman" w:cs="Times New Roman"/>
          <w:bCs/>
          <w:i/>
          <w:iCs/>
          <w:sz w:val="24"/>
          <w:szCs w:val="24"/>
        </w:rPr>
        <w:t>goldplatingu</w:t>
      </w:r>
      <w:proofErr w:type="spellEnd"/>
      <w:r w:rsidRPr="00F244DC">
        <w:rPr>
          <w:rFonts w:ascii="Times New Roman" w:eastAsia="Calibri" w:hAnsi="Times New Roman" w:cs="Times New Roman"/>
          <w:bCs/>
          <w:i/>
          <w:iCs/>
          <w:sz w:val="24"/>
          <w:szCs w:val="24"/>
        </w:rPr>
        <w:t xml:space="preserve"> predkladateľom je preto prípustné iba vo výnimočných prípadoch, riadne odôvodnených a vysvetlených v analýze vplyvov na podnikateľské prostredie z hľadiska jeho nevyhnutnosti, spoločenského významu, nákladov, prekonzultovaných s dotknutými podnikateľmi a posúdených Komisiou.</w:t>
      </w:r>
    </w:p>
    <w:p w14:paraId="69CB5DAB" w14:textId="23BBD361" w:rsidR="00054C41" w:rsidRPr="009D66A6" w:rsidRDefault="007B267B" w:rsidP="00C156B5">
      <w:pPr>
        <w:jc w:val="both"/>
        <w:rPr>
          <w:rFonts w:ascii="Times New Roman" w:eastAsia="Calibri" w:hAnsi="Times New Roman" w:cs="Times New Roman"/>
          <w:iCs/>
        </w:rPr>
      </w:pPr>
      <w:r w:rsidRPr="009D66A6">
        <w:rPr>
          <w:rFonts w:ascii="Times New Roman" w:eastAsia="Calibri" w:hAnsi="Times New Roman" w:cs="Times New Roman"/>
          <w:iCs/>
        </w:rPr>
        <w:t xml:space="preserve">Všetky transponované ustanovenia sú plne v súlade s predmetnými smernicami (EÚ). V žiadnom prípade Slovenská republika nepripúšťa existenciu </w:t>
      </w:r>
      <w:proofErr w:type="spellStart"/>
      <w:r w:rsidRPr="009D66A6">
        <w:rPr>
          <w:rFonts w:ascii="Times New Roman" w:eastAsia="Calibri" w:hAnsi="Times New Roman" w:cs="Times New Roman"/>
          <w:iCs/>
        </w:rPr>
        <w:t>goldplatingu</w:t>
      </w:r>
      <w:proofErr w:type="spellEnd"/>
      <w:r w:rsidRPr="009D66A6">
        <w:rPr>
          <w:rFonts w:ascii="Times New Roman" w:eastAsia="Calibri" w:hAnsi="Times New Roman" w:cs="Times New Roman"/>
          <w:iCs/>
        </w:rPr>
        <w:t>, pretože to by viedlo k priame</w:t>
      </w:r>
      <w:r w:rsidR="00C156B5" w:rsidRPr="009D66A6">
        <w:rPr>
          <w:rFonts w:ascii="Times New Roman" w:eastAsia="Calibri" w:hAnsi="Times New Roman" w:cs="Times New Roman"/>
          <w:iCs/>
        </w:rPr>
        <w:t>j</w:t>
      </w:r>
      <w:r w:rsidRPr="009D66A6">
        <w:rPr>
          <w:rFonts w:ascii="Times New Roman" w:eastAsia="Calibri" w:hAnsi="Times New Roman" w:cs="Times New Roman"/>
          <w:iCs/>
        </w:rPr>
        <w:t xml:space="preserve"> konkurenčnej</w:t>
      </w:r>
      <w:r w:rsidR="00C156B5" w:rsidRPr="009D66A6">
        <w:rPr>
          <w:rFonts w:ascii="Times New Roman" w:eastAsia="Calibri" w:hAnsi="Times New Roman" w:cs="Times New Roman"/>
          <w:iCs/>
        </w:rPr>
        <w:t xml:space="preserve"> nerovnováhe medzi </w:t>
      </w:r>
      <w:r w:rsidRPr="009D66A6">
        <w:rPr>
          <w:rFonts w:ascii="Times New Roman" w:eastAsia="Calibri" w:hAnsi="Times New Roman" w:cs="Times New Roman"/>
          <w:iCs/>
        </w:rPr>
        <w:t>domáci</w:t>
      </w:r>
      <w:r w:rsidR="00C156B5" w:rsidRPr="009D66A6">
        <w:rPr>
          <w:rFonts w:ascii="Times New Roman" w:eastAsia="Calibri" w:hAnsi="Times New Roman" w:cs="Times New Roman"/>
          <w:iCs/>
        </w:rPr>
        <w:t>mi</w:t>
      </w:r>
      <w:r w:rsidRPr="009D66A6">
        <w:rPr>
          <w:rFonts w:ascii="Times New Roman" w:eastAsia="Calibri" w:hAnsi="Times New Roman" w:cs="Times New Roman"/>
          <w:iCs/>
        </w:rPr>
        <w:t xml:space="preserve"> subjekt</w:t>
      </w:r>
      <w:r w:rsidR="00C156B5" w:rsidRPr="009D66A6">
        <w:rPr>
          <w:rFonts w:ascii="Times New Roman" w:eastAsia="Calibri" w:hAnsi="Times New Roman" w:cs="Times New Roman"/>
          <w:iCs/>
        </w:rPr>
        <w:t>ami</w:t>
      </w:r>
      <w:r w:rsidRPr="009D66A6">
        <w:rPr>
          <w:rFonts w:ascii="Times New Roman" w:eastAsia="Calibri" w:hAnsi="Times New Roman" w:cs="Times New Roman"/>
          <w:iCs/>
        </w:rPr>
        <w:t xml:space="preserve"> (burza cenných papierov, obchodníci s cennými papiermi) </w:t>
      </w:r>
      <w:r w:rsidR="00C156B5" w:rsidRPr="009D66A6">
        <w:rPr>
          <w:rFonts w:ascii="Times New Roman" w:eastAsia="Calibri" w:hAnsi="Times New Roman" w:cs="Times New Roman"/>
          <w:iCs/>
        </w:rPr>
        <w:t>a</w:t>
      </w:r>
      <w:r w:rsidRPr="009D66A6">
        <w:rPr>
          <w:rFonts w:ascii="Times New Roman" w:eastAsia="Calibri" w:hAnsi="Times New Roman" w:cs="Times New Roman"/>
          <w:iCs/>
        </w:rPr>
        <w:t xml:space="preserve"> zahraničným</w:t>
      </w:r>
      <w:r w:rsidR="00C156B5" w:rsidRPr="009D66A6">
        <w:rPr>
          <w:rFonts w:ascii="Times New Roman" w:eastAsia="Calibri" w:hAnsi="Times New Roman" w:cs="Times New Roman"/>
          <w:iCs/>
        </w:rPr>
        <w:t>i</w:t>
      </w:r>
      <w:r w:rsidRPr="009D66A6">
        <w:rPr>
          <w:rFonts w:ascii="Times New Roman" w:eastAsia="Calibri" w:hAnsi="Times New Roman" w:cs="Times New Roman"/>
          <w:iCs/>
        </w:rPr>
        <w:t xml:space="preserve"> subjekt</w:t>
      </w:r>
      <w:r w:rsidR="00C156B5" w:rsidRPr="009D66A6">
        <w:rPr>
          <w:rFonts w:ascii="Times New Roman" w:eastAsia="Calibri" w:hAnsi="Times New Roman" w:cs="Times New Roman"/>
          <w:iCs/>
        </w:rPr>
        <w:t>ami</w:t>
      </w:r>
      <w:r w:rsidRPr="009D66A6">
        <w:rPr>
          <w:rFonts w:ascii="Times New Roman" w:eastAsia="Calibri" w:hAnsi="Times New Roman" w:cs="Times New Roman"/>
          <w:iCs/>
        </w:rPr>
        <w:t>.</w:t>
      </w:r>
      <w:r w:rsidR="00C156B5" w:rsidRPr="009D66A6">
        <w:rPr>
          <w:rFonts w:ascii="Times New Roman" w:eastAsia="Calibri" w:hAnsi="Times New Roman" w:cs="Times New Roman"/>
          <w:iCs/>
        </w:rPr>
        <w:t xml:space="preserve"> Všetky smernice (EÚ) boli transponované v úplnom  rozsahu bez zavedenia alebo ponechania </w:t>
      </w:r>
      <w:proofErr w:type="spellStart"/>
      <w:r w:rsidR="00C156B5" w:rsidRPr="009D66A6">
        <w:rPr>
          <w:rFonts w:ascii="Times New Roman" w:eastAsia="Calibri" w:hAnsi="Times New Roman" w:cs="Times New Roman"/>
          <w:iCs/>
        </w:rPr>
        <w:t>goldplatingu</w:t>
      </w:r>
      <w:proofErr w:type="spellEnd"/>
      <w:r w:rsidR="00C156B5" w:rsidRPr="009D66A6">
        <w:rPr>
          <w:rFonts w:ascii="Times New Roman" w:eastAsia="Calibri" w:hAnsi="Times New Roman" w:cs="Times New Roman"/>
          <w:iCs/>
        </w:rPr>
        <w:t xml:space="preserve">.          </w:t>
      </w:r>
      <w:r w:rsidRPr="009D66A6">
        <w:rPr>
          <w:rFonts w:ascii="Times New Roman" w:eastAsia="Calibri" w:hAnsi="Times New Roman" w:cs="Times New Roman"/>
          <w:iCs/>
        </w:rPr>
        <w:t xml:space="preserve">     </w:t>
      </w:r>
    </w:p>
    <w:p w14:paraId="4B6C06E6" w14:textId="77777777" w:rsidR="00024EE4" w:rsidRDefault="00024EE4" w:rsidP="00054C41">
      <w:pPr>
        <w:jc w:val="both"/>
        <w:rPr>
          <w:rFonts w:ascii="Times New Roman" w:eastAsia="Calibri" w:hAnsi="Times New Roman" w:cs="Times New Roman"/>
          <w:b/>
          <w:sz w:val="24"/>
          <w:szCs w:val="24"/>
        </w:rPr>
      </w:pPr>
    </w:p>
    <w:p w14:paraId="4BD96D6C" w14:textId="77777777" w:rsidR="00024EE4" w:rsidRDefault="00024EE4" w:rsidP="00054C41">
      <w:pPr>
        <w:jc w:val="both"/>
        <w:rPr>
          <w:rFonts w:ascii="Times New Roman" w:eastAsia="Calibri" w:hAnsi="Times New Roman" w:cs="Times New Roman"/>
          <w:b/>
          <w:sz w:val="24"/>
          <w:szCs w:val="24"/>
        </w:rPr>
      </w:pPr>
    </w:p>
    <w:p w14:paraId="39D55FBC" w14:textId="44B0C098"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3.2 Vyhodnotenie konzultácií s podnikateľskými subjektmi pred predbežným pripomienkovým konaním</w:t>
      </w:r>
    </w:p>
    <w:p w14:paraId="49C67761"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formu konzultácií vrátane zdôvodnenia jej výberu a trvanie konzultácií, termíny stretnutí. Uveďte spôsob oslovenia dotknutých subjektov, zoznam konzultujúcich subjektov, tiež </w:t>
      </w:r>
      <w:proofErr w:type="spellStart"/>
      <w:r w:rsidRPr="00D8247C">
        <w:rPr>
          <w:rFonts w:ascii="Times New Roman" w:eastAsia="Calibri" w:hAnsi="Times New Roman" w:cs="Times New Roman"/>
          <w:i/>
          <w:sz w:val="24"/>
          <w:szCs w:val="24"/>
        </w:rPr>
        <w:t>link</w:t>
      </w:r>
      <w:proofErr w:type="spellEnd"/>
      <w:r w:rsidRPr="00D8247C">
        <w:rPr>
          <w:rFonts w:ascii="Times New Roman" w:eastAsia="Calibri" w:hAnsi="Times New Roman" w:cs="Times New Roman"/>
          <w:i/>
          <w:sz w:val="24"/>
          <w:szCs w:val="24"/>
        </w:rPr>
        <w:t xml:space="preserve"> na webovú stránku, na ktorej boli konzultácie zverejnené. </w:t>
      </w:r>
    </w:p>
    <w:p w14:paraId="5DDE9409"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hlavné body konzultácií a ich závery. </w:t>
      </w:r>
    </w:p>
    <w:p w14:paraId="3EE20844"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lastRenderedPageBreak/>
        <w:t xml:space="preserve">Uveďte zoznam predložených alternatívnych riešení problematiky od konzultujúcich subjektov, ako aj návrhy od konzultujúcich subjektov na zníženie nákladov regulácií na PP, ktoré neboli akceptované a dôvod neakceptovania. </w:t>
      </w:r>
    </w:p>
    <w:p w14:paraId="0064013B"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Alternatívne namiesto vypĺňania bodu 3.2 môžete uviesť ako samostatnú prílohu tejto analýzy Záznam z konzultácií obsahujúci požadované informácie. </w:t>
      </w:r>
    </w:p>
    <w:p w14:paraId="178FF6D3" w14:textId="424E35CB" w:rsidR="00054C41" w:rsidRDefault="00054C41" w:rsidP="00054C41">
      <w:pPr>
        <w:spacing w:after="0"/>
        <w:jc w:val="both"/>
        <w:rPr>
          <w:rFonts w:ascii="Times New Roman" w:eastAsia="Calibri" w:hAnsi="Times New Roman" w:cs="Times New Roman"/>
          <w:i/>
          <w:sz w:val="24"/>
          <w:szCs w:val="24"/>
        </w:rPr>
      </w:pPr>
    </w:p>
    <w:p w14:paraId="4D727786" w14:textId="41C9F0A3" w:rsidR="007B267B" w:rsidRPr="009D66A6" w:rsidRDefault="007B267B" w:rsidP="00054C41">
      <w:pPr>
        <w:spacing w:after="0"/>
        <w:jc w:val="both"/>
        <w:rPr>
          <w:rFonts w:ascii="Times New Roman" w:eastAsia="Calibri" w:hAnsi="Times New Roman" w:cs="Times New Roman"/>
          <w:iCs/>
        </w:rPr>
      </w:pPr>
      <w:r w:rsidRPr="009D66A6">
        <w:rPr>
          <w:rFonts w:ascii="Times New Roman" w:eastAsia="Calibri" w:hAnsi="Times New Roman" w:cs="Times New Roman"/>
          <w:iCs/>
        </w:rPr>
        <w:t xml:space="preserve">K zverejnenej predbežnej informácii k návrhu zákona MFSR nedostalo žiadne podnety od trhových subjektov, ktorých by sa navrhovaná regulácie mohla týkať.   </w:t>
      </w:r>
    </w:p>
    <w:p w14:paraId="08FCAD96" w14:textId="77777777" w:rsidR="00054C41" w:rsidRPr="00D8247C" w:rsidRDefault="00054C41" w:rsidP="00054C41">
      <w:pPr>
        <w:spacing w:after="0"/>
        <w:jc w:val="both"/>
        <w:rPr>
          <w:rFonts w:ascii="Times New Roman" w:eastAsia="Calibri" w:hAnsi="Times New Roman" w:cs="Times New Roman"/>
          <w:i/>
          <w:sz w:val="24"/>
          <w:szCs w:val="24"/>
        </w:rPr>
      </w:pPr>
    </w:p>
    <w:p w14:paraId="609C066C" w14:textId="77777777" w:rsidR="00054C41" w:rsidRPr="001F1B43" w:rsidRDefault="00054C41" w:rsidP="00054C41">
      <w:pPr>
        <w:jc w:val="both"/>
        <w:rPr>
          <w:rFonts w:ascii="Times New Roman" w:eastAsia="Calibri" w:hAnsi="Times New Roman" w:cs="Times New Roman"/>
          <w:b/>
          <w:sz w:val="24"/>
          <w:szCs w:val="24"/>
        </w:rPr>
      </w:pPr>
      <w:bookmarkStart w:id="1" w:name="_Hlk47698091"/>
      <w:r w:rsidRPr="001F1B43">
        <w:rPr>
          <w:rFonts w:ascii="Times New Roman" w:eastAsia="Calibri" w:hAnsi="Times New Roman" w:cs="Times New Roman"/>
          <w:b/>
          <w:sz w:val="24"/>
          <w:szCs w:val="24"/>
        </w:rPr>
        <w:t>3.3 Vplyvy na konkurencieschopnosť a produktivitu</w:t>
      </w:r>
    </w:p>
    <w:bookmarkEnd w:id="1"/>
    <w:p w14:paraId="5CAF52B4"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Dochádza k vytvoreniu resp. k zmene bariér na trhu? </w:t>
      </w:r>
    </w:p>
    <w:p w14:paraId="4D049DE7"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Bude sa s niektorými podnikmi alebo produktmi zaobchádzať v porovnateľnej situácii rôzne (napr. špeciálne režimy pre </w:t>
      </w:r>
      <w:proofErr w:type="spellStart"/>
      <w:r w:rsidRPr="00D8247C">
        <w:rPr>
          <w:rFonts w:ascii="Times New Roman" w:eastAsia="Calibri" w:hAnsi="Times New Roman" w:cs="Times New Roman"/>
          <w:i/>
          <w:sz w:val="24"/>
          <w:szCs w:val="24"/>
        </w:rPr>
        <w:t>mikro</w:t>
      </w:r>
      <w:proofErr w:type="spellEnd"/>
      <w:r w:rsidRPr="00D8247C">
        <w:rPr>
          <w:rFonts w:ascii="Times New Roman" w:eastAsia="Calibri" w:hAnsi="Times New Roman" w:cs="Times New Roman"/>
          <w:i/>
          <w:sz w:val="24"/>
          <w:szCs w:val="24"/>
        </w:rPr>
        <w:t xml:space="preserve">, malé a stredné podniky tzv. MSP)? </w:t>
      </w:r>
    </w:p>
    <w:p w14:paraId="452A90F1"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Ovplyvňuje zmena regulácie cezhraničné investície (príliv/odliv zahraničných investícií resp. uplatnenie slovenských podnikov na zahraničných trhoch)? </w:t>
      </w:r>
    </w:p>
    <w:p w14:paraId="0D074838" w14:textId="77777777" w:rsidR="00054C41"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Ovplyvní dostupnosť základných zdrojov (financie, pracovná sila, suroviny, mechanizmy, energie atď.)? </w:t>
      </w:r>
    </w:p>
    <w:p w14:paraId="6B6A3793" w14:textId="77777777" w:rsidR="007259CB" w:rsidRDefault="007259CB"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Ovplyvňuje zmena regulácie inovácie, vedu a výskum?</w:t>
      </w:r>
    </w:p>
    <w:p w14:paraId="64E2FB2F" w14:textId="77777777" w:rsidR="00BA19B0" w:rsidRPr="00D8247C" w:rsidRDefault="00BA19B0"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Ak bol identifikovaný goldplating</w:t>
      </w:r>
      <w:r w:rsidR="00581EB9">
        <w:rPr>
          <w:rFonts w:ascii="Times New Roman" w:eastAsia="Calibri" w:hAnsi="Times New Roman" w:cs="Times New Roman"/>
          <w:i/>
          <w:sz w:val="24"/>
          <w:szCs w:val="24"/>
        </w:rPr>
        <w:t>,</w:t>
      </w:r>
      <w:r w:rsidR="00C14655">
        <w:rPr>
          <w:rFonts w:ascii="Times New Roman" w:eastAsia="Calibri" w:hAnsi="Times New Roman" w:cs="Times New Roman"/>
          <w:i/>
          <w:sz w:val="24"/>
          <w:szCs w:val="24"/>
        </w:rPr>
        <w:t xml:space="preserve"> prispieva k zníženiu konkurencieschopnosti a produktivity?</w:t>
      </w:r>
      <w:r w:rsidR="00581EB9">
        <w:rPr>
          <w:rFonts w:ascii="Times New Roman" w:eastAsia="Calibri" w:hAnsi="Times New Roman" w:cs="Times New Roman"/>
          <w:i/>
          <w:sz w:val="24"/>
          <w:szCs w:val="24"/>
        </w:rPr>
        <w:t xml:space="preserve"> Akým spôsobom?</w:t>
      </w:r>
    </w:p>
    <w:p w14:paraId="72CB32C8"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iCs/>
          <w:sz w:val="24"/>
          <w:szCs w:val="24"/>
        </w:rPr>
        <w:t>Ako prispieva zmena regulácie k cieľu Slovenska mať najlepšie podnikateľské prostredie spomedzi susediacich krajín EÚ?</w:t>
      </w:r>
    </w:p>
    <w:p w14:paraId="74F3B2D2" w14:textId="77777777" w:rsidR="005C1139" w:rsidRDefault="005C1139" w:rsidP="00054C41">
      <w:pPr>
        <w:spacing w:after="0"/>
        <w:jc w:val="both"/>
        <w:rPr>
          <w:rFonts w:ascii="Times New Roman" w:eastAsia="Calibri" w:hAnsi="Times New Roman" w:cs="Times New Roman"/>
          <w:iCs/>
          <w:sz w:val="24"/>
          <w:szCs w:val="24"/>
        </w:rPr>
      </w:pPr>
    </w:p>
    <w:p w14:paraId="78681465" w14:textId="58EF71F5" w:rsidR="00054C41" w:rsidRPr="009D66A6" w:rsidRDefault="007B267B" w:rsidP="00054C41">
      <w:pPr>
        <w:spacing w:after="0"/>
        <w:jc w:val="both"/>
        <w:rPr>
          <w:rFonts w:ascii="Times New Roman" w:eastAsia="Calibri" w:hAnsi="Times New Roman" w:cs="Times New Roman"/>
          <w:iCs/>
        </w:rPr>
      </w:pPr>
      <w:r w:rsidRPr="009D66A6">
        <w:rPr>
          <w:rFonts w:ascii="Times New Roman" w:eastAsia="Calibri" w:hAnsi="Times New Roman" w:cs="Times New Roman"/>
          <w:iCs/>
        </w:rPr>
        <w:t>Navrhnuté zmeny vychádzajú zo znenia príslušných smerníc (EÚ) a vzťahujú sa v rovnej miere na všetky dotknuté subjekty. Princíp proporcionality nebol zohľadnený</w:t>
      </w:r>
      <w:r w:rsidR="005C1139" w:rsidRPr="009D66A6">
        <w:rPr>
          <w:rFonts w:ascii="Times New Roman" w:eastAsia="Calibri" w:hAnsi="Times New Roman" w:cs="Times New Roman"/>
          <w:iCs/>
        </w:rPr>
        <w:t xml:space="preserve"> už na európskej úrovni</w:t>
      </w:r>
      <w:r w:rsidRPr="009D66A6">
        <w:rPr>
          <w:rFonts w:ascii="Times New Roman" w:eastAsia="Calibri" w:hAnsi="Times New Roman" w:cs="Times New Roman"/>
          <w:iCs/>
        </w:rPr>
        <w:t>,</w:t>
      </w:r>
      <w:r w:rsidR="005C1139" w:rsidRPr="009D66A6">
        <w:rPr>
          <w:rFonts w:ascii="Times New Roman" w:eastAsia="Calibri" w:hAnsi="Times New Roman" w:cs="Times New Roman"/>
          <w:iCs/>
        </w:rPr>
        <w:t xml:space="preserve"> možno teda predpokladať percentuálne vyšší podiel nákladov vyvolaných zmenou regulácie u menších subjektov. </w:t>
      </w:r>
      <w:r w:rsidRPr="009D66A6">
        <w:rPr>
          <w:rFonts w:ascii="Times New Roman" w:eastAsia="Calibri" w:hAnsi="Times New Roman" w:cs="Times New Roman"/>
          <w:iCs/>
        </w:rPr>
        <w:t xml:space="preserve">         </w:t>
      </w:r>
    </w:p>
    <w:p w14:paraId="4E570074" w14:textId="7AB95274" w:rsidR="007B267B" w:rsidRDefault="007B267B" w:rsidP="00054C41">
      <w:pPr>
        <w:spacing w:after="0"/>
        <w:jc w:val="both"/>
        <w:rPr>
          <w:rFonts w:ascii="Times New Roman" w:eastAsia="Calibri" w:hAnsi="Times New Roman" w:cs="Times New Roman"/>
          <w:i/>
          <w:sz w:val="24"/>
          <w:szCs w:val="24"/>
        </w:rPr>
      </w:pPr>
    </w:p>
    <w:p w14:paraId="2F28F1DD" w14:textId="77777777" w:rsidR="00C156B5" w:rsidRDefault="00C156B5" w:rsidP="00054C41">
      <w:pPr>
        <w:spacing w:after="0"/>
        <w:jc w:val="both"/>
        <w:rPr>
          <w:rFonts w:ascii="Times New Roman" w:eastAsia="Calibri" w:hAnsi="Times New Roman" w:cs="Times New Roman"/>
          <w:i/>
          <w:sz w:val="24"/>
          <w:szCs w:val="24"/>
        </w:rPr>
      </w:pPr>
    </w:p>
    <w:p w14:paraId="24FA7E49" w14:textId="77777777" w:rsidR="00C156B5" w:rsidRPr="00D8247C" w:rsidRDefault="00C156B5" w:rsidP="00054C41">
      <w:pPr>
        <w:spacing w:after="0"/>
        <w:jc w:val="both"/>
        <w:rPr>
          <w:rFonts w:ascii="Times New Roman" w:eastAsia="Calibri" w:hAnsi="Times New Roman" w:cs="Times New Roman"/>
          <w:i/>
          <w:sz w:val="24"/>
          <w:szCs w:val="24"/>
        </w:rPr>
      </w:pPr>
    </w:p>
    <w:p w14:paraId="4BE35CB4"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Konkurencieschopnosť:</w:t>
      </w:r>
    </w:p>
    <w:p w14:paraId="6C684286"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uvedených odpovedí zaškrtnite a popíšte, či materiál konkurencieschopnosť:</w:t>
      </w:r>
    </w:p>
    <w:p w14:paraId="76CD0669" w14:textId="0E9A28BE" w:rsidR="00054C41" w:rsidRPr="00D8247C" w:rsidRDefault="00000000"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798576880"/>
        </w:sdtPr>
        <w:sdtContent>
          <w:sdt>
            <w:sdtPr>
              <w:rPr>
                <w:rFonts w:ascii="Times New Roman" w:eastAsia="Calibri" w:hAnsi="Times New Roman" w:cs="Times New Roman"/>
                <w:i/>
                <w:sz w:val="24"/>
                <w:szCs w:val="24"/>
              </w:rPr>
              <w:id w:val="1729873660"/>
            </w:sdt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10579887"/>
        </w:sdtPr>
        <w:sdtContent>
          <w:sdt>
            <w:sdtPr>
              <w:rPr>
                <w:rFonts w:ascii="Times New Roman" w:eastAsia="Calibri" w:hAnsi="Times New Roman" w:cs="Times New Roman"/>
                <w:i/>
                <w:sz w:val="24"/>
                <w:szCs w:val="24"/>
              </w:rPr>
              <w:id w:val="-80300261"/>
            </w:sdtPr>
            <w:sdtContent>
              <w:r w:rsidR="00C23C4E">
                <w:rPr>
                  <w:rFonts w:ascii="Segoe UI Symbol" w:eastAsia="Calibri" w:hAnsi="Segoe UI Symbol" w:cs="Segoe UI Symbol"/>
                  <w:i/>
                  <w:sz w:val="24"/>
                  <w:szCs w:val="24"/>
                </w:rPr>
                <w:t>x</w:t>
              </w:r>
            </w:sdtContent>
          </w:sdt>
        </w:sdtContent>
      </w:sdt>
      <w:r w:rsidR="00054C41" w:rsidRPr="00D8247C">
        <w:rPr>
          <w:rFonts w:ascii="Times New Roman" w:eastAsia="Calibri" w:hAnsi="Times New Roman" w:cs="Times New Roman"/>
          <w:i/>
          <w:sz w:val="24"/>
          <w:szCs w:val="24"/>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74604883"/>
        </w:sdtPr>
        <w:sdtContent>
          <w:sdt>
            <w:sdtPr>
              <w:rPr>
                <w:rFonts w:ascii="Times New Roman" w:eastAsia="Calibri" w:hAnsi="Times New Roman" w:cs="Times New Roman"/>
                <w:i/>
                <w:sz w:val="24"/>
                <w:szCs w:val="24"/>
              </w:rPr>
              <w:id w:val="-1706551548"/>
            </w:sdt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327BF48A" w14:textId="442014EE" w:rsidR="00054C41" w:rsidRDefault="00054C41" w:rsidP="00054C41">
      <w:pPr>
        <w:spacing w:after="0"/>
        <w:jc w:val="both"/>
        <w:rPr>
          <w:rFonts w:ascii="Times New Roman" w:eastAsia="Calibri" w:hAnsi="Times New Roman" w:cs="Times New Roman"/>
          <w:i/>
          <w:sz w:val="24"/>
          <w:szCs w:val="24"/>
        </w:rPr>
      </w:pPr>
    </w:p>
    <w:p w14:paraId="1DCFC501" w14:textId="0774EA21" w:rsidR="005C1139" w:rsidRPr="009D66A6" w:rsidRDefault="005C1139" w:rsidP="00054C41">
      <w:pPr>
        <w:spacing w:after="0"/>
        <w:jc w:val="both"/>
        <w:rPr>
          <w:rFonts w:ascii="Times New Roman" w:eastAsia="Calibri" w:hAnsi="Times New Roman" w:cs="Times New Roman"/>
          <w:iCs/>
        </w:rPr>
      </w:pPr>
      <w:r w:rsidRPr="009D66A6">
        <w:rPr>
          <w:rFonts w:ascii="Times New Roman" w:eastAsia="Calibri" w:hAnsi="Times New Roman" w:cs="Times New Roman"/>
          <w:iCs/>
        </w:rPr>
        <w:t>Návrhom zákona sa síce zvyšujú povinnosti pre obchodníkov s cennými papiermi, tieto však môžu viesť k skvalitneniu poskytovaných investičných služieb a aj k nárastu počtu klientov.</w:t>
      </w:r>
      <w:r w:rsidR="00C23C4E" w:rsidRPr="009D66A6">
        <w:rPr>
          <w:rFonts w:ascii="Times New Roman" w:eastAsia="Calibri" w:hAnsi="Times New Roman" w:cs="Times New Roman"/>
          <w:iCs/>
        </w:rPr>
        <w:t xml:space="preserve"> Nepredpokladáme však významnú zmenu v prípade slovenských obchodníkov s cennými papiermi.</w:t>
      </w:r>
      <w:r w:rsidRPr="009D66A6">
        <w:rPr>
          <w:rFonts w:ascii="Times New Roman" w:eastAsia="Calibri" w:hAnsi="Times New Roman" w:cs="Times New Roman"/>
          <w:iCs/>
        </w:rPr>
        <w:t xml:space="preserve">   </w:t>
      </w:r>
    </w:p>
    <w:p w14:paraId="23327725" w14:textId="77777777" w:rsidR="005C1139" w:rsidRDefault="005C1139" w:rsidP="00054C41">
      <w:pPr>
        <w:spacing w:after="0"/>
        <w:jc w:val="both"/>
        <w:rPr>
          <w:rFonts w:ascii="Times New Roman" w:eastAsia="Calibri" w:hAnsi="Times New Roman" w:cs="Times New Roman"/>
          <w:i/>
          <w:sz w:val="24"/>
          <w:szCs w:val="24"/>
        </w:rPr>
      </w:pPr>
    </w:p>
    <w:p w14:paraId="51AFE519" w14:textId="77777777" w:rsidR="00C23C4E" w:rsidRPr="00D8247C" w:rsidRDefault="00C23C4E" w:rsidP="00054C41">
      <w:pPr>
        <w:spacing w:after="0"/>
        <w:jc w:val="both"/>
        <w:rPr>
          <w:rFonts w:ascii="Times New Roman" w:eastAsia="Calibri" w:hAnsi="Times New Roman" w:cs="Times New Roman"/>
          <w:i/>
          <w:sz w:val="24"/>
          <w:szCs w:val="24"/>
        </w:rPr>
      </w:pPr>
    </w:p>
    <w:p w14:paraId="5861187D"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Produktivita:</w:t>
      </w:r>
    </w:p>
    <w:p w14:paraId="1FF562C2"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Aký má materiál vplyv na zmenu pomeru medzi produkciou podnikov a ich nákladmi? </w:t>
      </w:r>
    </w:p>
    <w:p w14:paraId="23DA5CCF" w14:textId="77777777" w:rsidR="00054C41" w:rsidRPr="00D8247C" w:rsidRDefault="00054C41" w:rsidP="00054C41">
      <w:pPr>
        <w:spacing w:after="0"/>
        <w:jc w:val="both"/>
        <w:rPr>
          <w:rFonts w:ascii="Times New Roman" w:eastAsia="Calibri" w:hAnsi="Times New Roman" w:cs="Times New Roman"/>
          <w:i/>
          <w:sz w:val="24"/>
          <w:szCs w:val="24"/>
        </w:rPr>
      </w:pPr>
    </w:p>
    <w:p w14:paraId="0B272ABF"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uvedenej odpovede zaškrtnite a popíšte, či materiál produktivitu:</w:t>
      </w:r>
    </w:p>
    <w:p w14:paraId="789FA80A" w14:textId="7704250A" w:rsidR="00054C41" w:rsidRPr="00D8247C" w:rsidRDefault="00000000"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1545903528"/>
        </w:sdtPr>
        <w:sdtContent>
          <w:sdt>
            <w:sdtPr>
              <w:rPr>
                <w:rFonts w:ascii="Times New Roman" w:eastAsia="Calibri" w:hAnsi="Times New Roman" w:cs="Times New Roman"/>
                <w:i/>
                <w:sz w:val="24"/>
                <w:szCs w:val="24"/>
              </w:rPr>
              <w:id w:val="825715010"/>
            </w:sdt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353966921"/>
        </w:sdtPr>
        <w:sdtContent>
          <w:sdt>
            <w:sdtPr>
              <w:rPr>
                <w:rFonts w:ascii="Times New Roman" w:eastAsia="Calibri" w:hAnsi="Times New Roman" w:cs="Times New Roman"/>
                <w:i/>
                <w:sz w:val="24"/>
                <w:szCs w:val="24"/>
              </w:rPr>
              <w:id w:val="-1222205104"/>
            </w:sdtPr>
            <w:sdtContent>
              <w:r w:rsidR="00C23C4E">
                <w:rPr>
                  <w:rFonts w:ascii="Segoe UI Symbol" w:eastAsia="Calibri" w:hAnsi="Segoe UI Symbol" w:cs="Segoe UI Symbol"/>
                  <w:i/>
                  <w:sz w:val="24"/>
                  <w:szCs w:val="24"/>
                </w:rPr>
                <w:t>x</w:t>
              </w:r>
            </w:sdtContent>
          </w:sdt>
        </w:sdtContent>
      </w:sdt>
      <w:r w:rsidR="00054C41" w:rsidRPr="00D8247C">
        <w:rPr>
          <w:rFonts w:ascii="Times New Roman" w:eastAsia="Calibri" w:hAnsi="Times New Roman" w:cs="Times New Roman"/>
          <w:i/>
          <w:sz w:val="24"/>
          <w:szCs w:val="24"/>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1457723544"/>
        </w:sdtPr>
        <w:sdtContent>
          <w:sdt>
            <w:sdtPr>
              <w:rPr>
                <w:rFonts w:ascii="Times New Roman" w:eastAsia="Calibri" w:hAnsi="Times New Roman" w:cs="Times New Roman"/>
                <w:i/>
                <w:sz w:val="24"/>
                <w:szCs w:val="24"/>
              </w:rPr>
              <w:id w:val="-623767955"/>
            </w:sdt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1FFE92DA" w14:textId="77777777" w:rsidR="00054C41" w:rsidRPr="00D8247C" w:rsidRDefault="00054C41" w:rsidP="00054C41">
      <w:pPr>
        <w:spacing w:after="0"/>
        <w:jc w:val="both"/>
        <w:rPr>
          <w:rFonts w:ascii="Times New Roman" w:eastAsia="Calibri" w:hAnsi="Times New Roman" w:cs="Times New Roman"/>
          <w:i/>
          <w:sz w:val="24"/>
          <w:szCs w:val="24"/>
        </w:rPr>
      </w:pPr>
    </w:p>
    <w:p w14:paraId="04547B8F" w14:textId="517A1D14" w:rsidR="00054C41" w:rsidRPr="009D66A6" w:rsidRDefault="005C1139" w:rsidP="00054C41">
      <w:pPr>
        <w:spacing w:after="0"/>
        <w:jc w:val="both"/>
        <w:rPr>
          <w:rFonts w:ascii="Times New Roman" w:eastAsia="Calibri" w:hAnsi="Times New Roman" w:cs="Times New Roman"/>
          <w:iCs/>
        </w:rPr>
      </w:pPr>
      <w:r w:rsidRPr="009D66A6">
        <w:rPr>
          <w:rFonts w:ascii="Times New Roman" w:eastAsia="Calibri" w:hAnsi="Times New Roman" w:cs="Times New Roman"/>
          <w:iCs/>
        </w:rPr>
        <w:t>Zastávame názor, že návrh zákona prináša veľa príležitostí na skvalitnenie poskytovaných investičných služieb, čo sa môže pozitívne prejaviť aj na pomere  tržieb oproti nákladom.</w:t>
      </w:r>
      <w:r w:rsidR="00C23C4E" w:rsidRPr="009D66A6">
        <w:rPr>
          <w:rFonts w:ascii="Times New Roman" w:eastAsia="Calibri" w:hAnsi="Times New Roman" w:cs="Times New Roman"/>
          <w:iCs/>
        </w:rPr>
        <w:t xml:space="preserve"> </w:t>
      </w:r>
      <w:r w:rsidRPr="009D66A6">
        <w:rPr>
          <w:rFonts w:ascii="Times New Roman" w:eastAsia="Calibri" w:hAnsi="Times New Roman" w:cs="Times New Roman"/>
          <w:iCs/>
        </w:rPr>
        <w:t xml:space="preserve">   </w:t>
      </w:r>
    </w:p>
    <w:p w14:paraId="3814BF91" w14:textId="77777777" w:rsidR="00E30D85" w:rsidRPr="005C1139" w:rsidRDefault="00E30D85" w:rsidP="00054C41">
      <w:pPr>
        <w:spacing w:after="0"/>
        <w:jc w:val="both"/>
        <w:rPr>
          <w:rFonts w:ascii="Times New Roman" w:eastAsia="Calibri" w:hAnsi="Times New Roman" w:cs="Times New Roman"/>
          <w:iCs/>
          <w:sz w:val="24"/>
          <w:szCs w:val="24"/>
        </w:rPr>
      </w:pPr>
    </w:p>
    <w:p w14:paraId="0F05F45F"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 xml:space="preserve">3.4  Iné vplyvy na podnikateľské prostredie </w:t>
      </w:r>
    </w:p>
    <w:p w14:paraId="727C9A0E" w14:textId="77777777" w:rsidR="00FF414B" w:rsidRDefault="00FF414B" w:rsidP="00FF414B">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Ak má materiál vplyvy na PP, ktoré nemožno zaradiť do predchádzajúcich častí, či už pozitívne alebo negatívne, tu ich uveďte.  Patria sem: </w:t>
      </w:r>
    </w:p>
    <w:p w14:paraId="312EF81C" w14:textId="77777777"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vplyvy súvisiace so žiadosťami o alebo prijímaním dotácií, fondov, štátnej pomoci a čerpaním iných obdobných foriem podpory zo strany štátu, keďže sú sprievodným javom uchádzania sa či získania benefitov, na ktoré nie je právny nárok priamo zo zákona, ale vzniká na základe prejavu vôle dotknutého subjektu;</w:t>
      </w:r>
    </w:p>
    <w:p w14:paraId="71F108BC" w14:textId="77777777"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regulované ceny podľa zákona č. 18/1996 Z. z. o cenách;</w:t>
      </w:r>
    </w:p>
    <w:p w14:paraId="46E907D6" w14:textId="77777777" w:rsidR="00FF414B" w:rsidRPr="00F244DC"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iné </w:t>
      </w:r>
      <w:r w:rsidRPr="00F244DC">
        <w:rPr>
          <w:rFonts w:ascii="Times New Roman" w:eastAsia="Calibri" w:hAnsi="Times New Roman" w:cs="Times New Roman"/>
          <w:i/>
          <w:sz w:val="24"/>
          <w:szCs w:val="24"/>
        </w:rPr>
        <w:t>vplyvy, ktoré predpokladá materiál, ale nemožno ich zaradiť do častí 3.1 a 3.3.</w:t>
      </w:r>
      <w:r w:rsidR="00E214C0" w:rsidRPr="00F244DC">
        <w:rPr>
          <w:rFonts w:ascii="Times New Roman" w:eastAsia="Calibri" w:hAnsi="Times New Roman" w:cs="Times New Roman"/>
          <w:i/>
          <w:sz w:val="24"/>
          <w:szCs w:val="24"/>
        </w:rPr>
        <w:t>,</w:t>
      </w:r>
    </w:p>
    <w:p w14:paraId="74DE7A2D" w14:textId="77777777" w:rsidR="00D114ED" w:rsidRPr="00F244DC" w:rsidRDefault="00D114ED" w:rsidP="00D114ED">
      <w:pPr>
        <w:pStyle w:val="Odsekzoznamu"/>
        <w:numPr>
          <w:ilvl w:val="0"/>
          <w:numId w:val="6"/>
        </w:numPr>
        <w:spacing w:after="0" w:line="254" w:lineRule="auto"/>
        <w:jc w:val="both"/>
        <w:rPr>
          <w:rFonts w:ascii="Times New Roman" w:eastAsia="Calibri" w:hAnsi="Times New Roman" w:cs="Times New Roman"/>
          <w:i/>
          <w:sz w:val="24"/>
          <w:szCs w:val="24"/>
        </w:rPr>
      </w:pPr>
      <w:r w:rsidRPr="00F244DC">
        <w:rPr>
          <w:rFonts w:ascii="Times New Roman" w:eastAsia="Calibri" w:hAnsi="Times New Roman" w:cs="Times New Roman"/>
          <w:i/>
          <w:sz w:val="24"/>
          <w:szCs w:val="24"/>
        </w:rPr>
        <w:t xml:space="preserve">iné vplyvy podľa písm. a) až c), ktoré sú </w:t>
      </w:r>
      <w:proofErr w:type="spellStart"/>
      <w:r w:rsidRPr="00F244DC">
        <w:rPr>
          <w:rFonts w:ascii="Times New Roman" w:eastAsia="Calibri" w:hAnsi="Times New Roman" w:cs="Times New Roman"/>
          <w:i/>
          <w:sz w:val="24"/>
          <w:szCs w:val="24"/>
        </w:rPr>
        <w:t>goldplatingom</w:t>
      </w:r>
      <w:proofErr w:type="spellEnd"/>
      <w:r w:rsidRPr="00F244DC">
        <w:rPr>
          <w:rFonts w:ascii="Times New Roman" w:eastAsia="Calibri" w:hAnsi="Times New Roman" w:cs="Times New Roman"/>
          <w:i/>
          <w:sz w:val="24"/>
          <w:szCs w:val="24"/>
        </w:rPr>
        <w:t>.</w:t>
      </w:r>
    </w:p>
    <w:p w14:paraId="3C7DF47B" w14:textId="4C7E4BB0" w:rsidR="00C909C0" w:rsidRDefault="00B34273" w:rsidP="00B370F8">
      <w:pPr>
        <w:spacing w:before="120" w:after="120" w:line="240" w:lineRule="auto"/>
        <w:rPr>
          <w:rFonts w:ascii="Times New Roman" w:eastAsia="Times New Roman" w:hAnsi="Times New Roman" w:cs="Times New Roman"/>
          <w:bCs/>
          <w:lang w:eastAsia="sk-SK"/>
        </w:rPr>
      </w:pPr>
      <w:r>
        <w:rPr>
          <w:rFonts w:ascii="Times New Roman" w:eastAsia="Times New Roman" w:hAnsi="Times New Roman" w:cs="Times New Roman"/>
          <w:bCs/>
          <w:lang w:eastAsia="sk-SK"/>
        </w:rPr>
        <w:t>M</w:t>
      </w:r>
      <w:r w:rsidR="00C909C0">
        <w:rPr>
          <w:rFonts w:ascii="Times New Roman" w:eastAsia="Times New Roman" w:hAnsi="Times New Roman" w:cs="Times New Roman"/>
          <w:bCs/>
          <w:lang w:eastAsia="sk-SK"/>
        </w:rPr>
        <w:t>edzi iné vplyvy uvádzame niektoré ustanovenia, na základe ktorých je možné vykonávať niektoré činnosti, s čím sú spojené aj následné povinnosti:</w:t>
      </w:r>
    </w:p>
    <w:p w14:paraId="6A201D8A" w14:textId="615CF7A3" w:rsidR="00B370F8" w:rsidRDefault="00C909C0" w:rsidP="00B370F8">
      <w:pPr>
        <w:spacing w:before="120" w:after="120" w:line="240" w:lineRule="auto"/>
        <w:jc w:val="both"/>
        <w:rPr>
          <w:rFonts w:ascii="Times New Roman" w:eastAsia="Times New Roman" w:hAnsi="Times New Roman" w:cs="Times New Roman"/>
          <w:bCs/>
          <w:lang w:eastAsia="sk-SK"/>
        </w:rPr>
      </w:pPr>
      <w:r>
        <w:rPr>
          <w:rFonts w:ascii="Times New Roman" w:eastAsia="Times New Roman" w:hAnsi="Times New Roman" w:cs="Times New Roman"/>
          <w:bCs/>
          <w:lang w:eastAsia="sk-SK"/>
        </w:rPr>
        <w:t>§ 54 ods. 7</w:t>
      </w:r>
      <w:r w:rsidR="00B370F8">
        <w:rPr>
          <w:rFonts w:ascii="Times New Roman" w:eastAsia="Times New Roman" w:hAnsi="Times New Roman" w:cs="Times New Roman"/>
          <w:bCs/>
          <w:lang w:eastAsia="sk-SK"/>
        </w:rPr>
        <w:t xml:space="preserve"> zákona č. 566/2001 Z. z.</w:t>
      </w:r>
      <w:r>
        <w:rPr>
          <w:rFonts w:ascii="Times New Roman" w:eastAsia="Times New Roman" w:hAnsi="Times New Roman" w:cs="Times New Roman"/>
          <w:bCs/>
          <w:lang w:eastAsia="sk-SK"/>
        </w:rPr>
        <w:t xml:space="preserve"> – navrhuje sa, aby povolenie na poskytovanie investičných služieb nebolo vnímané ako výhradná licencia, a obchodník s cennými papiermi mohol vykonávať aj iné činnosti nad rámec daného povoleni</w:t>
      </w:r>
      <w:r w:rsidR="00B370F8">
        <w:rPr>
          <w:rFonts w:ascii="Times New Roman" w:eastAsia="Times New Roman" w:hAnsi="Times New Roman" w:cs="Times New Roman"/>
          <w:bCs/>
          <w:lang w:eastAsia="sk-SK"/>
        </w:rPr>
        <w:t>a</w:t>
      </w:r>
      <w:r>
        <w:rPr>
          <w:rFonts w:ascii="Times New Roman" w:eastAsia="Times New Roman" w:hAnsi="Times New Roman" w:cs="Times New Roman"/>
          <w:bCs/>
          <w:lang w:eastAsia="sk-SK"/>
        </w:rPr>
        <w:t xml:space="preserve"> (napr. predaj obchodného softwaru, poskytovanie odborného poradenstva, </w:t>
      </w:r>
      <w:r w:rsidR="00B370F8">
        <w:rPr>
          <w:rFonts w:ascii="Times New Roman" w:eastAsia="Times New Roman" w:hAnsi="Times New Roman" w:cs="Times New Roman"/>
          <w:bCs/>
          <w:lang w:eastAsia="sk-SK"/>
        </w:rPr>
        <w:t xml:space="preserve">vývoj a výskum v oblasti finančných služieb, </w:t>
      </w:r>
      <w:proofErr w:type="spellStart"/>
      <w:r w:rsidR="00B370F8">
        <w:rPr>
          <w:rFonts w:ascii="Times New Roman" w:eastAsia="Times New Roman" w:hAnsi="Times New Roman" w:cs="Times New Roman"/>
          <w:bCs/>
          <w:lang w:eastAsia="sk-SK"/>
        </w:rPr>
        <w:t>apd</w:t>
      </w:r>
      <w:proofErr w:type="spellEnd"/>
      <w:r w:rsidR="00B370F8">
        <w:rPr>
          <w:rFonts w:ascii="Times New Roman" w:eastAsia="Times New Roman" w:hAnsi="Times New Roman" w:cs="Times New Roman"/>
          <w:bCs/>
          <w:lang w:eastAsia="sk-SK"/>
        </w:rPr>
        <w:t>.)</w:t>
      </w:r>
      <w:r>
        <w:rPr>
          <w:rFonts w:ascii="Times New Roman" w:eastAsia="Times New Roman" w:hAnsi="Times New Roman" w:cs="Times New Roman"/>
          <w:bCs/>
          <w:lang w:eastAsia="sk-SK"/>
        </w:rPr>
        <w:t xml:space="preserve">  </w:t>
      </w:r>
      <w:r w:rsidR="00B370F8">
        <w:rPr>
          <w:rFonts w:ascii="Times New Roman" w:eastAsia="Times New Roman" w:hAnsi="Times New Roman" w:cs="Times New Roman"/>
          <w:bCs/>
          <w:lang w:eastAsia="sk-SK"/>
        </w:rPr>
        <w:t xml:space="preserve">Nepredpokladáme však, že by obchodníci s cennými papiermi  chceli masovo vykonávať aj inú podnikateľskú činnosť okrem samotného poskytovania investičných služieb. </w:t>
      </w:r>
    </w:p>
    <w:p w14:paraId="77D0649C" w14:textId="2075D64B" w:rsidR="00B370F8" w:rsidRDefault="00B370F8" w:rsidP="00B370F8">
      <w:pPr>
        <w:spacing w:before="120" w:after="120" w:line="240" w:lineRule="auto"/>
        <w:jc w:val="both"/>
        <w:rPr>
          <w:rFonts w:ascii="Times New Roman" w:eastAsia="Times New Roman" w:hAnsi="Times New Roman" w:cs="Times New Roman"/>
          <w:bCs/>
          <w:lang w:eastAsia="sk-SK"/>
        </w:rPr>
      </w:pPr>
      <w:r>
        <w:rPr>
          <w:rFonts w:ascii="Times New Roman" w:eastAsia="Times New Roman" w:hAnsi="Times New Roman" w:cs="Times New Roman"/>
          <w:bCs/>
          <w:lang w:eastAsia="sk-SK"/>
        </w:rPr>
        <w:t xml:space="preserve">§ 144 ods. 1 písm. ah) zákona č. 566/2001 Z. z.  – zavádza sa možnosť pre Národnú banku Slovenska uložiť obchodníkovi s cennými papiermi povinnosť znížiť expozície voči centrálnej protistrane. Nepredpokladáme však významné expozície slovenských obchodníkov s cennými papiermi voči centrálnym protistranám, a teda ani využitie tohto ustanovenia v praxi. </w:t>
      </w:r>
    </w:p>
    <w:p w14:paraId="67236AA5" w14:textId="24C136DD" w:rsidR="00C909C0" w:rsidRDefault="00B370F8" w:rsidP="00B370F8">
      <w:pPr>
        <w:spacing w:after="120" w:line="240" w:lineRule="auto"/>
        <w:jc w:val="both"/>
        <w:rPr>
          <w:rFonts w:ascii="Times New Roman" w:eastAsia="Times New Roman" w:hAnsi="Times New Roman" w:cs="Times New Roman"/>
          <w:bCs/>
          <w:lang w:eastAsia="sk-SK"/>
        </w:rPr>
      </w:pPr>
      <w:r>
        <w:rPr>
          <w:rFonts w:ascii="Times New Roman" w:eastAsia="Times New Roman" w:hAnsi="Times New Roman" w:cs="Times New Roman"/>
          <w:bCs/>
          <w:lang w:eastAsia="sk-SK"/>
        </w:rPr>
        <w:t xml:space="preserve">§ 56 zákona č. 429/2002 Z. z. – umožňuje sa registrácia segmentu  rastového trhu, v SR však neexistuje ani rastový trh, a teda nepredpokladáme využitie tohto ustanovenia v praxi.          </w:t>
      </w:r>
      <w:r w:rsidR="00C909C0">
        <w:rPr>
          <w:rFonts w:ascii="Times New Roman" w:eastAsia="Times New Roman" w:hAnsi="Times New Roman" w:cs="Times New Roman"/>
          <w:bCs/>
          <w:lang w:eastAsia="sk-SK"/>
        </w:rPr>
        <w:t xml:space="preserve"> </w:t>
      </w:r>
    </w:p>
    <w:p w14:paraId="4442CDD8" w14:textId="44958C6E" w:rsidR="00C909C0" w:rsidRDefault="00CF66DD" w:rsidP="00CF66DD">
      <w:pPr>
        <w:spacing w:after="0" w:line="240" w:lineRule="auto"/>
        <w:jc w:val="both"/>
        <w:rPr>
          <w:rFonts w:ascii="Times New Roman" w:eastAsia="Times New Roman" w:hAnsi="Times New Roman" w:cs="Times New Roman"/>
          <w:bCs/>
          <w:lang w:eastAsia="sk-SK"/>
        </w:rPr>
      </w:pPr>
      <w:r>
        <w:rPr>
          <w:rFonts w:ascii="Times New Roman" w:eastAsia="Times New Roman" w:hAnsi="Times New Roman" w:cs="Times New Roman"/>
          <w:bCs/>
          <w:lang w:eastAsia="sk-SK"/>
        </w:rPr>
        <w:t>Nakoľko sa nepredpokladá vznik samostatného segmentu rastového trhu, ktorý by organizovala Burza cenných papierov v Bratislave, a.</w:t>
      </w:r>
      <w:r w:rsidR="009D66A6">
        <w:rPr>
          <w:rFonts w:ascii="Times New Roman" w:eastAsia="Times New Roman" w:hAnsi="Times New Roman" w:cs="Times New Roman"/>
          <w:bCs/>
          <w:lang w:eastAsia="sk-SK"/>
        </w:rPr>
        <w:t xml:space="preserve"> </w:t>
      </w:r>
      <w:r>
        <w:rPr>
          <w:rFonts w:ascii="Times New Roman" w:eastAsia="Times New Roman" w:hAnsi="Times New Roman" w:cs="Times New Roman"/>
          <w:bCs/>
          <w:lang w:eastAsia="sk-SK"/>
        </w:rPr>
        <w:t xml:space="preserve">s., nasledovné regulácie boli len </w:t>
      </w:r>
      <w:r w:rsidR="00625C95">
        <w:rPr>
          <w:rFonts w:ascii="Times New Roman" w:eastAsia="Times New Roman" w:hAnsi="Times New Roman" w:cs="Times New Roman"/>
          <w:bCs/>
          <w:lang w:eastAsia="sk-SK"/>
        </w:rPr>
        <w:t>popísané</w:t>
      </w:r>
      <w:r>
        <w:rPr>
          <w:rFonts w:ascii="Times New Roman" w:eastAsia="Times New Roman" w:hAnsi="Times New Roman" w:cs="Times New Roman"/>
          <w:bCs/>
          <w:lang w:eastAsia="sk-SK"/>
        </w:rPr>
        <w:t xml:space="preserve">, avšak s vysokou  pravdepodobnosťou sa nebudú aplikovať:    </w:t>
      </w:r>
    </w:p>
    <w:p w14:paraId="7420939C" w14:textId="77777777" w:rsidR="00CF66DD" w:rsidRPr="00CF66DD" w:rsidRDefault="00CF66DD" w:rsidP="00046C74">
      <w:pPr>
        <w:pStyle w:val="Odsekzoznamu"/>
        <w:spacing w:after="120"/>
        <w:ind w:left="426"/>
        <w:jc w:val="both"/>
        <w:rPr>
          <w:rFonts w:ascii="Times New Roman" w:eastAsia="Calibri" w:hAnsi="Times New Roman" w:cs="Times New Roman"/>
          <w:iCs/>
        </w:rPr>
      </w:pPr>
      <w:r w:rsidRPr="00CF66DD">
        <w:rPr>
          <w:rFonts w:ascii="Times New Roman" w:eastAsia="Calibri" w:hAnsi="Times New Roman" w:cs="Times New Roman"/>
          <w:iCs/>
        </w:rPr>
        <w:t xml:space="preserve">§ 56(4) zákona č. 566/2001 – ak by burza cenných papierov zaviedla segment rastového trhu alebo rastový trh, bola by povinná mať aj pravidlá pre segment rastového trhu. Nepredpokladáme vznik samostatného segmentu rastového trhu, teoreticky však boli započítané náklady na prípravu pravidiel pre segment rastového trhu.   </w:t>
      </w:r>
    </w:p>
    <w:p w14:paraId="20CBCFF8" w14:textId="77777777" w:rsidR="00CF66DD" w:rsidRPr="00046C74" w:rsidRDefault="00CF66DD" w:rsidP="00046C74">
      <w:pPr>
        <w:spacing w:after="120"/>
        <w:ind w:left="360"/>
        <w:jc w:val="both"/>
        <w:rPr>
          <w:rFonts w:ascii="Times New Roman" w:eastAsia="Calibri" w:hAnsi="Times New Roman" w:cs="Times New Roman"/>
          <w:iCs/>
        </w:rPr>
      </w:pPr>
      <w:r w:rsidRPr="00046C74">
        <w:rPr>
          <w:rFonts w:ascii="Times New Roman" w:eastAsia="Calibri" w:hAnsi="Times New Roman" w:cs="Times New Roman"/>
          <w:iCs/>
        </w:rPr>
        <w:t xml:space="preserve">§ 56(4)(a) zákona č. 429/2002 Z. z. – odlíšenie segmentu MTF od ostatných segmentov trhu  - nepredpokladáme vznik samostatného segmentu rastového trhu, ak by však vznikol, teoreticky boli započítané náklady na odlíšenie daného segmentu od iných trhov (náklady na marketing). </w:t>
      </w:r>
    </w:p>
    <w:p w14:paraId="0ABC56BE" w14:textId="295F3589" w:rsidR="00C909C0" w:rsidRPr="00B34273" w:rsidRDefault="00B34273" w:rsidP="00B34273">
      <w:pPr>
        <w:spacing w:after="0" w:line="240" w:lineRule="auto"/>
        <w:jc w:val="both"/>
        <w:rPr>
          <w:rFonts w:ascii="Times New Roman" w:eastAsia="Times New Roman" w:hAnsi="Times New Roman" w:cs="Times New Roman"/>
          <w:bCs/>
          <w:lang w:eastAsia="sk-SK"/>
        </w:rPr>
      </w:pPr>
      <w:r w:rsidRPr="00B34273">
        <w:rPr>
          <w:rFonts w:ascii="Times New Roman" w:eastAsia="Times New Roman" w:hAnsi="Times New Roman" w:cs="Times New Roman"/>
          <w:bCs/>
          <w:lang w:eastAsia="sk-SK"/>
        </w:rPr>
        <w:t>Zároveň sa mení § 120 zákona</w:t>
      </w:r>
      <w:r>
        <w:rPr>
          <w:rFonts w:ascii="Times New Roman" w:eastAsia="Times New Roman" w:hAnsi="Times New Roman" w:cs="Times New Roman"/>
          <w:bCs/>
          <w:lang w:eastAsia="sk-SK"/>
        </w:rPr>
        <w:t xml:space="preserve"> č. 566/2001 Z. z., kde v súlade s cieľom Európskej únie zatraktívniť verejné kapitálové trhy a uľahčiť malým a stredným podnikom prístup ku kapitálu Slovenská republika využila možnosť podľa Nariadenia (EÚ) 2024/2809 nepožadovať zverejnenie prospektu cenných papierov pod limitom 5 mil</w:t>
      </w:r>
      <w:r w:rsidR="009D66A6">
        <w:rPr>
          <w:rFonts w:ascii="Times New Roman" w:eastAsia="Times New Roman" w:hAnsi="Times New Roman" w:cs="Times New Roman"/>
          <w:bCs/>
          <w:lang w:eastAsia="sk-SK"/>
        </w:rPr>
        <w:t>.</w:t>
      </w:r>
      <w:r>
        <w:rPr>
          <w:rFonts w:ascii="Times New Roman" w:eastAsia="Times New Roman" w:hAnsi="Times New Roman" w:cs="Times New Roman"/>
          <w:bCs/>
          <w:lang w:eastAsia="sk-SK"/>
        </w:rPr>
        <w:t xml:space="preserve"> eur. Tým je možné eliminovať náklady spojené s vypracovaním a zverejnením prospektu cenných papierov. Nepredpokladáme však, že tento prístup zásadne zmení pohľad emitentov zo strany MSP na získavanie kapitálu cez kapitálové trhu, keďže závislosť MSP na financovaní prostredníctvom bánk je značne vysoká v Slovenskej republike.                   </w:t>
      </w:r>
      <w:r w:rsidRPr="00B34273">
        <w:rPr>
          <w:rFonts w:ascii="Times New Roman" w:eastAsia="Times New Roman" w:hAnsi="Times New Roman" w:cs="Times New Roman"/>
          <w:bCs/>
          <w:lang w:eastAsia="sk-SK"/>
        </w:rPr>
        <w:t xml:space="preserve"> </w:t>
      </w:r>
    </w:p>
    <w:p w14:paraId="47A4B2DA" w14:textId="77777777" w:rsidR="00142154" w:rsidRDefault="00142154" w:rsidP="00046C74"/>
    <w:sectPr w:rsidR="00142154" w:rsidSect="00231B8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020A9D" w14:textId="77777777" w:rsidR="00883635" w:rsidRDefault="00883635" w:rsidP="00054C41">
      <w:pPr>
        <w:spacing w:after="0" w:line="240" w:lineRule="auto"/>
      </w:pPr>
      <w:r>
        <w:separator/>
      </w:r>
    </w:p>
  </w:endnote>
  <w:endnote w:type="continuationSeparator" w:id="0">
    <w:p w14:paraId="158AA09D" w14:textId="77777777" w:rsidR="00883635" w:rsidRDefault="00883635" w:rsidP="00054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MT"/>
    <w:panose1 w:val="02020603050405020304"/>
    <w:charset w:val="EE"/>
    <w:family w:val="roman"/>
    <w:pitch w:val="variable"/>
    <w:sig w:usb0="E0002EFF" w:usb1="C000785B" w:usb2="00000009" w:usb3="00000000" w:csb0="000001FF" w:csb1="00000000"/>
  </w:font>
  <w:font w:name="Calibri">
    <w:altName w:val="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6035099"/>
      <w:docPartObj>
        <w:docPartGallery w:val="Page Numbers (Bottom of Page)"/>
        <w:docPartUnique/>
      </w:docPartObj>
    </w:sdtPr>
    <w:sdtEndPr>
      <w:rPr>
        <w:rFonts w:ascii="Times New Roman" w:hAnsi="Times New Roman" w:cs="Times New Roman"/>
        <w:sz w:val="24"/>
        <w:szCs w:val="24"/>
      </w:rPr>
    </w:sdtEndPr>
    <w:sdtContent>
      <w:p w14:paraId="5D55F2F5" w14:textId="3F830A42" w:rsidR="00F244DC" w:rsidRPr="006045CB" w:rsidRDefault="00F244DC" w:rsidP="00054C41">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6D13B6">
          <w:rPr>
            <w:rFonts w:ascii="Times New Roman" w:hAnsi="Times New Roman" w:cs="Times New Roman"/>
            <w:noProof/>
            <w:sz w:val="24"/>
            <w:szCs w:val="24"/>
          </w:rPr>
          <w:t>1</w:t>
        </w:r>
        <w:r w:rsidRPr="006045CB">
          <w:rPr>
            <w:rFonts w:ascii="Times New Roman" w:hAnsi="Times New Roman" w:cs="Times New Roman"/>
            <w:sz w:val="24"/>
            <w:szCs w:val="24"/>
          </w:rPr>
          <w:fldChar w:fldCharType="end"/>
        </w:r>
      </w:p>
    </w:sdtContent>
  </w:sdt>
  <w:p w14:paraId="4556761F" w14:textId="77777777" w:rsidR="00F244DC" w:rsidRPr="00FF7125" w:rsidRDefault="00F244DC" w:rsidP="00054C41">
    <w:pPr>
      <w:pStyle w:val="Pta"/>
      <w:rPr>
        <w:sz w:val="24"/>
        <w:szCs w:val="24"/>
      </w:rPr>
    </w:pPr>
  </w:p>
  <w:p w14:paraId="20FE6A4A" w14:textId="77777777" w:rsidR="00F244DC" w:rsidRDefault="00F244DC">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466C84" w14:textId="77777777" w:rsidR="00883635" w:rsidRDefault="00883635" w:rsidP="00054C41">
      <w:pPr>
        <w:spacing w:after="0" w:line="240" w:lineRule="auto"/>
      </w:pPr>
      <w:r>
        <w:separator/>
      </w:r>
    </w:p>
  </w:footnote>
  <w:footnote w:type="continuationSeparator" w:id="0">
    <w:p w14:paraId="42F25AE8" w14:textId="77777777" w:rsidR="00883635" w:rsidRDefault="00883635" w:rsidP="00054C41">
      <w:pPr>
        <w:spacing w:after="0" w:line="240" w:lineRule="auto"/>
      </w:pPr>
      <w:r>
        <w:continuationSeparator/>
      </w:r>
    </w:p>
  </w:footnote>
  <w:footnote w:id="1">
    <w:p w14:paraId="6CC680CB" w14:textId="6BF8CDC6" w:rsidR="00F244DC" w:rsidRPr="000A6B7F" w:rsidRDefault="00F244DC" w:rsidP="00C929AE">
      <w:pPr>
        <w:pStyle w:val="Textpoznmkypodiarou"/>
        <w:rPr>
          <w:rFonts w:ascii="Times New Roman" w:hAnsi="Times New Roman" w:cs="Times New Roman"/>
        </w:rPr>
      </w:pPr>
      <w:r>
        <w:rPr>
          <w:rStyle w:val="Odkaznapoznmkupodiarou"/>
        </w:rPr>
        <w:footnoteRef/>
      </w:r>
      <w:r>
        <w:t xml:space="preserve"> </w:t>
      </w:r>
      <w:r w:rsidRPr="000A6B7F">
        <w:rPr>
          <w:rFonts w:ascii="Times New Roman" w:hAnsi="Times New Roman" w:cs="Times New Roman"/>
        </w:rPr>
        <w:t xml:space="preserve">Definícia </w:t>
      </w:r>
      <w:proofErr w:type="spellStart"/>
      <w:r w:rsidRPr="000A6B7F">
        <w:rPr>
          <w:rFonts w:ascii="Times New Roman" w:hAnsi="Times New Roman" w:cs="Times New Roman"/>
        </w:rPr>
        <w:t>goldplatingu</w:t>
      </w:r>
      <w:proofErr w:type="spellEnd"/>
      <w:r w:rsidRPr="000A6B7F">
        <w:rPr>
          <w:rFonts w:ascii="Times New Roman" w:hAnsi="Times New Roman" w:cs="Times New Roman"/>
        </w:rPr>
        <w:t xml:space="preserve"> </w:t>
      </w:r>
      <w:r w:rsidRPr="00D114ED">
        <w:rPr>
          <w:rFonts w:ascii="Times New Roman" w:hAnsi="Times New Roman" w:cs="Times New Roman"/>
        </w:rPr>
        <w:t>je uvedená v bode 4 časti III. jednotnej metodiky.</w:t>
      </w:r>
    </w:p>
  </w:footnote>
  <w:footnote w:id="2">
    <w:p w14:paraId="1647D7DF" w14:textId="77777777" w:rsidR="00F244DC" w:rsidRPr="00804BC8" w:rsidRDefault="00F244DC" w:rsidP="00804BC8">
      <w:pPr>
        <w:pStyle w:val="Textpoznmkypodiarou"/>
        <w:jc w:val="both"/>
        <w:rPr>
          <w:rFonts w:ascii="Times New Roman" w:hAnsi="Times New Roman" w:cs="Times New Roman"/>
        </w:rPr>
      </w:pPr>
      <w:r w:rsidRPr="0099544D">
        <w:rPr>
          <w:rStyle w:val="Odkaznapoznmkupodiarou"/>
          <w:rFonts w:ascii="Times New Roman" w:hAnsi="Times New Roman" w:cs="Times New Roman"/>
        </w:rPr>
        <w:footnoteRef/>
      </w:r>
      <w:r w:rsidRPr="0099544D">
        <w:rPr>
          <w:rFonts w:ascii="Times New Roman" w:hAnsi="Times New Roman" w:cs="Times New Roman"/>
        </w:rPr>
        <w:t xml:space="preserve"> </w:t>
      </w:r>
      <w:r w:rsidRPr="00804BC8">
        <w:rPr>
          <w:rFonts w:ascii="Times New Roman" w:hAnsi="Times New Roman" w:cs="Times New Roman"/>
        </w:rPr>
        <w:t xml:space="preserve">Informácie sa uvádzajú  iba v prípade, ak sa predkladaným návrhom regulácie vykonáva transpozícia smernice </w:t>
      </w:r>
      <w:r w:rsidRPr="0099544D">
        <w:rPr>
          <w:rFonts w:ascii="Times New Roman" w:hAnsi="Times New Roman" w:cs="Times New Roman"/>
        </w:rPr>
        <w:t>EÚ</w:t>
      </w:r>
      <w:r w:rsidRPr="00804BC8">
        <w:rPr>
          <w:rFonts w:ascii="Times New Roman" w:hAnsi="Times New Roman" w:cs="Times New Roman"/>
        </w:rPr>
        <w:t xml:space="preserve"> a bol identifikovaný goldplating podľa tabuľky zhody alebo sa vykonáva implementácia nariadenia EÚ s </w:t>
      </w:r>
      <w:proofErr w:type="spellStart"/>
      <w:r w:rsidRPr="00804BC8">
        <w:rPr>
          <w:rFonts w:ascii="Times New Roman" w:hAnsi="Times New Roman" w:cs="Times New Roman"/>
        </w:rPr>
        <w:t>goldplatingom</w:t>
      </w:r>
      <w:proofErr w:type="spellEnd"/>
      <w:r w:rsidRPr="00804BC8">
        <w:rPr>
          <w:rFonts w:ascii="Times New Roman" w:hAnsi="Times New Roman" w:cs="Times New Roman"/>
        </w:rPr>
        <w:t>.</w:t>
      </w:r>
      <w:r>
        <w:rPr>
          <w:rFonts w:ascii="Times New Roman" w:hAnsi="Times New Roman" w:cs="Times New Roman"/>
        </w:rPr>
        <w:t xml:space="preserve"> Informácie sa uvádzajú aj v prípade</w:t>
      </w:r>
      <w:r w:rsidRPr="00CF4D09">
        <w:rPr>
          <w:rFonts w:ascii="Times New Roman" w:hAnsi="Times New Roman" w:cs="Times New Roman"/>
        </w:rPr>
        <w:t xml:space="preserve"> (ak nejde o transpozíciu smernice EÚ alebo implementáciu nariadenia EÚ)</w:t>
      </w:r>
      <w:r>
        <w:rPr>
          <w:rFonts w:ascii="Times New Roman" w:hAnsi="Times New Roman" w:cs="Times New Roman"/>
        </w:rPr>
        <w:t>, ak sa predloženým návrhom odstraňuje goldplating, ktorého pôvod je v skoršom zachovaní existujúcej právnej úpravy (existujúcich vnútroštátnych požiadaviek).</w:t>
      </w:r>
    </w:p>
    <w:p w14:paraId="5D313DAF" w14:textId="77777777" w:rsidR="00F244DC" w:rsidRDefault="00F244DC" w:rsidP="00512BA7">
      <w:pPr>
        <w:pStyle w:val="Textpoznmkypodiarou"/>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D8E6B" w14:textId="77777777" w:rsidR="00F244DC" w:rsidRPr="006045CB" w:rsidRDefault="00F244DC" w:rsidP="00142154">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sidRPr="006045CB">
      <w:rPr>
        <w:rFonts w:ascii="Times New Roman" w:eastAsia="Times New Roman" w:hAnsi="Times New Roman" w:cs="Times New Roman"/>
        <w:sz w:val="24"/>
        <w:szCs w:val="24"/>
        <w:lang w:eastAsia="sk-SK"/>
      </w:rPr>
      <w:t xml:space="preserve">Príloha č. </w:t>
    </w:r>
    <w:r>
      <w:rPr>
        <w:rFonts w:ascii="Times New Roman" w:eastAsia="Times New Roman" w:hAnsi="Times New Roman" w:cs="Times New Roman"/>
        <w:sz w:val="24"/>
        <w:szCs w:val="24"/>
        <w:lang w:eastAsia="sk-SK"/>
      </w:rPr>
      <w:t>3a</w:t>
    </w:r>
  </w:p>
  <w:p w14:paraId="4B2D726A" w14:textId="77777777" w:rsidR="00F244DC" w:rsidRPr="006045CB" w:rsidRDefault="00F244DC" w:rsidP="00142154">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862AB"/>
    <w:multiLevelType w:val="hybridMultilevel"/>
    <w:tmpl w:val="B13CCDC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6BA4A19"/>
    <w:multiLevelType w:val="hybridMultilevel"/>
    <w:tmpl w:val="4D4CC054"/>
    <w:lvl w:ilvl="0" w:tplc="041B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9A226B"/>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 w15:restartNumberingAfterBreak="0">
    <w:nsid w:val="16B66859"/>
    <w:multiLevelType w:val="hybridMultilevel"/>
    <w:tmpl w:val="6BFACF3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175E2235"/>
    <w:multiLevelType w:val="hybridMultilevel"/>
    <w:tmpl w:val="93EC2C24"/>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5" w15:restartNumberingAfterBreak="0">
    <w:nsid w:val="1F982F49"/>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329827A5"/>
    <w:multiLevelType w:val="hybridMultilevel"/>
    <w:tmpl w:val="A7BE92F0"/>
    <w:lvl w:ilvl="0" w:tplc="F57ADF26">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449B4294"/>
    <w:multiLevelType w:val="hybridMultilevel"/>
    <w:tmpl w:val="DB90B4D4"/>
    <w:lvl w:ilvl="0" w:tplc="A80C46B4">
      <w:start w:val="3"/>
      <w:numFmt w:val="bullet"/>
      <w:lvlText w:val="-"/>
      <w:lvlJc w:val="left"/>
      <w:pPr>
        <w:ind w:left="720" w:hanging="360"/>
      </w:pPr>
      <w:rPr>
        <w:rFonts w:ascii="Times New Roman" w:eastAsia="Calibri" w:hAnsi="Times New Roman" w:cs="Times New Roman" w:hint="default"/>
        <w:b/>
        <w:i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 w15:restartNumberingAfterBreak="0">
    <w:nsid w:val="59F7276D"/>
    <w:multiLevelType w:val="hybridMultilevel"/>
    <w:tmpl w:val="50AE822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 w15:restartNumberingAfterBreak="0">
    <w:nsid w:val="5AC45921"/>
    <w:multiLevelType w:val="hybridMultilevel"/>
    <w:tmpl w:val="5AFC05B4"/>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6BB7087E"/>
    <w:multiLevelType w:val="hybridMultilevel"/>
    <w:tmpl w:val="E96C5E58"/>
    <w:lvl w:ilvl="0" w:tplc="D870DA48">
      <w:start w:val="7"/>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6D21570F"/>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6F252805"/>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3" w15:restartNumberingAfterBreak="0">
    <w:nsid w:val="70BB77D5"/>
    <w:multiLevelType w:val="hybridMultilevel"/>
    <w:tmpl w:val="F7CE6636"/>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4" w15:restartNumberingAfterBreak="0">
    <w:nsid w:val="736C4BD0"/>
    <w:multiLevelType w:val="hybridMultilevel"/>
    <w:tmpl w:val="5AD88732"/>
    <w:lvl w:ilvl="0" w:tplc="3E049D20">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5" w15:restartNumberingAfterBreak="0">
    <w:nsid w:val="76FD0C6E"/>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145"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16cid:durableId="828249984">
    <w:abstractNumId w:val="3"/>
  </w:num>
  <w:num w:numId="2" w16cid:durableId="1195003262">
    <w:abstractNumId w:val="13"/>
  </w:num>
  <w:num w:numId="3" w16cid:durableId="878126822">
    <w:abstractNumId w:val="14"/>
  </w:num>
  <w:num w:numId="4" w16cid:durableId="1861119765">
    <w:abstractNumId w:val="12"/>
  </w:num>
  <w:num w:numId="5" w16cid:durableId="286469346">
    <w:abstractNumId w:val="9"/>
  </w:num>
  <w:num w:numId="6" w16cid:durableId="1953321325">
    <w:abstractNumId w:val="9"/>
  </w:num>
  <w:num w:numId="7" w16cid:durableId="1018315033">
    <w:abstractNumId w:val="14"/>
  </w:num>
  <w:num w:numId="8" w16cid:durableId="183136769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56460773">
    <w:abstractNumId w:val="11"/>
  </w:num>
  <w:num w:numId="10" w16cid:durableId="593589012">
    <w:abstractNumId w:val="5"/>
  </w:num>
  <w:num w:numId="11" w16cid:durableId="1282372585">
    <w:abstractNumId w:val="7"/>
  </w:num>
  <w:num w:numId="12" w16cid:durableId="365831364">
    <w:abstractNumId w:val="2"/>
  </w:num>
  <w:num w:numId="13" w16cid:durableId="1912151594">
    <w:abstractNumId w:val="15"/>
  </w:num>
  <w:num w:numId="14" w16cid:durableId="1481921869">
    <w:abstractNumId w:val="8"/>
  </w:num>
  <w:num w:numId="15" w16cid:durableId="176044982">
    <w:abstractNumId w:val="6"/>
  </w:num>
  <w:num w:numId="16" w16cid:durableId="540285480">
    <w:abstractNumId w:val="10"/>
  </w:num>
  <w:num w:numId="17" w16cid:durableId="1781678427">
    <w:abstractNumId w:val="0"/>
  </w:num>
  <w:num w:numId="18" w16cid:durableId="5818351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4C41"/>
    <w:rsid w:val="0002425A"/>
    <w:rsid w:val="00024EE4"/>
    <w:rsid w:val="00046C74"/>
    <w:rsid w:val="00047C70"/>
    <w:rsid w:val="00050AAB"/>
    <w:rsid w:val="00054A53"/>
    <w:rsid w:val="00054C41"/>
    <w:rsid w:val="00060DA1"/>
    <w:rsid w:val="00061E85"/>
    <w:rsid w:val="00075BA5"/>
    <w:rsid w:val="000820E0"/>
    <w:rsid w:val="00091A43"/>
    <w:rsid w:val="0009490E"/>
    <w:rsid w:val="000A6B7F"/>
    <w:rsid w:val="000C5419"/>
    <w:rsid w:val="000C5E9A"/>
    <w:rsid w:val="000C655E"/>
    <w:rsid w:val="000D15F0"/>
    <w:rsid w:val="0011003B"/>
    <w:rsid w:val="001133DA"/>
    <w:rsid w:val="00126A2B"/>
    <w:rsid w:val="00142154"/>
    <w:rsid w:val="001476A4"/>
    <w:rsid w:val="00162C6C"/>
    <w:rsid w:val="0016512E"/>
    <w:rsid w:val="00177D71"/>
    <w:rsid w:val="0018715C"/>
    <w:rsid w:val="001A1561"/>
    <w:rsid w:val="001B4C03"/>
    <w:rsid w:val="001C7B91"/>
    <w:rsid w:val="001D1083"/>
    <w:rsid w:val="001D3FA0"/>
    <w:rsid w:val="001E24E8"/>
    <w:rsid w:val="001E2661"/>
    <w:rsid w:val="001E53CB"/>
    <w:rsid w:val="00207F43"/>
    <w:rsid w:val="002232D3"/>
    <w:rsid w:val="00225A83"/>
    <w:rsid w:val="00231B8F"/>
    <w:rsid w:val="00252FFD"/>
    <w:rsid w:val="00270EA5"/>
    <w:rsid w:val="002712B9"/>
    <w:rsid w:val="00284B8C"/>
    <w:rsid w:val="0029483F"/>
    <w:rsid w:val="002B06AC"/>
    <w:rsid w:val="002C2FC0"/>
    <w:rsid w:val="00302A17"/>
    <w:rsid w:val="00314D25"/>
    <w:rsid w:val="00315BE2"/>
    <w:rsid w:val="00325FE0"/>
    <w:rsid w:val="003322EE"/>
    <w:rsid w:val="00337630"/>
    <w:rsid w:val="00340CFD"/>
    <w:rsid w:val="003413D5"/>
    <w:rsid w:val="00342621"/>
    <w:rsid w:val="00357F22"/>
    <w:rsid w:val="0036748D"/>
    <w:rsid w:val="00376039"/>
    <w:rsid w:val="0038255E"/>
    <w:rsid w:val="00391648"/>
    <w:rsid w:val="0039304E"/>
    <w:rsid w:val="0039334E"/>
    <w:rsid w:val="00394AD2"/>
    <w:rsid w:val="003A02AF"/>
    <w:rsid w:val="003A3124"/>
    <w:rsid w:val="003A686F"/>
    <w:rsid w:val="003E500E"/>
    <w:rsid w:val="003E58B8"/>
    <w:rsid w:val="003F06D7"/>
    <w:rsid w:val="00400224"/>
    <w:rsid w:val="00400BA5"/>
    <w:rsid w:val="00410E62"/>
    <w:rsid w:val="00414FA7"/>
    <w:rsid w:val="00420090"/>
    <w:rsid w:val="004239D1"/>
    <w:rsid w:val="00445638"/>
    <w:rsid w:val="00446432"/>
    <w:rsid w:val="00446512"/>
    <w:rsid w:val="00466D7A"/>
    <w:rsid w:val="0047337B"/>
    <w:rsid w:val="0048237B"/>
    <w:rsid w:val="00484D16"/>
    <w:rsid w:val="00491853"/>
    <w:rsid w:val="004A14CD"/>
    <w:rsid w:val="004A2C6B"/>
    <w:rsid w:val="004D20CB"/>
    <w:rsid w:val="004D65B2"/>
    <w:rsid w:val="004D681D"/>
    <w:rsid w:val="004E2324"/>
    <w:rsid w:val="004F63E6"/>
    <w:rsid w:val="005103DA"/>
    <w:rsid w:val="00511F8F"/>
    <w:rsid w:val="00512BA7"/>
    <w:rsid w:val="00515726"/>
    <w:rsid w:val="005613D9"/>
    <w:rsid w:val="00562527"/>
    <w:rsid w:val="00562A1E"/>
    <w:rsid w:val="00563427"/>
    <w:rsid w:val="00581EB9"/>
    <w:rsid w:val="005B4E6E"/>
    <w:rsid w:val="005B56E4"/>
    <w:rsid w:val="005C1139"/>
    <w:rsid w:val="005C795C"/>
    <w:rsid w:val="005D0E50"/>
    <w:rsid w:val="005D39D8"/>
    <w:rsid w:val="0061097B"/>
    <w:rsid w:val="0061612F"/>
    <w:rsid w:val="006177C8"/>
    <w:rsid w:val="00625C95"/>
    <w:rsid w:val="0062600A"/>
    <w:rsid w:val="006261AB"/>
    <w:rsid w:val="0063777D"/>
    <w:rsid w:val="00643358"/>
    <w:rsid w:val="00646084"/>
    <w:rsid w:val="006564C3"/>
    <w:rsid w:val="006578CB"/>
    <w:rsid w:val="006A4E85"/>
    <w:rsid w:val="006A60C0"/>
    <w:rsid w:val="006A712F"/>
    <w:rsid w:val="006B5D74"/>
    <w:rsid w:val="006C25BE"/>
    <w:rsid w:val="006D13B6"/>
    <w:rsid w:val="006D7AD8"/>
    <w:rsid w:val="006F1D57"/>
    <w:rsid w:val="0070364C"/>
    <w:rsid w:val="00706079"/>
    <w:rsid w:val="00710EDF"/>
    <w:rsid w:val="0072221D"/>
    <w:rsid w:val="0072357C"/>
    <w:rsid w:val="007259CB"/>
    <w:rsid w:val="00726031"/>
    <w:rsid w:val="00751DA9"/>
    <w:rsid w:val="00755E69"/>
    <w:rsid w:val="007571FE"/>
    <w:rsid w:val="007648EE"/>
    <w:rsid w:val="0077106D"/>
    <w:rsid w:val="00780ACC"/>
    <w:rsid w:val="007831C4"/>
    <w:rsid w:val="00787A11"/>
    <w:rsid w:val="00797B40"/>
    <w:rsid w:val="007A0C9D"/>
    <w:rsid w:val="007B267B"/>
    <w:rsid w:val="007B40FB"/>
    <w:rsid w:val="007B62AF"/>
    <w:rsid w:val="007E24B2"/>
    <w:rsid w:val="007E2DA4"/>
    <w:rsid w:val="007E6815"/>
    <w:rsid w:val="007E7632"/>
    <w:rsid w:val="007F1C84"/>
    <w:rsid w:val="007F4579"/>
    <w:rsid w:val="00801596"/>
    <w:rsid w:val="00804BC8"/>
    <w:rsid w:val="00806E23"/>
    <w:rsid w:val="00807981"/>
    <w:rsid w:val="00823F5A"/>
    <w:rsid w:val="00845D3B"/>
    <w:rsid w:val="008634E9"/>
    <w:rsid w:val="008801B5"/>
    <w:rsid w:val="00880578"/>
    <w:rsid w:val="00882407"/>
    <w:rsid w:val="00883635"/>
    <w:rsid w:val="00890338"/>
    <w:rsid w:val="00891C44"/>
    <w:rsid w:val="008920C3"/>
    <w:rsid w:val="00894052"/>
    <w:rsid w:val="008A7B87"/>
    <w:rsid w:val="008B4AA1"/>
    <w:rsid w:val="008C1C71"/>
    <w:rsid w:val="008E1AD0"/>
    <w:rsid w:val="008E315F"/>
    <w:rsid w:val="008E6B82"/>
    <w:rsid w:val="008F6ADE"/>
    <w:rsid w:val="0091269B"/>
    <w:rsid w:val="009135AB"/>
    <w:rsid w:val="00923C0C"/>
    <w:rsid w:val="009362D5"/>
    <w:rsid w:val="0095170D"/>
    <w:rsid w:val="00952CF6"/>
    <w:rsid w:val="00960413"/>
    <w:rsid w:val="00975F33"/>
    <w:rsid w:val="0097770D"/>
    <w:rsid w:val="00981995"/>
    <w:rsid w:val="00981C7F"/>
    <w:rsid w:val="00985515"/>
    <w:rsid w:val="00990813"/>
    <w:rsid w:val="0099544D"/>
    <w:rsid w:val="00997513"/>
    <w:rsid w:val="009A0E2C"/>
    <w:rsid w:val="009A4D56"/>
    <w:rsid w:val="009B1F04"/>
    <w:rsid w:val="009D66A6"/>
    <w:rsid w:val="009E09F7"/>
    <w:rsid w:val="009E2D5C"/>
    <w:rsid w:val="009E3E44"/>
    <w:rsid w:val="009F4175"/>
    <w:rsid w:val="009F66A4"/>
    <w:rsid w:val="009F6C80"/>
    <w:rsid w:val="00A000DA"/>
    <w:rsid w:val="00A1736E"/>
    <w:rsid w:val="00A216DF"/>
    <w:rsid w:val="00A33F2C"/>
    <w:rsid w:val="00A50EE3"/>
    <w:rsid w:val="00A82F75"/>
    <w:rsid w:val="00A83E11"/>
    <w:rsid w:val="00A94A0F"/>
    <w:rsid w:val="00AA3C6D"/>
    <w:rsid w:val="00AA55DD"/>
    <w:rsid w:val="00AB57C4"/>
    <w:rsid w:val="00B11CF5"/>
    <w:rsid w:val="00B209FA"/>
    <w:rsid w:val="00B21D1F"/>
    <w:rsid w:val="00B34273"/>
    <w:rsid w:val="00B370F8"/>
    <w:rsid w:val="00B40EA7"/>
    <w:rsid w:val="00B410BA"/>
    <w:rsid w:val="00B43D68"/>
    <w:rsid w:val="00B44A3A"/>
    <w:rsid w:val="00B5600C"/>
    <w:rsid w:val="00B66E33"/>
    <w:rsid w:val="00B72FB1"/>
    <w:rsid w:val="00B81BF1"/>
    <w:rsid w:val="00B953DA"/>
    <w:rsid w:val="00BA19B0"/>
    <w:rsid w:val="00BA7933"/>
    <w:rsid w:val="00BB3870"/>
    <w:rsid w:val="00BB45A7"/>
    <w:rsid w:val="00BD0EF7"/>
    <w:rsid w:val="00BD6778"/>
    <w:rsid w:val="00C01599"/>
    <w:rsid w:val="00C048D1"/>
    <w:rsid w:val="00C05563"/>
    <w:rsid w:val="00C11132"/>
    <w:rsid w:val="00C115B9"/>
    <w:rsid w:val="00C12FDD"/>
    <w:rsid w:val="00C145AA"/>
    <w:rsid w:val="00C14655"/>
    <w:rsid w:val="00C156B5"/>
    <w:rsid w:val="00C21399"/>
    <w:rsid w:val="00C23C4E"/>
    <w:rsid w:val="00C446E2"/>
    <w:rsid w:val="00C535F5"/>
    <w:rsid w:val="00C560C4"/>
    <w:rsid w:val="00C6748F"/>
    <w:rsid w:val="00C74337"/>
    <w:rsid w:val="00C75DC8"/>
    <w:rsid w:val="00C909C0"/>
    <w:rsid w:val="00C929AE"/>
    <w:rsid w:val="00CA4344"/>
    <w:rsid w:val="00CA6348"/>
    <w:rsid w:val="00CB1232"/>
    <w:rsid w:val="00CB17A0"/>
    <w:rsid w:val="00CC3B7D"/>
    <w:rsid w:val="00CC7CF0"/>
    <w:rsid w:val="00CD4BB7"/>
    <w:rsid w:val="00CD5AE4"/>
    <w:rsid w:val="00CD5E86"/>
    <w:rsid w:val="00CE3B21"/>
    <w:rsid w:val="00CF4D09"/>
    <w:rsid w:val="00CF66DD"/>
    <w:rsid w:val="00D005F2"/>
    <w:rsid w:val="00D03A8E"/>
    <w:rsid w:val="00D114ED"/>
    <w:rsid w:val="00D3032C"/>
    <w:rsid w:val="00D31A3B"/>
    <w:rsid w:val="00D5309D"/>
    <w:rsid w:val="00D631FA"/>
    <w:rsid w:val="00D71064"/>
    <w:rsid w:val="00D811BB"/>
    <w:rsid w:val="00D82356"/>
    <w:rsid w:val="00D84EEE"/>
    <w:rsid w:val="00D90A61"/>
    <w:rsid w:val="00D946EF"/>
    <w:rsid w:val="00D95553"/>
    <w:rsid w:val="00DA72EB"/>
    <w:rsid w:val="00DC355F"/>
    <w:rsid w:val="00DD1E4C"/>
    <w:rsid w:val="00DD6049"/>
    <w:rsid w:val="00DE331A"/>
    <w:rsid w:val="00DE6ACB"/>
    <w:rsid w:val="00DF02CE"/>
    <w:rsid w:val="00DF1462"/>
    <w:rsid w:val="00DF237C"/>
    <w:rsid w:val="00E030DA"/>
    <w:rsid w:val="00E214C0"/>
    <w:rsid w:val="00E30D85"/>
    <w:rsid w:val="00E444EB"/>
    <w:rsid w:val="00E6011F"/>
    <w:rsid w:val="00E77A69"/>
    <w:rsid w:val="00E81A42"/>
    <w:rsid w:val="00E961E8"/>
    <w:rsid w:val="00E96244"/>
    <w:rsid w:val="00E96DE0"/>
    <w:rsid w:val="00EB2BEC"/>
    <w:rsid w:val="00EB74BF"/>
    <w:rsid w:val="00EC0704"/>
    <w:rsid w:val="00EC508B"/>
    <w:rsid w:val="00ED6B5D"/>
    <w:rsid w:val="00EE4C99"/>
    <w:rsid w:val="00F153D7"/>
    <w:rsid w:val="00F1599C"/>
    <w:rsid w:val="00F16F66"/>
    <w:rsid w:val="00F2433F"/>
    <w:rsid w:val="00F244DC"/>
    <w:rsid w:val="00F378F4"/>
    <w:rsid w:val="00F47912"/>
    <w:rsid w:val="00F541B6"/>
    <w:rsid w:val="00F57702"/>
    <w:rsid w:val="00F61361"/>
    <w:rsid w:val="00F613E8"/>
    <w:rsid w:val="00F74D3C"/>
    <w:rsid w:val="00F74FC9"/>
    <w:rsid w:val="00F91F47"/>
    <w:rsid w:val="00FA4F36"/>
    <w:rsid w:val="00FA6FFE"/>
    <w:rsid w:val="00FC121B"/>
    <w:rsid w:val="00FD3DFB"/>
    <w:rsid w:val="00FF0272"/>
    <w:rsid w:val="00FF1E4F"/>
    <w:rsid w:val="00FF414B"/>
    <w:rsid w:val="00FF4B7A"/>
    <w:rsid w:val="00FF6FF5"/>
    <w:rsid w:val="00FF7E8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D44A8"/>
  <w15:docId w15:val="{4971B98A-309B-41B5-937D-82CDFE46E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054C41"/>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054C41"/>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54C41"/>
  </w:style>
  <w:style w:type="paragraph" w:styleId="Normlnywebov">
    <w:name w:val="Normal (Web)"/>
    <w:basedOn w:val="Normlny"/>
    <w:uiPriority w:val="99"/>
    <w:unhideWhenUsed/>
    <w:rsid w:val="00054C41"/>
    <w:pPr>
      <w:spacing w:after="0" w:line="240" w:lineRule="auto"/>
    </w:pPr>
    <w:rPr>
      <w:rFonts w:ascii="Times New Roman" w:eastAsia="Times New Roman" w:hAnsi="Times New Roman" w:cs="Times New Roman"/>
      <w:sz w:val="24"/>
      <w:szCs w:val="24"/>
      <w:lang w:eastAsia="sk-SK"/>
    </w:rPr>
  </w:style>
  <w:style w:type="table" w:customStyle="1" w:styleId="Mriekatabuky2">
    <w:name w:val="Mriežka tabuľky2"/>
    <w:basedOn w:val="Normlnatabuka"/>
    <w:next w:val="Mriekatabuky"/>
    <w:uiPriority w:val="5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054C41"/>
    <w:pPr>
      <w:tabs>
        <w:tab w:val="center" w:pos="4536"/>
        <w:tab w:val="right" w:pos="9072"/>
      </w:tabs>
      <w:spacing w:after="0" w:line="240" w:lineRule="auto"/>
    </w:pPr>
  </w:style>
  <w:style w:type="character" w:customStyle="1" w:styleId="PtaChar">
    <w:name w:val="Päta Char"/>
    <w:basedOn w:val="Predvolenpsmoodseku"/>
    <w:link w:val="Pta"/>
    <w:uiPriority w:val="99"/>
    <w:rsid w:val="00054C41"/>
  </w:style>
  <w:style w:type="paragraph" w:styleId="Textbubliny">
    <w:name w:val="Balloon Text"/>
    <w:basedOn w:val="Normlny"/>
    <w:link w:val="TextbublinyChar"/>
    <w:uiPriority w:val="99"/>
    <w:semiHidden/>
    <w:unhideWhenUsed/>
    <w:rsid w:val="001B4C03"/>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B4C03"/>
    <w:rPr>
      <w:rFonts w:ascii="Segoe UI" w:hAnsi="Segoe UI" w:cs="Segoe UI"/>
      <w:sz w:val="18"/>
      <w:szCs w:val="18"/>
    </w:rPr>
  </w:style>
  <w:style w:type="character" w:styleId="Odkaznakomentr">
    <w:name w:val="annotation reference"/>
    <w:basedOn w:val="Predvolenpsmoodseku"/>
    <w:uiPriority w:val="99"/>
    <w:semiHidden/>
    <w:unhideWhenUsed/>
    <w:rsid w:val="001B4C03"/>
    <w:rPr>
      <w:sz w:val="16"/>
      <w:szCs w:val="16"/>
    </w:rPr>
  </w:style>
  <w:style w:type="paragraph" w:styleId="Textkomentra">
    <w:name w:val="annotation text"/>
    <w:basedOn w:val="Normlny"/>
    <w:link w:val="TextkomentraChar"/>
    <w:uiPriority w:val="99"/>
    <w:semiHidden/>
    <w:unhideWhenUsed/>
    <w:rsid w:val="001B4C03"/>
    <w:pPr>
      <w:spacing w:line="240" w:lineRule="auto"/>
    </w:pPr>
    <w:rPr>
      <w:sz w:val="20"/>
      <w:szCs w:val="20"/>
    </w:rPr>
  </w:style>
  <w:style w:type="character" w:customStyle="1" w:styleId="TextkomentraChar">
    <w:name w:val="Text komentára Char"/>
    <w:basedOn w:val="Predvolenpsmoodseku"/>
    <w:link w:val="Textkomentra"/>
    <w:uiPriority w:val="99"/>
    <w:semiHidden/>
    <w:rsid w:val="001B4C03"/>
    <w:rPr>
      <w:sz w:val="20"/>
      <w:szCs w:val="20"/>
    </w:rPr>
  </w:style>
  <w:style w:type="paragraph" w:styleId="Predmetkomentra">
    <w:name w:val="annotation subject"/>
    <w:basedOn w:val="Textkomentra"/>
    <w:next w:val="Textkomentra"/>
    <w:link w:val="PredmetkomentraChar"/>
    <w:uiPriority w:val="99"/>
    <w:semiHidden/>
    <w:unhideWhenUsed/>
    <w:rsid w:val="001B4C03"/>
    <w:rPr>
      <w:b/>
      <w:bCs/>
    </w:rPr>
  </w:style>
  <w:style w:type="character" w:customStyle="1" w:styleId="PredmetkomentraChar">
    <w:name w:val="Predmet komentára Char"/>
    <w:basedOn w:val="TextkomentraChar"/>
    <w:link w:val="Predmetkomentra"/>
    <w:uiPriority w:val="99"/>
    <w:semiHidden/>
    <w:rsid w:val="001B4C03"/>
    <w:rPr>
      <w:b/>
      <w:bCs/>
      <w:sz w:val="20"/>
      <w:szCs w:val="20"/>
    </w:rPr>
  </w:style>
  <w:style w:type="paragraph" w:styleId="Odsekzoznamu">
    <w:name w:val="List Paragraph"/>
    <w:basedOn w:val="Normlny"/>
    <w:uiPriority w:val="34"/>
    <w:qFormat/>
    <w:rsid w:val="00EE4C99"/>
    <w:pPr>
      <w:ind w:left="720"/>
      <w:contextualSpacing/>
    </w:pPr>
  </w:style>
  <w:style w:type="paragraph" w:customStyle="1" w:styleId="gmail-m-1648484718305530482msolistparagraph">
    <w:name w:val="gmail-m_-1648484718305530482msolistparagraph"/>
    <w:basedOn w:val="Normlny"/>
    <w:rsid w:val="00A50EE3"/>
    <w:pPr>
      <w:spacing w:before="100" w:beforeAutospacing="1" w:after="100" w:afterAutospacing="1" w:line="240" w:lineRule="auto"/>
    </w:pPr>
    <w:rPr>
      <w:rFonts w:ascii="Calibri" w:hAnsi="Calibri" w:cs="Calibri"/>
      <w:lang w:eastAsia="sk-SK"/>
    </w:rPr>
  </w:style>
  <w:style w:type="paragraph" w:styleId="Textpoznmkypodiarou">
    <w:name w:val="footnote text"/>
    <w:basedOn w:val="Normlny"/>
    <w:link w:val="TextpoznmkypodiarouChar"/>
    <w:uiPriority w:val="99"/>
    <w:semiHidden/>
    <w:unhideWhenUsed/>
    <w:rsid w:val="00C929A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C929AE"/>
    <w:rPr>
      <w:sz w:val="20"/>
      <w:szCs w:val="20"/>
    </w:rPr>
  </w:style>
  <w:style w:type="character" w:styleId="Odkaznapoznmkupodiarou">
    <w:name w:val="footnote reference"/>
    <w:basedOn w:val="Predvolenpsmoodseku"/>
    <w:uiPriority w:val="99"/>
    <w:semiHidden/>
    <w:unhideWhenUsed/>
    <w:rsid w:val="00C929AE"/>
    <w:rPr>
      <w:vertAlign w:val="superscript"/>
    </w:rPr>
  </w:style>
  <w:style w:type="paragraph" w:styleId="Revzia">
    <w:name w:val="Revision"/>
    <w:hidden/>
    <w:uiPriority w:val="99"/>
    <w:semiHidden/>
    <w:rsid w:val="00DE6ACB"/>
    <w:pPr>
      <w:spacing w:after="0" w:line="240" w:lineRule="auto"/>
    </w:pPr>
  </w:style>
  <w:style w:type="character" w:styleId="Hypertextovprepojenie">
    <w:name w:val="Hyperlink"/>
    <w:basedOn w:val="Predvolenpsmoodseku"/>
    <w:uiPriority w:val="99"/>
    <w:unhideWhenUsed/>
    <w:rsid w:val="007B267B"/>
    <w:rPr>
      <w:color w:val="0563C1" w:themeColor="hyperlink"/>
      <w:u w:val="single"/>
    </w:rPr>
  </w:style>
  <w:style w:type="character" w:customStyle="1" w:styleId="Nevyrieenzmienka1">
    <w:name w:val="Nevyriešená zmienka1"/>
    <w:basedOn w:val="Predvolenpsmoodseku"/>
    <w:uiPriority w:val="99"/>
    <w:semiHidden/>
    <w:unhideWhenUsed/>
    <w:rsid w:val="007B26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617862">
      <w:bodyDiv w:val="1"/>
      <w:marLeft w:val="0"/>
      <w:marRight w:val="0"/>
      <w:marTop w:val="0"/>
      <w:marBottom w:val="0"/>
      <w:divBdr>
        <w:top w:val="none" w:sz="0" w:space="0" w:color="auto"/>
        <w:left w:val="none" w:sz="0" w:space="0" w:color="auto"/>
        <w:bottom w:val="none" w:sz="0" w:space="0" w:color="auto"/>
        <w:right w:val="none" w:sz="0" w:space="0" w:color="auto"/>
      </w:divBdr>
    </w:div>
    <w:div w:id="348797041">
      <w:bodyDiv w:val="1"/>
      <w:marLeft w:val="0"/>
      <w:marRight w:val="0"/>
      <w:marTop w:val="0"/>
      <w:marBottom w:val="0"/>
      <w:divBdr>
        <w:top w:val="none" w:sz="0" w:space="0" w:color="auto"/>
        <w:left w:val="none" w:sz="0" w:space="0" w:color="auto"/>
        <w:bottom w:val="none" w:sz="0" w:space="0" w:color="auto"/>
        <w:right w:val="none" w:sz="0" w:space="0" w:color="auto"/>
      </w:divBdr>
    </w:div>
    <w:div w:id="482818379">
      <w:bodyDiv w:val="1"/>
      <w:marLeft w:val="0"/>
      <w:marRight w:val="0"/>
      <w:marTop w:val="0"/>
      <w:marBottom w:val="0"/>
      <w:divBdr>
        <w:top w:val="none" w:sz="0" w:space="0" w:color="auto"/>
        <w:left w:val="none" w:sz="0" w:space="0" w:color="auto"/>
        <w:bottom w:val="none" w:sz="0" w:space="0" w:color="auto"/>
        <w:right w:val="none" w:sz="0" w:space="0" w:color="auto"/>
      </w:divBdr>
    </w:div>
    <w:div w:id="627048967">
      <w:bodyDiv w:val="1"/>
      <w:marLeft w:val="0"/>
      <w:marRight w:val="0"/>
      <w:marTop w:val="0"/>
      <w:marBottom w:val="0"/>
      <w:divBdr>
        <w:top w:val="none" w:sz="0" w:space="0" w:color="auto"/>
        <w:left w:val="none" w:sz="0" w:space="0" w:color="auto"/>
        <w:bottom w:val="none" w:sz="0" w:space="0" w:color="auto"/>
        <w:right w:val="none" w:sz="0" w:space="0" w:color="auto"/>
      </w:divBdr>
    </w:div>
    <w:div w:id="747580039">
      <w:bodyDiv w:val="1"/>
      <w:marLeft w:val="0"/>
      <w:marRight w:val="0"/>
      <w:marTop w:val="0"/>
      <w:marBottom w:val="0"/>
      <w:divBdr>
        <w:top w:val="none" w:sz="0" w:space="0" w:color="auto"/>
        <w:left w:val="none" w:sz="0" w:space="0" w:color="auto"/>
        <w:bottom w:val="none" w:sz="0" w:space="0" w:color="auto"/>
        <w:right w:val="none" w:sz="0" w:space="0" w:color="auto"/>
      </w:divBdr>
    </w:div>
    <w:div w:id="897276704">
      <w:bodyDiv w:val="1"/>
      <w:marLeft w:val="0"/>
      <w:marRight w:val="0"/>
      <w:marTop w:val="0"/>
      <w:marBottom w:val="0"/>
      <w:divBdr>
        <w:top w:val="none" w:sz="0" w:space="0" w:color="auto"/>
        <w:left w:val="none" w:sz="0" w:space="0" w:color="auto"/>
        <w:bottom w:val="none" w:sz="0" w:space="0" w:color="auto"/>
        <w:right w:val="none" w:sz="0" w:space="0" w:color="auto"/>
      </w:divBdr>
    </w:div>
    <w:div w:id="998076332">
      <w:bodyDiv w:val="1"/>
      <w:marLeft w:val="0"/>
      <w:marRight w:val="0"/>
      <w:marTop w:val="0"/>
      <w:marBottom w:val="0"/>
      <w:divBdr>
        <w:top w:val="none" w:sz="0" w:space="0" w:color="auto"/>
        <w:left w:val="none" w:sz="0" w:space="0" w:color="auto"/>
        <w:bottom w:val="none" w:sz="0" w:space="0" w:color="auto"/>
        <w:right w:val="none" w:sz="0" w:space="0" w:color="auto"/>
      </w:divBdr>
    </w:div>
    <w:div w:id="1098526378">
      <w:bodyDiv w:val="1"/>
      <w:marLeft w:val="0"/>
      <w:marRight w:val="0"/>
      <w:marTop w:val="0"/>
      <w:marBottom w:val="0"/>
      <w:divBdr>
        <w:top w:val="none" w:sz="0" w:space="0" w:color="auto"/>
        <w:left w:val="none" w:sz="0" w:space="0" w:color="auto"/>
        <w:bottom w:val="none" w:sz="0" w:space="0" w:color="auto"/>
        <w:right w:val="none" w:sz="0" w:space="0" w:color="auto"/>
      </w:divBdr>
    </w:div>
    <w:div w:id="1142238006">
      <w:bodyDiv w:val="1"/>
      <w:marLeft w:val="0"/>
      <w:marRight w:val="0"/>
      <w:marTop w:val="0"/>
      <w:marBottom w:val="0"/>
      <w:divBdr>
        <w:top w:val="none" w:sz="0" w:space="0" w:color="auto"/>
        <w:left w:val="none" w:sz="0" w:space="0" w:color="auto"/>
        <w:bottom w:val="none" w:sz="0" w:space="0" w:color="auto"/>
        <w:right w:val="none" w:sz="0" w:space="0" w:color="auto"/>
      </w:divBdr>
    </w:div>
    <w:div w:id="1336617123">
      <w:bodyDiv w:val="1"/>
      <w:marLeft w:val="0"/>
      <w:marRight w:val="0"/>
      <w:marTop w:val="0"/>
      <w:marBottom w:val="0"/>
      <w:divBdr>
        <w:top w:val="none" w:sz="0" w:space="0" w:color="auto"/>
        <w:left w:val="none" w:sz="0" w:space="0" w:color="auto"/>
        <w:bottom w:val="none" w:sz="0" w:space="0" w:color="auto"/>
        <w:right w:val="none" w:sz="0" w:space="0" w:color="auto"/>
      </w:divBdr>
    </w:div>
    <w:div w:id="1640454007">
      <w:bodyDiv w:val="1"/>
      <w:marLeft w:val="0"/>
      <w:marRight w:val="0"/>
      <w:marTop w:val="0"/>
      <w:marBottom w:val="0"/>
      <w:divBdr>
        <w:top w:val="none" w:sz="0" w:space="0" w:color="auto"/>
        <w:left w:val="none" w:sz="0" w:space="0" w:color="auto"/>
        <w:bottom w:val="none" w:sz="0" w:space="0" w:color="auto"/>
        <w:right w:val="none" w:sz="0" w:space="0" w:color="auto"/>
      </w:divBdr>
    </w:div>
    <w:div w:id="1683817070">
      <w:bodyDiv w:val="1"/>
      <w:marLeft w:val="0"/>
      <w:marRight w:val="0"/>
      <w:marTop w:val="0"/>
      <w:marBottom w:val="0"/>
      <w:divBdr>
        <w:top w:val="none" w:sz="0" w:space="0" w:color="auto"/>
        <w:left w:val="none" w:sz="0" w:space="0" w:color="auto"/>
        <w:bottom w:val="none" w:sz="0" w:space="0" w:color="auto"/>
        <w:right w:val="none" w:sz="0" w:space="0" w:color="auto"/>
      </w:divBdr>
    </w:div>
    <w:div w:id="209285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nbs.s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mhsr.sk/podnikatelske-prostredie/lepsia-regulacia/regulacne-zatazenie/kalkulacka-nakladov-regulacie" TargetMode="External"/><Relationship Id="rId14" Type="http://schemas.openxmlformats.org/officeDocument/2006/relationships/theme" Target="theme/theme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Priloha-3a-AVnaPP-do-MPK"/>
    <f:field ref="objsubject" par="" edit="true" text=""/>
    <f:field ref="objcreatedby" par="" text="Pavlíková, Katarína, Mgr."/>
    <f:field ref="objcreatedat" par="" text="10.11.2022 9:46:51"/>
    <f:field ref="objchangedby" par="" text="Administrator, System"/>
    <f:field ref="objmodifiedat" par="" text="10.11.2022 9:46:5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9A7BA749-CB6B-4D56-8DDD-BB18F12B0B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8</Pages>
  <Words>2991</Words>
  <Characters>17055</Characters>
  <Application>Microsoft Office Word</Application>
  <DocSecurity>0</DocSecurity>
  <Lines>142</Lines>
  <Paragraphs>40</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20006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Pavlikova Katarina</dc:creator>
  <cp:lastModifiedBy>Vlkolinsky Robert</cp:lastModifiedBy>
  <cp:revision>7</cp:revision>
  <dcterms:created xsi:type="dcterms:W3CDTF">2025-04-28T06:11:00Z</dcterms:created>
  <dcterms:modified xsi:type="dcterms:W3CDTF">2025-05-14T06:25:00Z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2022</vt:lpwstr>
  </property>
  <property fmtid="{D5CDD505-2E9C-101B-9397-08002B2CF9AE}" pid="5" name="FSC#SKEDITIONSLOVLEX@103.510:cisloparlamenttlac">
    <vt:lpwstr/>
  </property>
  <property fmtid="{D5CDD505-2E9C-101B-9397-08002B2CF9AE}" pid="6" name="FSC#SKEDITIONSLOVLEX@103.510:stavpredpis">
    <vt:lpwstr>Vyhodnotenie medzirezortného pripomienkového konania</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Mgr. Katarína Pavlíková</vt:lpwstr>
  </property>
  <property fmtid="{D5CDD505-2E9C-101B-9397-08002B2CF9AE}" pid="12" name="FSC#SKEDITIONSLOVLEX@103.510:zodppredkladatel">
    <vt:lpwstr>Ing. Karel Hirman</vt:lpwstr>
  </property>
  <property fmtid="{D5CDD505-2E9C-101B-9397-08002B2CF9AE}" pid="13" name="FSC#SKEDITIONSLOVLEX@103.510:dalsipredkladatel">
    <vt:lpwstr/>
  </property>
  <property fmtid="{D5CDD505-2E9C-101B-9397-08002B2CF9AE}" pid="14" name="FSC#SKEDITIONSLOVLEX@103.510:nazovpredpis">
    <vt:lpwstr> Návrh zmien a doplnení Jednotnej metodiky na posudzovanie vybraných vplyvov</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Komponent č. 14 Plánu obnovy a odolnosti SR</vt:lpwstr>
  </property>
  <property fmtid="{D5CDD505-2E9C-101B-9397-08002B2CF9AE}" pid="23" name="FSC#SKEDITIONSLOVLEX@103.510:plnynazovpredpis">
    <vt:lpwstr> Návrh zmien a doplnení Jednotnej metodiky na posudzovanie vybraných vplyvov</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44877/2022-3213-103108</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LP/2022/744</vt:lpwstr>
  </property>
  <property fmtid="{D5CDD505-2E9C-101B-9397-08002B2CF9AE}" pid="37" name="FSC#SKEDITIONSLOVLEX@103.510:typsprievdok">
    <vt:lpwstr>Vlastný materiál - neštruktúrovaný</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Výrazné pozitívne vplyvy v tejto oblasti sa očakávajú po implementácii ochrany pred neopodstatneným goldplatingom.&lt;/p&gt;&lt;p style="text-align: justify;"&gt;&amp;nbs</vt:lpwstr>
  </property>
  <property fmtid="{D5CDD505-2E9C-101B-9397-08002B2CF9AE}" pid="66" name="FSC#SKEDITIONSLOVLEX@103.510:AttrStrListDocPropAltRiesenia">
    <vt:lpwstr>Nulový variant – zachovanie súčasného stavu vytvára nekontrolovaný priestor na vytváranie takej regulačnej záťaže podnikateľského prostredia, ktorá znižuje konkurencieschopnosť tuzemských podnikateľov. V prípade zachovania súčasného stavu by nebol zaveden</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minister hospodárstva_x000d_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
  </property>
  <property fmtid="{D5CDD505-2E9C-101B-9397-08002B2CF9AE}" pid="142" name="FSC#SKEDITIONSLOVLEX@103.510:funkciaZodpPredAkuzativ">
    <vt:lpwstr/>
  </property>
  <property fmtid="{D5CDD505-2E9C-101B-9397-08002B2CF9AE}" pid="143" name="FSC#SKEDITIONSLOVLEX@103.510:funkciaZodpPredDativ">
    <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Karel Hirman</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justify;"&gt;Návrh zmien a doplnení Jednotnej metodiky na posudzovanie vybraných vplyvov predkladá na rokovanie vlády Slovenskej republiky Ministerstvo hospodárstva Slovenskej republiky (ďalej len „MH SR“) v nadväznosti na Komponent č. </vt:lpwstr>
  </property>
  <property fmtid="{D5CDD505-2E9C-101B-9397-08002B2CF9AE}" pid="150" name="FSC#SKEDITIONSLOVLEX@103.510:vytvorenedna">
    <vt:lpwstr>10. 11. 2022</vt:lpwstr>
  </property>
  <property fmtid="{D5CDD505-2E9C-101B-9397-08002B2CF9AE}" pid="151" name="FSC#COOSYSTEM@1.1:Container">
    <vt:lpwstr>COO.2145.1000.3.5328105</vt:lpwstr>
  </property>
  <property fmtid="{D5CDD505-2E9C-101B-9397-08002B2CF9AE}" pid="152" name="FSC#FSCFOLIO@1.1001:docpropproject">
    <vt:lpwstr/>
  </property>
</Properties>
</file>