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FE1FAB" w14:textId="77777777" w:rsidR="00BF6D7D" w:rsidRPr="007C1808" w:rsidRDefault="007458A8">
      <w:pPr>
        <w:spacing w:after="120"/>
        <w:jc w:val="center"/>
      </w:pPr>
      <w:r w:rsidRPr="00FF3171">
        <w:rPr>
          <w:b/>
        </w:rPr>
        <w:t>Dôvodová správa</w:t>
      </w:r>
    </w:p>
    <w:p w14:paraId="0A11B519" w14:textId="77777777" w:rsidR="00BF6D7D" w:rsidRPr="007C1808" w:rsidRDefault="007458A8">
      <w:pPr>
        <w:spacing w:after="360"/>
        <w:jc w:val="center"/>
      </w:pPr>
      <w:r w:rsidRPr="00FF3171">
        <w:rPr>
          <w:b/>
        </w:rPr>
        <w:t>B. Osobitná časť</w:t>
      </w:r>
    </w:p>
    <w:p w14:paraId="645D289E" w14:textId="77777777" w:rsidR="00BF6D7D" w:rsidRPr="007C1808" w:rsidRDefault="007458A8">
      <w:pPr>
        <w:spacing w:before="200" w:after="120"/>
      </w:pPr>
      <w:r w:rsidRPr="00FF3171">
        <w:rPr>
          <w:b/>
        </w:rPr>
        <w:t>K § 1</w:t>
      </w:r>
    </w:p>
    <w:p w14:paraId="64EC1980" w14:textId="77777777" w:rsidR="00BF6D7D" w:rsidRPr="007C1808" w:rsidRDefault="007458A8">
      <w:pPr>
        <w:spacing w:after="160"/>
        <w:ind w:firstLine="708"/>
        <w:jc w:val="both"/>
      </w:pPr>
      <w:r w:rsidRPr="00FF3171">
        <w:t>V § 1 sa ustanovuje spôsob výpočtu nadmernej náhrady z verejných zdrojov poskytnutých na spolufinancovanie sociálnej služby ako služby vo všeobecnom hospodárskom záujme za príslušný kalendárny rok, ktorý je zároveň rozpočtovým rokom. Výpočet vychádza z výnosov a nákladov zaúčtovaných v účtovníctve poskytovateľa sociálnej služby, ktoré časovo a vecne súvisia s príslušným kalendárnym rokom, a nie z príjmov a výdavkov v čase ich úhrady. Tým sa zabezpečuje, že výška nadmernej náhrady nie je ovplyvnená časovým posunom medzi vznikom nákladu alebo výnosu a jeho úhradou.</w:t>
      </w:r>
    </w:p>
    <w:p w14:paraId="509B371D" w14:textId="77777777" w:rsidR="000A1322" w:rsidRPr="007C1808" w:rsidRDefault="00707DAE">
      <w:pPr>
        <w:spacing w:after="160"/>
        <w:ind w:firstLine="708"/>
        <w:jc w:val="both"/>
      </w:pPr>
      <w:r w:rsidRPr="00FF3171">
        <w:t>V odseku 1 sa ustanovuje, že nadmerná náhrada na príslušný rozpočtový rok sa vypočíta podľa vzorca uvedeného v prílohe č. 1. Pojem nadmerná náhrada je vymedzený v § 61a ods. 4 písm. b) zákona; vyhláška ustanovuje len spôsob jej výpočtu na základe splnomocnenia v § 61a ods. 22 písm. a) zákona.</w:t>
      </w:r>
    </w:p>
    <w:p w14:paraId="6D9E37C9" w14:textId="77777777" w:rsidR="000A1322" w:rsidRPr="007C1808" w:rsidRDefault="00707DAE">
      <w:pPr>
        <w:spacing w:after="160"/>
        <w:ind w:firstLine="708"/>
        <w:jc w:val="both"/>
      </w:pPr>
      <w:r w:rsidRPr="00FF3171">
        <w:t>V odseku 2 sa ustanovuje, že nadmerná náhrada vzniká, ak je výsledok výpočtu vykonaného podľa prílohy č. 1 kladný. Vzorec v prílohe č. 1 neumožňuje záporný výsledok, a preto ak je výsledok výpočtu rovný nule, nadmerná náhrada nevzniká.</w:t>
      </w:r>
    </w:p>
    <w:p w14:paraId="69CF1B91" w14:textId="77777777" w:rsidR="000A1322" w:rsidRPr="007C1808" w:rsidRDefault="00707DAE">
      <w:pPr>
        <w:spacing w:after="160"/>
        <w:ind w:firstLine="708"/>
        <w:jc w:val="both"/>
      </w:pPr>
      <w:r w:rsidRPr="00FF3171">
        <w:t>V odseku 3 sa ustanovuje, že nadmerná náhrada sa vypočíta samostatne za každú sociálnu službu podľa § 61a ods. 1 zákona (ďalej len „sociálna služba vo všeobecnom hospodárskom záujme“) podľa druhu sociálnej služby, formy sociálnej služby a miesta jej poskytovania, keďže záväzok podľa zákona sa prijíma na sociálnu službu, nie na poskytovateľa sociálnej služby. Vzájomná kompenzácia medzi jednotlivými sociálnymi službami preto nie je prípustná.</w:t>
      </w:r>
    </w:p>
    <w:p w14:paraId="49618C20" w14:textId="77777777" w:rsidR="00BF6D7D" w:rsidRPr="007C1808" w:rsidRDefault="007458A8">
      <w:pPr>
        <w:spacing w:before="200" w:after="120"/>
      </w:pPr>
      <w:r w:rsidRPr="00FF3171">
        <w:rPr>
          <w:b/>
        </w:rPr>
        <w:t>K § 2</w:t>
      </w:r>
    </w:p>
    <w:p w14:paraId="3E498A88" w14:textId="77777777" w:rsidR="000A1322" w:rsidRPr="007C1808" w:rsidRDefault="00707DAE">
      <w:pPr>
        <w:spacing w:after="160"/>
        <w:ind w:firstLine="708"/>
        <w:jc w:val="both"/>
      </w:pPr>
      <w:r w:rsidRPr="00FF3171">
        <w:t>V § 2 sa na účely výpočtu nadmernej náhrady podľa § 61a ods. 22 písm. a) prvého bodu zákona vymedzujú príjmy, z ktorých je financované poskytovanie sociálnej služby vo všeobecnom hospodárskom záujme. Príjmami je úhrn výnosov zaúčtovaných podľa zákona č. 431/2002 Z. z. o účtovníctve v znení neskorších predpisov (ďalej len „zákon o účtovníctve“) za príslušný rozpočtový rok, ktoré časovo a vecne súvisia s poskytovaním tejto sociálnej služby, určený podľa druhu sociálnej služby, formy sociálnej služby a miesta jej poskytovania. Vychádza sa teda z výnosov zaúčtovaných v účtovníctve, a nie z peňažných príjmov v čase ich prijatia.</w:t>
      </w:r>
    </w:p>
    <w:p w14:paraId="26545441" w14:textId="77777777" w:rsidR="000A1322" w:rsidRPr="007C1808" w:rsidRDefault="00707DAE">
      <w:pPr>
        <w:spacing w:after="160"/>
        <w:ind w:firstLine="708"/>
        <w:jc w:val="both"/>
      </w:pPr>
      <w:r w:rsidRPr="00FF3171">
        <w:t>Primeraný zisk za rozpočtový rok predchádzajúci príslušnému rozpočtovému roku (prenesený primeraný zisk) nie je výnosom príslušného rozpočtového roka, a preto nie je súčasťou príjmov. Prenesený primeraný zisk, ktorý nebol použitý v súlade s § 4 ods. 2, sa zohľadňuje vo vzorci v prílohe č. 1 ako PZn.</w:t>
      </w:r>
    </w:p>
    <w:p w14:paraId="0C311B15" w14:textId="77777777" w:rsidR="00BF6D7D" w:rsidRPr="007C1808" w:rsidRDefault="007458A8">
      <w:pPr>
        <w:spacing w:before="200" w:after="120"/>
      </w:pPr>
      <w:r w:rsidRPr="00FF3171">
        <w:rPr>
          <w:b/>
        </w:rPr>
        <w:t>K § 3</w:t>
      </w:r>
    </w:p>
    <w:p w14:paraId="52E8A375" w14:textId="77777777" w:rsidR="000A1322" w:rsidRPr="007C1808" w:rsidRDefault="00707DAE">
      <w:pPr>
        <w:spacing w:after="160"/>
        <w:ind w:firstLine="708"/>
        <w:jc w:val="both"/>
      </w:pPr>
      <w:r w:rsidRPr="00FF3171">
        <w:t xml:space="preserve">V § 3 sa na účely výpočtu nadmernej náhrady podľa § 61a ods. 22 písm. a) druhého bodu zákona vymedzujú oprávnené náklady na poskytovanie sociálnej služby vo všeobecnom hospodárskom záujme. V odseku 1 sa ustanovuje, že oprávnenými nákladmi je úhrn nákladov v rozsahu uvedenom v prílohe č. 2, zaúčtovaných za príslušný rozpočtový rok, ktoré časovo a vecne súvisia s poskytovaním tejto sociálnej služby podľa druhu sociálnej služby, formy </w:t>
      </w:r>
      <w:r w:rsidRPr="00FF3171">
        <w:lastRenderedPageBreak/>
        <w:t>sociálnej služby a miesta jej poskytovania. Rovnako ako pri príjmoch sa teda vychádza z nákladov zaúčtovaných v účtovníctve, ktoré patria do príslušného rozpočtového roka.</w:t>
      </w:r>
    </w:p>
    <w:p w14:paraId="41D3AD80" w14:textId="77777777" w:rsidR="000A1322" w:rsidRPr="007C1808" w:rsidRDefault="00707DAE">
      <w:pPr>
        <w:spacing w:after="160"/>
        <w:ind w:firstLine="708"/>
        <w:jc w:val="both"/>
      </w:pPr>
      <w:r w:rsidRPr="00FF3171">
        <w:t>V odseku 2 sa ustanovuje, že do oprávnených nákladov za príslušný rozpočtový rok sa nezahŕňajú náklady, na ktorých financovanie bol v súlade s § 4 ods. 2 použitý primeraný zisk za rozpočtový rok predchádzajúci príslušnému rozpočtovému roku (ďalej len „prenesený primeraný zisk“). Keďže sa prenesený primeraný zisk nezahŕňa do príjmov, jeho použitie na úhradu nákladov nemôže znižovať výsledok výpočtu nadmernej náhrady za príslušný rozpočtový rok.</w:t>
      </w:r>
    </w:p>
    <w:p w14:paraId="70B3D3D9" w14:textId="77777777" w:rsidR="000A1322" w:rsidRPr="007C1808" w:rsidRDefault="00707DAE">
      <w:pPr>
        <w:spacing w:after="160"/>
        <w:ind w:firstLine="708"/>
        <w:jc w:val="both"/>
      </w:pPr>
      <w:r w:rsidRPr="00FF3171">
        <w:t>V odseku 3 sa ustanovujú všeobecné pravidlá oprávnenosti nákladov. Do oprávnených nákladov možno zahrnúť len náklady, ktoré sú preukázateľné, nevyhnutné, hospodárne, účelné a priamo súvisia s poskytovaním sociálnej služby vo všeobecnom hospodárskom záujme.</w:t>
      </w:r>
    </w:p>
    <w:p w14:paraId="3DD32F8E" w14:textId="77777777" w:rsidR="000A1322" w:rsidRPr="007C1808" w:rsidRDefault="00707DAE">
      <w:pPr>
        <w:spacing w:after="160"/>
        <w:ind w:firstLine="708"/>
        <w:jc w:val="both"/>
      </w:pPr>
      <w:r w:rsidRPr="00FF3171">
        <w:t>V odseku 4 sa upravuje rozpočítavanie oprávnených nákladov, ktoré súvisia s poskytovaním viacerých druhov sociálnych služieb, viacerých foriem sociálnej služby alebo s poskytovaním sociálnych služieb na viacerých miestach. Tieto náklady sa rozpočítavajú medzi jednotlivé sociálne služby podľa rozpočítavacieho kľúča ustanoveného vyhláškou pre konkrétny oprávnený náklad, napríklad podľa pomeru skutočne odpracovaného pracovného času pri mzdových nákladoch zamestnanca, alebo podľa rozpočítavacieho kľúča písomne určeného poskytovateľom sociálnej služby, ak nemožno postupovať podľa rozpočítavacieho kľúča ustanoveného vyhláškou. Prednostne sa teda uplatní rozpočítavací kľúč ustanovený vyhláškou. Písomné určenie rozpočítavacieho kľúča poskytovateľom umožňuje pri posudzovaní zúčtovania overiť, akým spôsobom boli spoločné náklady rozpočítané.</w:t>
      </w:r>
    </w:p>
    <w:p w14:paraId="69D44103" w14:textId="77777777" w:rsidR="000A1322" w:rsidRPr="007C1808" w:rsidRDefault="00707DAE">
      <w:pPr>
        <w:spacing w:before="200" w:after="120"/>
      </w:pPr>
      <w:r w:rsidRPr="00FF3171">
        <w:rPr>
          <w:b/>
        </w:rPr>
        <w:t>K § 4</w:t>
      </w:r>
    </w:p>
    <w:p w14:paraId="0ECEF58C" w14:textId="77777777" w:rsidR="000A1322" w:rsidRPr="007C1808" w:rsidRDefault="00707DAE">
      <w:pPr>
        <w:spacing w:after="160"/>
        <w:ind w:firstLine="708"/>
        <w:jc w:val="both"/>
      </w:pPr>
      <w:r w:rsidRPr="00FF3171">
        <w:t>V § 4 sa na základe § 61a ods. 22 písm. a) tretieho bodu zákona ustanovuje primeraný zisk. V odseku 1 sa ustanovuje, že primeraným ziskom za príslušný rozpočtový rok je kladný rozdiel medzi príjmami a oprávnenými nákladmi za príslušný rozpočtový rok, najviac do maximálnej výšky primeraného zisku. Ak príjmy nepresahujú oprávnené náklady, kladný rozdiel ani primeraný zisk nevzniká. Primeraný zisk si poskytovateľ sociálnej služby ponecháva a v nasledujúcom rozpočtovom roku ho použije podľa odseku 2. Náklady financované z tohto primeraného zisku v nasledujúcom rozpočtovom roku nie sú oprávnenými nákladmi (§ 3 ods. 2). Časť primeraného zisku, ktorá sa v nasledujúcom rozpočtovom roku nepoužije v súlade s odsekom 2, sa zohľadní vo vzorci v prílohe č. 1 ako PZn, a tým sa stane súčasťou nadmernej náhrady.</w:t>
      </w:r>
    </w:p>
    <w:p w14:paraId="34AEAD17" w14:textId="77777777" w:rsidR="000A1322" w:rsidRPr="007C1808" w:rsidRDefault="00707DAE">
      <w:pPr>
        <w:spacing w:after="160"/>
        <w:ind w:firstLine="708"/>
        <w:jc w:val="both"/>
      </w:pPr>
      <w:r w:rsidRPr="00FF3171">
        <w:t xml:space="preserve">V odseku 2 sa vymedzuje, čo sa považuje za použitie primeraného zisku na zvyšovanie úrovne plnenia štandardov kvality poskytovanej sociálnej služby vo všeobecnom hospodárskom záujme uvedených v prílohe č. 2 zákona, ktoré je poskytovateľ sociálnej služby povinný zabezpečiť podľa § 61a ods. 7 písm. c) zákona. Ide o taxatívne vymedzené účely. Sú to zníženie počtu prijímateľov sociálnej služby na jedného odborného zamestnanca pod maximálny počet ustanovený v prílohe č. 1 k zákonu, zabezpečenie ďalšieho odborného vzdelávania a ďalšej supervízie pre odborných zamestnancov zameraných na zvyšovanie kvality vykonávaných odborných činností, rozšírenie rozsahu a zvýšenie kvality vykonávaných odborných činností, podpora aktivizácie a voľnočasových aktivít prijímateľov sociálnej služby, zlepšenie priestorových podmienok, materiálno-technického vybavenia a bezbariérovej prístupnosti, rozvoj aktivít realizovaných pre prijímateľov sociálnej služby v komunite alebo v spolupráci s komunitou, rozvoj participácie prijímateľov sociálnej služby a podpory ich sociálneho začlenenia, zavádzanie inovatívnych postupov, digitálnych technológií, fyzioterapeutických metód a aktivizačných metód pri poskytovaní sociálnej služby a opatrenia smerujúce k realizácii Stratégie deinštitucionalizácie systému sociálnych služieb a náhradnej </w:t>
      </w:r>
      <w:r w:rsidRPr="00FF3171">
        <w:lastRenderedPageBreak/>
        <w:t>starostlivosti v Slovenskej republike schválenej vládou Slovenskej republiky alebo k poskytovaniu sociálnej služby komunitnou formou. Použitie primeraného zisku poskytovateľ sociálnej služby preukazuje v zúčtovaní podľa prílohy č. 4, v ktorom ku každému účelu uvedie konkrétne opatrenie, štandard kvality, sumu a doklady.</w:t>
      </w:r>
    </w:p>
    <w:p w14:paraId="2C330BCC" w14:textId="1AF88104" w:rsidR="000A1322" w:rsidRPr="007C1808" w:rsidRDefault="00707DAE">
      <w:pPr>
        <w:spacing w:after="160"/>
        <w:ind w:firstLine="708"/>
        <w:jc w:val="both"/>
      </w:pPr>
      <w:r w:rsidRPr="00FF3171">
        <w:t>V odseku 3 sa ustanovuje maximálna výška primeraného zisku za príslušný rozpočtový rok vo výške 3 % oprávnených nákladov za príslušný rozpočtový rok. Maximálna výška primeraného zisku sa odvíja od hodnoty relevantnej swapovej sadzby podľa čl. 6 ods. 3 rozhodnutia Komisie (EÚ) 2025/2630, ktorou je swapová sadzba, ktorej splatnosť a mena zodpovedajú trvaniu a mene poverovacieho aktu. Keďže záväzok poskytovať sociálnu službu vo všeobecnom hospodárskom záujme sa prijíma najviac na desať rokov a spolufinancovanie sa poskytuje v eurách, relevantnou swapovou sadzbou je swapová sadzba pre euro so splatnosťou desať rokov. Podľa swapových sadzieb, ktoré Európska komisia zverejňuje na účely čl. 6 ods. 3 rozhodnutia, je hodnota tejto swapovej sadzby uplatniteľná od 1. júla 2026 do 31. decembra 2026 3,03 %</w:t>
      </w:r>
      <w:r w:rsidR="00C22E62" w:rsidRPr="00FF3171">
        <w:t>.</w:t>
      </w:r>
      <w:r w:rsidRPr="00FF3171">
        <w:t xml:space="preserve"> Sadzba 3 % zodpovedá tejto hodnote zaokrúhlenej nadol na celé percento. Oprávnené náklady sú vhodným základom, pretože ich poskytovateľ sociálnej služby každoročne vykazuje v zúčtovaní a ministerstvo ich môže overiť. Výpočet primeraného zisku je preto jednoduchý, transparentný a kontrolovateľný a nevyžaduje určovanie viazaného kapitálu poskytovateľa. Uvedená výška je primeraná, pretože primeraný zisk pri sociálnej službe vo všeobecnom hospodárskom záujme nie je odmenou za podnikateľské riziko v rozsahu bežnom pri podnikaní. Financovanie sociálnej služby sa zabezpečuje</w:t>
      </w:r>
      <w:r w:rsidR="00EA1E7B">
        <w:t xml:space="preserve"> najmä</w:t>
      </w:r>
      <w:bookmarkStart w:id="0" w:name="_GoBack"/>
      <w:bookmarkEnd w:id="0"/>
      <w:r w:rsidRPr="00FF3171">
        <w:t xml:space="preserve"> kombináciou finančného príspevku zo štátneho rozpočtu, </w:t>
      </w:r>
      <w:r w:rsidR="008469AB" w:rsidRPr="00FF3171">
        <w:t xml:space="preserve">verejného zdravotného poistenia </w:t>
      </w:r>
      <w:r w:rsidRPr="00FF3171">
        <w:t>finančného príspevku obce alebo vyššieho územného celku a úhrady prijímateľa sociálnej služby počas obdobia trvania záväzku, ktoré nesmie presiahnuť desať rokov, a poskytovateľ preto nenesie podstatné riziko dopytu ani ceny. Náklady na investície poskytovateľa sú zohľadnené samostatne, pretože odpisy dlhodobého majetku v rozsahu podielu vlastných zdrojov poskytovateľa vrátane prostriedkov z úveru alebo pôžičky sú oprávneným nákladom (príloha č. 2), a primeraný zisk ich preto nemusí pokrývať. Primeraný zisk je podľa § 61a ods. 7 písm. c) zákona účelovo viazaný na zvyšovanie úrovne plnenia štandardov kvality poskytovanej sociálnej služby a zostáva v sociálnej službe; jeho výška má vytvoriť primeranú rezervu na zvyšovanie kvality služby, nie zabezpečiť výnos z verejných zdrojov. Jednotná sadzba pre všetky druhy sociálnych služieb uvedené v § 61a ods. 1 zákona zjednodušuje výpočet nadmernej náhrady, znižuje administratívnu záťaž poskytovateľov aj ministerstva a zabezpečuje rovnaké zaobchádzanie s verejnými aj neverejnými poskytovateľmi sociálnych služieb. Maximálna výška primeraného zisku je v súlade s čl. 6 rozhodnutia Komisie (EÚ) 2025/2630, podľa ktorého primeraný zisk pri službe, ktorá nie je spojená s podstatným obchodným alebo zmluvným rizikom, sa určuje vo vzťahu k relevantnej swapovej sadzbe, a podľa ktorého možno primeraný zisk určiť aj podľa iných ukazovateľov úrovne zisku.</w:t>
      </w:r>
    </w:p>
    <w:p w14:paraId="3D584CAE" w14:textId="56BD2FD4" w:rsidR="000574BA" w:rsidRPr="007C1808" w:rsidRDefault="009D484E">
      <w:pPr>
        <w:spacing w:after="160"/>
        <w:ind w:firstLine="708"/>
        <w:jc w:val="both"/>
      </w:pPr>
      <w:r w:rsidRPr="00FF3171">
        <w:t>Maximálna výška primeraného zisku sa neurčuje z kapitálu poskytovateľa sociálnej služby, ale z oprávnených nákladov. Podľa čl. 6 ods. 1 rozhodnutia Komisie (EÚ) 2025/2630 je primeraným ziskom miera návratnosti kapitálu, ktorú by vyžadoval bežný podnik pri rozhodovaní, či poskytovať službu vo všeobecnom hospodárskom záujme. Podľa čl. 6 ods. 4 tohto rozhodnutia však môže členský štát, ak za osobitných okolností nie je vhodné použiť mieru návratnosti kapitálu, určiť primeraný zisk aj podľa iných ukazovateľov úrovne zisku, napríklad podľa návratnosti vlastného kapitálu, vloženého kapitálu, aktív alebo predaja. Sociálna služba vo všeobecnom hospodárskom záujme je takým osobitným prípadom z</w:t>
      </w:r>
      <w:r w:rsidR="00D403C9" w:rsidRPr="00FF3171">
        <w:t xml:space="preserve"> nasledovných  </w:t>
      </w:r>
      <w:r w:rsidRPr="00FF3171">
        <w:t>dôvodov.</w:t>
      </w:r>
    </w:p>
    <w:p w14:paraId="7F827231" w14:textId="77777777" w:rsidR="000574BA" w:rsidRPr="007C1808" w:rsidRDefault="009D484E">
      <w:pPr>
        <w:spacing w:after="160"/>
        <w:ind w:firstLine="708"/>
        <w:jc w:val="both"/>
      </w:pPr>
      <w:r w:rsidRPr="00FF3171">
        <w:t xml:space="preserve">Po prvé, kapitál poskytovateľov nemožno určiť jednotným a overiteľným spôsobom. Sociálne služby poskytujú obce, vyššie územné celky, rozpočtové a príspevkové organizácie, neziskové organizácie, obchodné spoločnosti aj fyzické osoby, ktoré vedú účtovníctvo v </w:t>
      </w:r>
      <w:r w:rsidRPr="00FF3171">
        <w:lastRenderedPageBreak/>
        <w:t>rôznom rozsahu a kapitál vykazujú odlišne alebo ho nevykazujú</w:t>
      </w:r>
      <w:r w:rsidR="00D403C9" w:rsidRPr="00FF3171">
        <w:t xml:space="preserve"> vôbec</w:t>
      </w:r>
      <w:r w:rsidRPr="00FF3171">
        <w:t>. Významná časť majetku používaného na poskytovanie sociálnej služby bola obstaraná z kapitálových transferov z verejných prostriedkov a prostriedkov Európskej únie, z darov, alebo ju poskytovateľ nadobudol bezodplatne alebo ju má zverenú do správy. Kapitál zodpovedajúci takémuto majetku nepredstavuje investíciu, ktorú by bežný podnik požadoval zhodnotiť.</w:t>
      </w:r>
    </w:p>
    <w:p w14:paraId="4A63D0D7" w14:textId="77777777" w:rsidR="000574BA" w:rsidRPr="007C1808" w:rsidRDefault="009D484E">
      <w:pPr>
        <w:spacing w:after="160"/>
        <w:ind w:firstLine="708"/>
        <w:jc w:val="both"/>
      </w:pPr>
      <w:r w:rsidRPr="00FF3171">
        <w:t>Po druhé, kapitál používaný na poskytovanie sociálnej služby vo všeobecnom hospodárskom záujme by sa musel oddeliť od kapitálu používaného na iné činnosti poskytovateľa a rozpočítať na jednotlivé sociálne služby. Výpočet miery návratnosti kapitálu podľa čl. 6 ods. 1 rozhodnutia, ktorou je vnútorná miera návratnosti za celé obdobie trvania poverenia, by navyše vyžadoval odhad peňažných tokov na obdobie až desiatich rokov. Takýto výpočet nie je zlučiteľný s ročným zúčtovaním, ktoré poskytovateľ predkladá podľa § 61a ods. 7 písm. b) zákona, a znamenal by pre poskytovateľov aj pre ministerstvo neprimeranú administratívnu záťaž a spory o ocenení majetku.</w:t>
      </w:r>
    </w:p>
    <w:p w14:paraId="724F9880" w14:textId="77777777" w:rsidR="000574BA" w:rsidRPr="007C1808" w:rsidRDefault="009D484E">
      <w:pPr>
        <w:spacing w:after="160"/>
        <w:ind w:firstLine="708"/>
        <w:jc w:val="both"/>
      </w:pPr>
      <w:r w:rsidRPr="00FF3171">
        <w:t>Po tretie, základ vychádzajúci z kapitálu by zvýhodňoval poskytovateľov s rozsiahlym majetkom a znevýhodňoval poskytovateľov, ktorí priestory prenajímajú alebo ich užívajú bezodplatne, hoci poskytujú sociálnu službu v rovnakom rozsahu a kvalite. Oprávnené náklady sú voči vlastníckej štruktúre a spôsobu financovania majetku neutrálne, a preto zabezpečujú rovnaké zaobchádzanie s verejnými aj neverejnými poskytovateľmi sociálnych služieb. Investičné náklady sú pritom zohľadnené samostatne odpismi v rozsahu podielu vlastných zdrojov poskytovateľa, ktoré sú oprávneným nákladom podľa prílohy č. 2.</w:t>
      </w:r>
    </w:p>
    <w:p w14:paraId="729A62E1" w14:textId="77777777" w:rsidR="000574BA" w:rsidRPr="007C1808" w:rsidRDefault="009D484E">
      <w:pPr>
        <w:spacing w:after="160"/>
        <w:ind w:firstLine="708"/>
        <w:jc w:val="both"/>
      </w:pPr>
      <w:r w:rsidRPr="00FF3171">
        <w:t>Po štvrté, oprávnené náklady sú ukazovateľ, ktorý poskytovateľ každoročne vykazuje v zúčtovaní podľa prílohy č. 4 a ktorý ministerstvo overuje na základe dokladov podľa § 5. Podiel primeraného zisku na oprávnených nákladoch zodpovedá ukazovateľu návratnosti, ktorý čl. 6 ods. 4 rozhodnutia pripúšťa, a umožňuje výšku primeraného zisku jednoducho určiť, vopred poznať a skontrolovať. Nadmerná náhrada sa navyše vracia ex post v plnej výške, takže poskytovateľ nenesie podstatné obchodné ani zmluvné riziko, a primeraný zisk preto podľa čl. 6 ods. 3 rozhodnutia nemá presiahnuť úroveň odvodenú od relevantnej swapovej sadzby.</w:t>
      </w:r>
    </w:p>
    <w:p w14:paraId="27D03FA9" w14:textId="77777777" w:rsidR="000A1322" w:rsidRPr="007C1808" w:rsidRDefault="00707DAE">
      <w:pPr>
        <w:spacing w:before="200" w:after="120"/>
      </w:pPr>
      <w:r w:rsidRPr="00FF3171">
        <w:rPr>
          <w:b/>
        </w:rPr>
        <w:t>K § 5</w:t>
      </w:r>
    </w:p>
    <w:p w14:paraId="7B26FBDA" w14:textId="77777777" w:rsidR="000A1322" w:rsidRPr="007C1808" w:rsidRDefault="00707DAE">
      <w:pPr>
        <w:spacing w:after="160"/>
        <w:ind w:firstLine="708"/>
        <w:jc w:val="both"/>
      </w:pPr>
      <w:r w:rsidRPr="00FF3171">
        <w:t>V § 5 sa na základe § 61a ods. 22 písm. b) zákona ustanovujú náležitosti podkladov o poskytovanej sociálnej službe vo všeobecnom hospodárskom záujme, ktoré poskytovateľ sociálnej služby doručuje ministerstvu. V odseku 1 sa ustanovuje, že návrh rozpočtu poskytovania sociálnej služby vo všeobecnom hospodárskom záujme na príslušný rozpočtový rok podľa § 61a ods. 7 písm. a) prvého bodu zákona obsahuje náležitosti podľa prílohy č. 3. V odseku 2 sa ustanovuje, že zúčtovanie financovania sociálnej služby vo všeobecnom hospodárskom záujme za príslušný rozpočtový rok podľa § 61a ods. 7 písm. a) druhého bodu alebo ods. 9 písm. a) zákona obsahuje náležitosti podľa prílohy č. 4.</w:t>
      </w:r>
    </w:p>
    <w:p w14:paraId="2198C2A6" w14:textId="77777777" w:rsidR="000A1322" w:rsidRPr="007C1808" w:rsidRDefault="00707DAE">
      <w:pPr>
        <w:spacing w:after="160"/>
        <w:ind w:firstLine="708"/>
        <w:jc w:val="both"/>
      </w:pPr>
      <w:r w:rsidRPr="00FF3171">
        <w:t>Lehoty na doručenie podkladov, spôsob ich doručenia prostredníctvom informačného systému sociálnych služieb, opravu zúčtovania a vrátenie nadmernej náhrady upravuje § 61a zákona, a preto ich vyhláška neupravuje.</w:t>
      </w:r>
    </w:p>
    <w:p w14:paraId="7C7015DF" w14:textId="77777777" w:rsidR="000A1322" w:rsidRPr="007C1808" w:rsidRDefault="00707DAE">
      <w:pPr>
        <w:spacing w:before="200" w:after="120"/>
      </w:pPr>
      <w:r w:rsidRPr="00FF3171">
        <w:rPr>
          <w:b/>
        </w:rPr>
        <w:t>K § 6</w:t>
      </w:r>
    </w:p>
    <w:p w14:paraId="7303F55C" w14:textId="058CB6F3" w:rsidR="000A1322" w:rsidRPr="007C1808" w:rsidRDefault="00707DAE">
      <w:pPr>
        <w:spacing w:after="160"/>
        <w:ind w:firstLine="708"/>
        <w:jc w:val="both"/>
      </w:pPr>
      <w:r w:rsidRPr="00FF3171">
        <w:t xml:space="preserve">V § 6 sa ustanovuje prechodné </w:t>
      </w:r>
      <w:r w:rsidR="00DB0777" w:rsidRPr="00FF3171">
        <w:t xml:space="preserve">obdobie </w:t>
      </w:r>
      <w:r w:rsidRPr="00FF3171">
        <w:t xml:space="preserve">o prvom použití vyhlášky. Podľa § 110bi zákona sa poskytovateľ sociálnej služby, ktorý doručí prejav vôle do 31. januára 2027, považuje za poskytovateľa sociálnej služby vo všeobecnom hospodárskom záujme od 1. januára 2027. Podľa vyhlášky sa preto prvýkrát postupuje pri zostavovaní návrhu rozpočtu poskytovania sociálnej služby vo všeobecnom hospodárskom záujme na rozpočtový rok 2027 a pri zúčtovaní </w:t>
      </w:r>
      <w:r w:rsidRPr="00FF3171">
        <w:lastRenderedPageBreak/>
        <w:t>financovania sociálnej služby vo všeobecnom hospodárskom záujme za rozpočtový rok 2027. Výpočet nadmernej náhrady sa prvýkrát vykoná na rozpočtový rok 2028.</w:t>
      </w:r>
    </w:p>
    <w:p w14:paraId="79E8B33E" w14:textId="77777777" w:rsidR="000A1322" w:rsidRPr="007C1808" w:rsidRDefault="00707DAE">
      <w:pPr>
        <w:spacing w:before="200" w:after="120"/>
      </w:pPr>
      <w:r w:rsidRPr="00FF3171">
        <w:rPr>
          <w:b/>
        </w:rPr>
        <w:t>K § 7</w:t>
      </w:r>
    </w:p>
    <w:p w14:paraId="6F315638" w14:textId="77777777" w:rsidR="000A1322" w:rsidRPr="007C1808" w:rsidRDefault="00707DAE">
      <w:pPr>
        <w:spacing w:after="160"/>
        <w:ind w:firstLine="708"/>
        <w:jc w:val="both"/>
      </w:pPr>
      <w:r w:rsidRPr="00FF3171">
        <w:t>V § 7 sa ustanovuje účinnosť vyhlášky od 31. decembra 2026 tak, aby poskytovatelia sociálnej služby vo všeobecnom hospodárskom záujme mohli podľa nej postupovať pri zostavovaní návrhu rozpočtu poskytovania sociálnej služby vo všeobecnom hospodárskom záujme na rozpočtový rok 2027.</w:t>
      </w:r>
    </w:p>
    <w:p w14:paraId="52C5968F" w14:textId="77777777" w:rsidR="000A1322" w:rsidRPr="007C1808" w:rsidRDefault="00707DAE">
      <w:pPr>
        <w:spacing w:before="200" w:after="120"/>
      </w:pPr>
      <w:r w:rsidRPr="00FF3171">
        <w:rPr>
          <w:b/>
        </w:rPr>
        <w:t>K prílohe č. 1</w:t>
      </w:r>
    </w:p>
    <w:p w14:paraId="012DBB4D" w14:textId="77777777" w:rsidR="000A1322" w:rsidRPr="007C1808" w:rsidRDefault="00707DAE">
      <w:pPr>
        <w:spacing w:after="160"/>
        <w:ind w:firstLine="708"/>
        <w:jc w:val="both"/>
      </w:pPr>
      <w:r w:rsidRPr="00FF3171">
        <w:t>V prílohe č. 1 sa ustanovuje vzorec výpočtu nadmernej náhrady NN = max (0; P − N − PZmax) + PZn. Príjmy P sa určujú podľa § 2, oprávnené náklady N podľa § 3 a maximálna výška primeraného zisku PZmax podľa § 4 ods. 3. PZn je prenesený primeraný zisk, ktorý v príslušnom rozpočtovom roku nebol použitý v súlade s § 4 ods. 2.</w:t>
      </w:r>
    </w:p>
    <w:p w14:paraId="52773A29" w14:textId="77777777" w:rsidR="000A1322" w:rsidRPr="007C1808" w:rsidRDefault="00707DAE">
      <w:pPr>
        <w:spacing w:after="160"/>
        <w:ind w:firstLine="708"/>
        <w:jc w:val="both"/>
      </w:pPr>
      <w:r w:rsidRPr="00FF3171">
        <w:t>Prvá časť vzorca, max (0; P − N − PZmax), vyjadruje tú časť kladného rozdielu medzi príjmami a oprávnenými nákladmi, ktorá presahuje maximálnu výšku primeraného zisku. Ak rozdiel medzi príjmami a oprávnenými nákladmi nepresahuje maximálnu výšku primeraného zisku alebo je záporný, hodnota prvej časti vzorca je nula. Záporný rozdiel sa neprenáša do iných rozpočtových rokov a výšku nadmernej náhrady nezvyšuje ani neznižuje. Druhá časť vzorca, PZn, zabezpečuje, že prenesený primeraný zisk, ktorý poskytovateľ sociálnej služby nepoužil na účely podľa § 4 ods. 2, sa vráti ako nadmerná náhrada.</w:t>
      </w:r>
    </w:p>
    <w:p w14:paraId="42FF11C9" w14:textId="77777777" w:rsidR="000574BA" w:rsidRPr="007C1808" w:rsidRDefault="009D484E">
      <w:pPr>
        <w:spacing w:after="160"/>
        <w:ind w:firstLine="708"/>
        <w:jc w:val="both"/>
      </w:pPr>
      <w:r w:rsidRPr="00FF3171">
        <w:t>Spôsob výpočtu nadmernej náhrady podľa prílohy č. 1 je ďalej ukázaný na troch príkladoch pre jednu sociálnu službu vo všeobecnom hospodárskom záujme. Sumy sú ilustračné.</w:t>
      </w:r>
    </w:p>
    <w:p w14:paraId="4E5A179F" w14:textId="77777777" w:rsidR="000574BA" w:rsidRPr="007C1808" w:rsidRDefault="009D484E">
      <w:pPr>
        <w:spacing w:after="160"/>
        <w:ind w:firstLine="708"/>
        <w:jc w:val="both"/>
      </w:pPr>
      <w:r w:rsidRPr="00FF3171">
        <w:t>Príklad 1 – vznik nadmernej náhrady. Príjmy P za príslušný rozpočtový rok sú 1 000 000 eur a oprávnené náklady N sú 960 000 eur. Rozdiel P − N je 40 000 eur. Maximálna výška primeraného zisku PZmax je 3 % z 960 000 eur, teda 28 800 eur. Poskytovateľ nemá prenesený primeraný zisk z predchádzajúceho rozpočtového roka, preto PZn je 0 eur. Nadmerná náhrada NN = max (0; 1 000 000 − 960 000 − 28 800) + 0 = 11 200 eur. Poskytovateľ si z rozdielu 40 000 eur ponechá 28 800 eur ako primeraný zisk a 11 200 eur vráti.</w:t>
      </w:r>
    </w:p>
    <w:p w14:paraId="7149132A" w14:textId="77777777" w:rsidR="000574BA" w:rsidRPr="007C1808" w:rsidRDefault="009D484E">
      <w:pPr>
        <w:spacing w:after="160"/>
        <w:ind w:firstLine="708"/>
        <w:jc w:val="both"/>
      </w:pPr>
      <w:r w:rsidRPr="00FF3171">
        <w:t>Príklad 2 – nadmerná náhrada nevzniká. Príjmy P sú 1 000 000 eur a oprávnené náklady N sú 990 000 eur. Rozdiel P − N je 10 000 eur a PZmax je 29 700 eur. Nadmerná náhrada NN = max (0; 1 000 000 − 990 000 − 29 700) + 0 = max (0; −19 700) = 0 eur. Rozdiel 10 000 eur nepresahuje maximálnu výšku primeraného zisku, a preto je primeraným ziskom za príslušný rozpočtový rok. Poskytovateľ ho prenesie do nasledujúceho rozpočtového roka a môže ho použiť len na účely podľa § 4 ods. 2.</w:t>
      </w:r>
    </w:p>
    <w:p w14:paraId="1B711B63" w14:textId="77777777" w:rsidR="000574BA" w:rsidRPr="007C1808" w:rsidRDefault="009D484E">
      <w:pPr>
        <w:spacing w:after="160"/>
        <w:ind w:firstLine="708"/>
        <w:jc w:val="both"/>
      </w:pPr>
      <w:r w:rsidRPr="00FF3171">
        <w:t>Príklad 3 – nasledujúci rozpočtový rok s použitím preneseného primeraného zisku. Príjmy P sú 1 000 000 eur a náklady zaúčtované v účtovníctve sú 965 000 eur. Z týchto nákladov 5 000 eur poskytovateľ uhradil z preneseného primeraného zisku na účel podľa § 4 ods. 2, napríklad na ďalšie vzdelávanie zamestnancov. Tieto náklady sa podľa § 3 ods. 2 nezahŕňajú do oprávnených nákladov, a preto N je 960 000 eur. Z prenesených 10 000 eur poskytovateľ použil 5 000 eur, takže PZn je 5 000 eur. PZmax je 28 800 eur. Nadmerná náhrada NN = max (0; 1 000 000 − 960 000 − 28 800) + 5 000 = 11 200 + 5 000 = 16 200 eur. Poskytovateľ vráti 11 200 eur, ktoré presahujú oprávnené náklady a maximálnu výšku primeraného zisku, a 5 000 eur z preneseného primeraného zisku, ktorý nepoužil v súlade s § 4 ods. 2. Primeraný zisk za tento rozpočtový rok je 28 800 eur (rozdiel 40 000 eur najviac do PZmax) a prenáša sa do nasledujúceho rozpočtového roka.</w:t>
      </w:r>
    </w:p>
    <w:p w14:paraId="5D345272" w14:textId="77777777" w:rsidR="000574BA" w:rsidRPr="007C1808" w:rsidRDefault="009D484E">
      <w:pPr>
        <w:spacing w:after="160"/>
        <w:ind w:firstLine="708"/>
        <w:jc w:val="both"/>
      </w:pPr>
      <w:r w:rsidRPr="00FF3171">
        <w:lastRenderedPageBreak/>
        <w:t>Výpočet nadmernej náhrady je pre príklady 1 až 3 uvedený v tabuľke podľa údajov potrebných na výpočet nadmernej náhrady v prílohe č. 4 (sumy v eurách).</w:t>
      </w:r>
    </w:p>
    <w:tbl>
      <w:tblPr>
        <w:tblW w:w="9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0"/>
        <w:gridCol w:w="4200"/>
        <w:gridCol w:w="1350"/>
        <w:gridCol w:w="1350"/>
        <w:gridCol w:w="1350"/>
      </w:tblGrid>
      <w:tr w:rsidR="000574BA" w:rsidRPr="00FF3171" w14:paraId="56046EEC" w14:textId="77777777">
        <w:trPr>
          <w:tblHeader/>
        </w:trPr>
        <w:tc>
          <w:tcPr>
            <w:tcW w:w="800" w:type="dxa"/>
            <w:shd w:val="clear" w:color="auto" w:fill="D9D9D9"/>
          </w:tcPr>
          <w:p w14:paraId="3B4BC312" w14:textId="77777777" w:rsidR="000574BA" w:rsidRPr="007C1808" w:rsidRDefault="009D484E">
            <w:pPr>
              <w:spacing w:before="40" w:after="40"/>
              <w:jc w:val="right"/>
            </w:pPr>
            <w:r w:rsidRPr="00FF3171">
              <w:rPr>
                <w:b/>
                <w:sz w:val="20"/>
              </w:rPr>
              <w:t>Písm.</w:t>
            </w:r>
          </w:p>
        </w:tc>
        <w:tc>
          <w:tcPr>
            <w:tcW w:w="4200" w:type="dxa"/>
            <w:shd w:val="clear" w:color="auto" w:fill="D9D9D9"/>
          </w:tcPr>
          <w:p w14:paraId="64875357" w14:textId="77777777" w:rsidR="000574BA" w:rsidRPr="007C1808" w:rsidRDefault="009D484E">
            <w:pPr>
              <w:spacing w:before="40" w:after="40"/>
            </w:pPr>
            <w:r w:rsidRPr="00FF3171">
              <w:rPr>
                <w:b/>
                <w:sz w:val="20"/>
              </w:rPr>
              <w:t>Údaj</w:t>
            </w:r>
          </w:p>
        </w:tc>
        <w:tc>
          <w:tcPr>
            <w:tcW w:w="1350" w:type="dxa"/>
            <w:shd w:val="clear" w:color="auto" w:fill="D9D9D9"/>
          </w:tcPr>
          <w:p w14:paraId="36952D96" w14:textId="77777777" w:rsidR="000574BA" w:rsidRPr="007C1808" w:rsidRDefault="009D484E">
            <w:pPr>
              <w:spacing w:before="40" w:after="40"/>
              <w:jc w:val="right"/>
            </w:pPr>
            <w:r w:rsidRPr="00FF3171">
              <w:rPr>
                <w:b/>
                <w:sz w:val="20"/>
              </w:rPr>
              <w:t>Príklad 1</w:t>
            </w:r>
          </w:p>
        </w:tc>
        <w:tc>
          <w:tcPr>
            <w:tcW w:w="1350" w:type="dxa"/>
            <w:shd w:val="clear" w:color="auto" w:fill="D9D9D9"/>
          </w:tcPr>
          <w:p w14:paraId="1402AC6F" w14:textId="77777777" w:rsidR="000574BA" w:rsidRPr="007C1808" w:rsidRDefault="009D484E">
            <w:pPr>
              <w:spacing w:before="40" w:after="40"/>
              <w:jc w:val="right"/>
            </w:pPr>
            <w:r w:rsidRPr="00FF3171">
              <w:rPr>
                <w:b/>
                <w:sz w:val="20"/>
              </w:rPr>
              <w:t>Príklad 2</w:t>
            </w:r>
          </w:p>
        </w:tc>
        <w:tc>
          <w:tcPr>
            <w:tcW w:w="1350" w:type="dxa"/>
            <w:shd w:val="clear" w:color="auto" w:fill="D9D9D9"/>
          </w:tcPr>
          <w:p w14:paraId="459DE91A" w14:textId="77777777" w:rsidR="000574BA" w:rsidRPr="007C1808" w:rsidRDefault="009D484E">
            <w:pPr>
              <w:spacing w:before="40" w:after="40"/>
              <w:jc w:val="right"/>
            </w:pPr>
            <w:r w:rsidRPr="00FF3171">
              <w:rPr>
                <w:b/>
                <w:sz w:val="20"/>
              </w:rPr>
              <w:t>Príklad 3</w:t>
            </w:r>
          </w:p>
        </w:tc>
      </w:tr>
      <w:tr w:rsidR="000574BA" w:rsidRPr="00FF3171" w14:paraId="5FD2D48D" w14:textId="77777777">
        <w:tc>
          <w:tcPr>
            <w:tcW w:w="800" w:type="dxa"/>
          </w:tcPr>
          <w:p w14:paraId="032043D5" w14:textId="77777777" w:rsidR="000574BA" w:rsidRPr="007C1808" w:rsidRDefault="009D484E">
            <w:pPr>
              <w:spacing w:before="40" w:after="40"/>
              <w:jc w:val="right"/>
            </w:pPr>
            <w:r w:rsidRPr="00FF3171">
              <w:rPr>
                <w:sz w:val="20"/>
              </w:rPr>
              <w:t>a)</w:t>
            </w:r>
          </w:p>
        </w:tc>
        <w:tc>
          <w:tcPr>
            <w:tcW w:w="4200" w:type="dxa"/>
          </w:tcPr>
          <w:p w14:paraId="07D6EBAB" w14:textId="77777777" w:rsidR="000574BA" w:rsidRPr="007C1808" w:rsidRDefault="009D484E">
            <w:pPr>
              <w:spacing w:before="40" w:after="40"/>
            </w:pPr>
            <w:r w:rsidRPr="00FF3171">
              <w:rPr>
                <w:sz w:val="20"/>
              </w:rPr>
              <w:t>Príjmy P</w:t>
            </w:r>
          </w:p>
        </w:tc>
        <w:tc>
          <w:tcPr>
            <w:tcW w:w="1350" w:type="dxa"/>
          </w:tcPr>
          <w:p w14:paraId="5B1BB5D2" w14:textId="77777777" w:rsidR="000574BA" w:rsidRPr="007C1808" w:rsidRDefault="009D484E">
            <w:pPr>
              <w:spacing w:before="40" w:after="40"/>
              <w:jc w:val="right"/>
            </w:pPr>
            <w:r w:rsidRPr="00FF3171">
              <w:rPr>
                <w:sz w:val="20"/>
              </w:rPr>
              <w:t>1 000 000</w:t>
            </w:r>
          </w:p>
        </w:tc>
        <w:tc>
          <w:tcPr>
            <w:tcW w:w="1350" w:type="dxa"/>
          </w:tcPr>
          <w:p w14:paraId="511B1AB0" w14:textId="77777777" w:rsidR="000574BA" w:rsidRPr="007C1808" w:rsidRDefault="009D484E">
            <w:pPr>
              <w:spacing w:before="40" w:after="40"/>
              <w:jc w:val="right"/>
            </w:pPr>
            <w:r w:rsidRPr="00FF3171">
              <w:rPr>
                <w:sz w:val="20"/>
              </w:rPr>
              <w:t>1 000 000</w:t>
            </w:r>
          </w:p>
        </w:tc>
        <w:tc>
          <w:tcPr>
            <w:tcW w:w="1350" w:type="dxa"/>
          </w:tcPr>
          <w:p w14:paraId="17DBA197" w14:textId="77777777" w:rsidR="000574BA" w:rsidRPr="007C1808" w:rsidRDefault="009D484E">
            <w:pPr>
              <w:spacing w:before="40" w:after="40"/>
              <w:jc w:val="right"/>
            </w:pPr>
            <w:r w:rsidRPr="00FF3171">
              <w:rPr>
                <w:sz w:val="20"/>
              </w:rPr>
              <w:t>1 000 000</w:t>
            </w:r>
          </w:p>
        </w:tc>
      </w:tr>
      <w:tr w:rsidR="000574BA" w:rsidRPr="00FF3171" w14:paraId="7B298FED" w14:textId="77777777">
        <w:tc>
          <w:tcPr>
            <w:tcW w:w="800" w:type="dxa"/>
          </w:tcPr>
          <w:p w14:paraId="363115FE" w14:textId="77777777" w:rsidR="000574BA" w:rsidRPr="007C1808" w:rsidRDefault="009D484E">
            <w:pPr>
              <w:spacing w:before="40" w:after="40"/>
              <w:jc w:val="right"/>
            </w:pPr>
            <w:r w:rsidRPr="00FF3171">
              <w:rPr>
                <w:sz w:val="20"/>
              </w:rPr>
              <w:t>b)</w:t>
            </w:r>
          </w:p>
        </w:tc>
        <w:tc>
          <w:tcPr>
            <w:tcW w:w="4200" w:type="dxa"/>
          </w:tcPr>
          <w:p w14:paraId="142572EA" w14:textId="77777777" w:rsidR="000574BA" w:rsidRPr="007C1808" w:rsidRDefault="009D484E">
            <w:pPr>
              <w:spacing w:before="40" w:after="40"/>
            </w:pPr>
            <w:r w:rsidRPr="00FF3171">
              <w:rPr>
                <w:sz w:val="20"/>
              </w:rPr>
              <w:t>Oprávnené náklady N</w:t>
            </w:r>
          </w:p>
        </w:tc>
        <w:tc>
          <w:tcPr>
            <w:tcW w:w="1350" w:type="dxa"/>
          </w:tcPr>
          <w:p w14:paraId="7BB632FA" w14:textId="77777777" w:rsidR="000574BA" w:rsidRPr="007C1808" w:rsidRDefault="009D484E">
            <w:pPr>
              <w:spacing w:before="40" w:after="40"/>
              <w:jc w:val="right"/>
            </w:pPr>
            <w:r w:rsidRPr="00FF3171">
              <w:rPr>
                <w:sz w:val="20"/>
              </w:rPr>
              <w:t>960 000</w:t>
            </w:r>
          </w:p>
        </w:tc>
        <w:tc>
          <w:tcPr>
            <w:tcW w:w="1350" w:type="dxa"/>
          </w:tcPr>
          <w:p w14:paraId="17CE94F6" w14:textId="77777777" w:rsidR="000574BA" w:rsidRPr="007C1808" w:rsidRDefault="009D484E">
            <w:pPr>
              <w:spacing w:before="40" w:after="40"/>
              <w:jc w:val="right"/>
            </w:pPr>
            <w:r w:rsidRPr="00FF3171">
              <w:rPr>
                <w:sz w:val="20"/>
              </w:rPr>
              <w:t>990 000</w:t>
            </w:r>
          </w:p>
        </w:tc>
        <w:tc>
          <w:tcPr>
            <w:tcW w:w="1350" w:type="dxa"/>
          </w:tcPr>
          <w:p w14:paraId="6B3569D2" w14:textId="77777777" w:rsidR="000574BA" w:rsidRPr="007C1808" w:rsidRDefault="009D484E">
            <w:pPr>
              <w:spacing w:before="40" w:after="40"/>
              <w:jc w:val="right"/>
            </w:pPr>
            <w:r w:rsidRPr="00FF3171">
              <w:rPr>
                <w:sz w:val="20"/>
              </w:rPr>
              <w:t>960 000</w:t>
            </w:r>
          </w:p>
        </w:tc>
      </w:tr>
      <w:tr w:rsidR="000574BA" w:rsidRPr="00FF3171" w14:paraId="4F142AB8" w14:textId="77777777">
        <w:tc>
          <w:tcPr>
            <w:tcW w:w="800" w:type="dxa"/>
          </w:tcPr>
          <w:p w14:paraId="04837402" w14:textId="77777777" w:rsidR="000574BA" w:rsidRPr="007C1808" w:rsidRDefault="009D484E">
            <w:pPr>
              <w:spacing w:before="40" w:after="40"/>
              <w:jc w:val="right"/>
            </w:pPr>
            <w:r w:rsidRPr="00FF3171">
              <w:rPr>
                <w:sz w:val="20"/>
              </w:rPr>
              <w:t>c)</w:t>
            </w:r>
          </w:p>
        </w:tc>
        <w:tc>
          <w:tcPr>
            <w:tcW w:w="4200" w:type="dxa"/>
          </w:tcPr>
          <w:p w14:paraId="42061C69" w14:textId="77777777" w:rsidR="000574BA" w:rsidRPr="007C1808" w:rsidRDefault="009D484E">
            <w:pPr>
              <w:spacing w:before="40" w:after="40"/>
            </w:pPr>
            <w:r w:rsidRPr="00FF3171">
              <w:rPr>
                <w:sz w:val="20"/>
              </w:rPr>
              <w:t>Maximálna výška primeraného zisku PZmax (b) × 3 %)</w:t>
            </w:r>
          </w:p>
        </w:tc>
        <w:tc>
          <w:tcPr>
            <w:tcW w:w="1350" w:type="dxa"/>
          </w:tcPr>
          <w:p w14:paraId="7F7CBE02" w14:textId="77777777" w:rsidR="000574BA" w:rsidRPr="007C1808" w:rsidRDefault="009D484E">
            <w:pPr>
              <w:spacing w:before="40" w:after="40"/>
              <w:jc w:val="right"/>
            </w:pPr>
            <w:r w:rsidRPr="00FF3171">
              <w:rPr>
                <w:sz w:val="20"/>
              </w:rPr>
              <w:t>28 800</w:t>
            </w:r>
          </w:p>
        </w:tc>
        <w:tc>
          <w:tcPr>
            <w:tcW w:w="1350" w:type="dxa"/>
          </w:tcPr>
          <w:p w14:paraId="6F925912" w14:textId="77777777" w:rsidR="000574BA" w:rsidRPr="007C1808" w:rsidRDefault="009D484E">
            <w:pPr>
              <w:spacing w:before="40" w:after="40"/>
              <w:jc w:val="right"/>
            </w:pPr>
            <w:r w:rsidRPr="00FF3171">
              <w:rPr>
                <w:sz w:val="20"/>
              </w:rPr>
              <w:t>29 700</w:t>
            </w:r>
          </w:p>
        </w:tc>
        <w:tc>
          <w:tcPr>
            <w:tcW w:w="1350" w:type="dxa"/>
          </w:tcPr>
          <w:p w14:paraId="5C6FFB9A" w14:textId="77777777" w:rsidR="000574BA" w:rsidRPr="007C1808" w:rsidRDefault="009D484E">
            <w:pPr>
              <w:spacing w:before="40" w:after="40"/>
              <w:jc w:val="right"/>
            </w:pPr>
            <w:r w:rsidRPr="00FF3171">
              <w:rPr>
                <w:sz w:val="20"/>
              </w:rPr>
              <w:t>28 800</w:t>
            </w:r>
          </w:p>
        </w:tc>
      </w:tr>
      <w:tr w:rsidR="000574BA" w:rsidRPr="00FF3171" w14:paraId="49ADC49A" w14:textId="77777777">
        <w:tc>
          <w:tcPr>
            <w:tcW w:w="800" w:type="dxa"/>
          </w:tcPr>
          <w:p w14:paraId="53B7C4A3" w14:textId="77777777" w:rsidR="000574BA" w:rsidRPr="007C1808" w:rsidRDefault="009D484E">
            <w:pPr>
              <w:spacing w:before="40" w:after="40"/>
              <w:jc w:val="right"/>
            </w:pPr>
            <w:r w:rsidRPr="00FF3171">
              <w:rPr>
                <w:sz w:val="20"/>
              </w:rPr>
              <w:t>d)</w:t>
            </w:r>
          </w:p>
        </w:tc>
        <w:tc>
          <w:tcPr>
            <w:tcW w:w="4200" w:type="dxa"/>
          </w:tcPr>
          <w:p w14:paraId="4BFF7B5A" w14:textId="77777777" w:rsidR="000574BA" w:rsidRPr="007C1808" w:rsidRDefault="009D484E">
            <w:pPr>
              <w:spacing w:before="40" w:after="40"/>
            </w:pPr>
            <w:r w:rsidRPr="00FF3171">
              <w:rPr>
                <w:sz w:val="20"/>
              </w:rPr>
              <w:t>Nadmerná náhrada pred zohľadnením preneseného primeraného zisku: max (0; a) − b) − c))</w:t>
            </w:r>
          </w:p>
        </w:tc>
        <w:tc>
          <w:tcPr>
            <w:tcW w:w="1350" w:type="dxa"/>
          </w:tcPr>
          <w:p w14:paraId="232C193E" w14:textId="77777777" w:rsidR="000574BA" w:rsidRPr="007C1808" w:rsidRDefault="009D484E">
            <w:pPr>
              <w:spacing w:before="40" w:after="40"/>
              <w:jc w:val="right"/>
            </w:pPr>
            <w:r w:rsidRPr="00FF3171">
              <w:rPr>
                <w:sz w:val="20"/>
              </w:rPr>
              <w:t>11 200</w:t>
            </w:r>
          </w:p>
        </w:tc>
        <w:tc>
          <w:tcPr>
            <w:tcW w:w="1350" w:type="dxa"/>
          </w:tcPr>
          <w:p w14:paraId="6DD1286D" w14:textId="77777777" w:rsidR="000574BA" w:rsidRPr="007C1808" w:rsidRDefault="009D484E">
            <w:pPr>
              <w:spacing w:before="40" w:after="40"/>
              <w:jc w:val="right"/>
            </w:pPr>
            <w:r w:rsidRPr="00FF3171">
              <w:rPr>
                <w:sz w:val="20"/>
              </w:rPr>
              <w:t>0</w:t>
            </w:r>
          </w:p>
        </w:tc>
        <w:tc>
          <w:tcPr>
            <w:tcW w:w="1350" w:type="dxa"/>
          </w:tcPr>
          <w:p w14:paraId="0C08D3B0" w14:textId="77777777" w:rsidR="000574BA" w:rsidRPr="007C1808" w:rsidRDefault="009D484E">
            <w:pPr>
              <w:spacing w:before="40" w:after="40"/>
              <w:jc w:val="right"/>
            </w:pPr>
            <w:r w:rsidRPr="00FF3171">
              <w:rPr>
                <w:sz w:val="20"/>
              </w:rPr>
              <w:t>11 200</w:t>
            </w:r>
          </w:p>
        </w:tc>
      </w:tr>
      <w:tr w:rsidR="000574BA" w:rsidRPr="00FF3171" w14:paraId="3958719B" w14:textId="77777777">
        <w:tc>
          <w:tcPr>
            <w:tcW w:w="800" w:type="dxa"/>
          </w:tcPr>
          <w:p w14:paraId="2A5C3498" w14:textId="77777777" w:rsidR="000574BA" w:rsidRPr="007C1808" w:rsidRDefault="009D484E">
            <w:pPr>
              <w:spacing w:before="40" w:after="40"/>
              <w:jc w:val="right"/>
            </w:pPr>
            <w:r w:rsidRPr="00FF3171">
              <w:rPr>
                <w:sz w:val="20"/>
              </w:rPr>
              <w:t>e)</w:t>
            </w:r>
          </w:p>
        </w:tc>
        <w:tc>
          <w:tcPr>
            <w:tcW w:w="4200" w:type="dxa"/>
          </w:tcPr>
          <w:p w14:paraId="2E5A6D3B" w14:textId="77777777" w:rsidR="000574BA" w:rsidRPr="007C1808" w:rsidRDefault="009D484E">
            <w:pPr>
              <w:spacing w:before="40" w:after="40"/>
            </w:pPr>
            <w:r w:rsidRPr="00FF3171">
              <w:rPr>
                <w:sz w:val="20"/>
              </w:rPr>
              <w:t>Prenesený primeraný zisk</w:t>
            </w:r>
          </w:p>
        </w:tc>
        <w:tc>
          <w:tcPr>
            <w:tcW w:w="1350" w:type="dxa"/>
          </w:tcPr>
          <w:p w14:paraId="5E1D4B3F" w14:textId="77777777" w:rsidR="000574BA" w:rsidRPr="007C1808" w:rsidRDefault="009D484E">
            <w:pPr>
              <w:spacing w:before="40" w:after="40"/>
              <w:jc w:val="right"/>
            </w:pPr>
            <w:r w:rsidRPr="00FF3171">
              <w:rPr>
                <w:sz w:val="20"/>
              </w:rPr>
              <w:t>0</w:t>
            </w:r>
          </w:p>
        </w:tc>
        <w:tc>
          <w:tcPr>
            <w:tcW w:w="1350" w:type="dxa"/>
          </w:tcPr>
          <w:p w14:paraId="24DC8F6C" w14:textId="77777777" w:rsidR="000574BA" w:rsidRPr="007C1808" w:rsidRDefault="009D484E">
            <w:pPr>
              <w:spacing w:before="40" w:after="40"/>
              <w:jc w:val="right"/>
            </w:pPr>
            <w:r w:rsidRPr="00FF3171">
              <w:rPr>
                <w:sz w:val="20"/>
              </w:rPr>
              <w:t>0</w:t>
            </w:r>
          </w:p>
        </w:tc>
        <w:tc>
          <w:tcPr>
            <w:tcW w:w="1350" w:type="dxa"/>
          </w:tcPr>
          <w:p w14:paraId="3C76EC6A" w14:textId="77777777" w:rsidR="000574BA" w:rsidRPr="007C1808" w:rsidRDefault="009D484E">
            <w:pPr>
              <w:spacing w:before="40" w:after="40"/>
              <w:jc w:val="right"/>
            </w:pPr>
            <w:r w:rsidRPr="00FF3171">
              <w:rPr>
                <w:sz w:val="20"/>
              </w:rPr>
              <w:t>10 000</w:t>
            </w:r>
          </w:p>
        </w:tc>
      </w:tr>
      <w:tr w:rsidR="000574BA" w:rsidRPr="00FF3171" w14:paraId="30BD5ED2" w14:textId="77777777">
        <w:tc>
          <w:tcPr>
            <w:tcW w:w="800" w:type="dxa"/>
          </w:tcPr>
          <w:p w14:paraId="110B0BA5" w14:textId="77777777" w:rsidR="000574BA" w:rsidRPr="007C1808" w:rsidRDefault="009D484E">
            <w:pPr>
              <w:spacing w:before="40" w:after="40"/>
              <w:jc w:val="right"/>
            </w:pPr>
            <w:r w:rsidRPr="00FF3171">
              <w:rPr>
                <w:sz w:val="20"/>
              </w:rPr>
              <w:t>f)</w:t>
            </w:r>
          </w:p>
        </w:tc>
        <w:tc>
          <w:tcPr>
            <w:tcW w:w="4200" w:type="dxa"/>
          </w:tcPr>
          <w:p w14:paraId="6FCA8597" w14:textId="77777777" w:rsidR="000574BA" w:rsidRPr="007C1808" w:rsidRDefault="009D484E">
            <w:pPr>
              <w:spacing w:before="40" w:after="40"/>
            </w:pPr>
            <w:r w:rsidRPr="00FF3171">
              <w:rPr>
                <w:sz w:val="20"/>
              </w:rPr>
              <w:t>Z toho použitý podľa § 4 ods. 2</w:t>
            </w:r>
          </w:p>
        </w:tc>
        <w:tc>
          <w:tcPr>
            <w:tcW w:w="1350" w:type="dxa"/>
          </w:tcPr>
          <w:p w14:paraId="4773EB17" w14:textId="77777777" w:rsidR="000574BA" w:rsidRPr="007C1808" w:rsidRDefault="009D484E">
            <w:pPr>
              <w:spacing w:before="40" w:after="40"/>
              <w:jc w:val="right"/>
            </w:pPr>
            <w:r w:rsidRPr="00FF3171">
              <w:rPr>
                <w:sz w:val="20"/>
              </w:rPr>
              <w:t>0</w:t>
            </w:r>
          </w:p>
        </w:tc>
        <w:tc>
          <w:tcPr>
            <w:tcW w:w="1350" w:type="dxa"/>
          </w:tcPr>
          <w:p w14:paraId="450EA74C" w14:textId="77777777" w:rsidR="000574BA" w:rsidRPr="007C1808" w:rsidRDefault="009D484E">
            <w:pPr>
              <w:spacing w:before="40" w:after="40"/>
              <w:jc w:val="right"/>
            </w:pPr>
            <w:r w:rsidRPr="00FF3171">
              <w:rPr>
                <w:sz w:val="20"/>
              </w:rPr>
              <w:t>0</w:t>
            </w:r>
          </w:p>
        </w:tc>
        <w:tc>
          <w:tcPr>
            <w:tcW w:w="1350" w:type="dxa"/>
          </w:tcPr>
          <w:p w14:paraId="5E34F58F" w14:textId="77777777" w:rsidR="000574BA" w:rsidRPr="007C1808" w:rsidRDefault="009D484E">
            <w:pPr>
              <w:spacing w:before="40" w:after="40"/>
              <w:jc w:val="right"/>
            </w:pPr>
            <w:r w:rsidRPr="00FF3171">
              <w:rPr>
                <w:sz w:val="20"/>
              </w:rPr>
              <w:t>5 000</w:t>
            </w:r>
          </w:p>
        </w:tc>
      </w:tr>
      <w:tr w:rsidR="000574BA" w:rsidRPr="00FF3171" w14:paraId="5F8C0153" w14:textId="77777777">
        <w:tc>
          <w:tcPr>
            <w:tcW w:w="800" w:type="dxa"/>
          </w:tcPr>
          <w:p w14:paraId="6BEB5908" w14:textId="77777777" w:rsidR="000574BA" w:rsidRPr="007C1808" w:rsidRDefault="009D484E">
            <w:pPr>
              <w:spacing w:before="40" w:after="40"/>
              <w:jc w:val="right"/>
            </w:pPr>
            <w:r w:rsidRPr="00FF3171">
              <w:rPr>
                <w:sz w:val="20"/>
              </w:rPr>
              <w:t>g)</w:t>
            </w:r>
          </w:p>
        </w:tc>
        <w:tc>
          <w:tcPr>
            <w:tcW w:w="4200" w:type="dxa"/>
          </w:tcPr>
          <w:p w14:paraId="3EC37155" w14:textId="77777777" w:rsidR="000574BA" w:rsidRPr="007C1808" w:rsidRDefault="009D484E">
            <w:pPr>
              <w:spacing w:before="40" w:after="40"/>
            </w:pPr>
            <w:r w:rsidRPr="00FF3171">
              <w:rPr>
                <w:sz w:val="20"/>
              </w:rPr>
              <w:t>Nepoužitý prenesený primeraný zisk PZn (e) − f))</w:t>
            </w:r>
          </w:p>
        </w:tc>
        <w:tc>
          <w:tcPr>
            <w:tcW w:w="1350" w:type="dxa"/>
          </w:tcPr>
          <w:p w14:paraId="6ADF933B" w14:textId="77777777" w:rsidR="000574BA" w:rsidRPr="007C1808" w:rsidRDefault="009D484E">
            <w:pPr>
              <w:spacing w:before="40" w:after="40"/>
              <w:jc w:val="right"/>
            </w:pPr>
            <w:r w:rsidRPr="00FF3171">
              <w:rPr>
                <w:sz w:val="20"/>
              </w:rPr>
              <w:t>0</w:t>
            </w:r>
          </w:p>
        </w:tc>
        <w:tc>
          <w:tcPr>
            <w:tcW w:w="1350" w:type="dxa"/>
          </w:tcPr>
          <w:p w14:paraId="1E2037F8" w14:textId="77777777" w:rsidR="000574BA" w:rsidRPr="007C1808" w:rsidRDefault="009D484E">
            <w:pPr>
              <w:spacing w:before="40" w:after="40"/>
              <w:jc w:val="right"/>
            </w:pPr>
            <w:r w:rsidRPr="00FF3171">
              <w:rPr>
                <w:sz w:val="20"/>
              </w:rPr>
              <w:t>0</w:t>
            </w:r>
          </w:p>
        </w:tc>
        <w:tc>
          <w:tcPr>
            <w:tcW w:w="1350" w:type="dxa"/>
          </w:tcPr>
          <w:p w14:paraId="550FF08C" w14:textId="77777777" w:rsidR="000574BA" w:rsidRPr="007C1808" w:rsidRDefault="009D484E">
            <w:pPr>
              <w:spacing w:before="40" w:after="40"/>
              <w:jc w:val="right"/>
            </w:pPr>
            <w:r w:rsidRPr="00FF3171">
              <w:rPr>
                <w:sz w:val="20"/>
              </w:rPr>
              <w:t>5 000</w:t>
            </w:r>
          </w:p>
        </w:tc>
      </w:tr>
      <w:tr w:rsidR="000574BA" w:rsidRPr="00FF3171" w14:paraId="36AA26C7" w14:textId="77777777">
        <w:tc>
          <w:tcPr>
            <w:tcW w:w="800" w:type="dxa"/>
          </w:tcPr>
          <w:p w14:paraId="191BBE86" w14:textId="77777777" w:rsidR="000574BA" w:rsidRPr="007C1808" w:rsidRDefault="009D484E">
            <w:pPr>
              <w:spacing w:before="40" w:after="40"/>
              <w:jc w:val="right"/>
            </w:pPr>
            <w:r w:rsidRPr="00FF3171">
              <w:rPr>
                <w:sz w:val="20"/>
              </w:rPr>
              <w:t>h)</w:t>
            </w:r>
          </w:p>
        </w:tc>
        <w:tc>
          <w:tcPr>
            <w:tcW w:w="4200" w:type="dxa"/>
          </w:tcPr>
          <w:p w14:paraId="5868C756" w14:textId="77777777" w:rsidR="000574BA" w:rsidRPr="007C1808" w:rsidRDefault="009D484E">
            <w:pPr>
              <w:spacing w:before="40" w:after="40"/>
            </w:pPr>
            <w:r w:rsidRPr="00FF3171">
              <w:rPr>
                <w:sz w:val="20"/>
              </w:rPr>
              <w:t>Nadmerná náhrada NN (d) + g))</w:t>
            </w:r>
          </w:p>
        </w:tc>
        <w:tc>
          <w:tcPr>
            <w:tcW w:w="1350" w:type="dxa"/>
          </w:tcPr>
          <w:p w14:paraId="46B411F9" w14:textId="77777777" w:rsidR="000574BA" w:rsidRPr="007C1808" w:rsidRDefault="009D484E">
            <w:pPr>
              <w:spacing w:before="40" w:after="40"/>
              <w:jc w:val="right"/>
            </w:pPr>
            <w:r w:rsidRPr="00FF3171">
              <w:rPr>
                <w:sz w:val="20"/>
              </w:rPr>
              <w:t>11 200</w:t>
            </w:r>
          </w:p>
        </w:tc>
        <w:tc>
          <w:tcPr>
            <w:tcW w:w="1350" w:type="dxa"/>
          </w:tcPr>
          <w:p w14:paraId="05224E3C" w14:textId="77777777" w:rsidR="000574BA" w:rsidRPr="007C1808" w:rsidRDefault="009D484E">
            <w:pPr>
              <w:spacing w:before="40" w:after="40"/>
              <w:jc w:val="right"/>
            </w:pPr>
            <w:r w:rsidRPr="00FF3171">
              <w:rPr>
                <w:sz w:val="20"/>
              </w:rPr>
              <w:t>0</w:t>
            </w:r>
          </w:p>
        </w:tc>
        <w:tc>
          <w:tcPr>
            <w:tcW w:w="1350" w:type="dxa"/>
          </w:tcPr>
          <w:p w14:paraId="101FFFEF" w14:textId="77777777" w:rsidR="000574BA" w:rsidRPr="007C1808" w:rsidRDefault="009D484E">
            <w:pPr>
              <w:spacing w:before="40" w:after="40"/>
              <w:jc w:val="right"/>
            </w:pPr>
            <w:r w:rsidRPr="00FF3171">
              <w:rPr>
                <w:sz w:val="20"/>
              </w:rPr>
              <w:t>16 200</w:t>
            </w:r>
          </w:p>
        </w:tc>
      </w:tr>
      <w:tr w:rsidR="000574BA" w:rsidRPr="00FF3171" w14:paraId="2BCF2DAF" w14:textId="77777777">
        <w:tc>
          <w:tcPr>
            <w:tcW w:w="800" w:type="dxa"/>
          </w:tcPr>
          <w:p w14:paraId="389E678D" w14:textId="77777777" w:rsidR="000574BA" w:rsidRPr="007C1808" w:rsidRDefault="009D484E">
            <w:pPr>
              <w:spacing w:before="40" w:after="40"/>
              <w:jc w:val="right"/>
            </w:pPr>
            <w:r w:rsidRPr="00FF3171">
              <w:rPr>
                <w:sz w:val="20"/>
              </w:rPr>
              <w:t>i)</w:t>
            </w:r>
          </w:p>
        </w:tc>
        <w:tc>
          <w:tcPr>
            <w:tcW w:w="4200" w:type="dxa"/>
          </w:tcPr>
          <w:p w14:paraId="2FF75C19" w14:textId="77777777" w:rsidR="000574BA" w:rsidRPr="007C1808" w:rsidRDefault="009D484E">
            <w:pPr>
              <w:spacing w:before="40" w:after="40"/>
            </w:pPr>
            <w:r w:rsidRPr="00FF3171">
              <w:rPr>
                <w:sz w:val="20"/>
              </w:rPr>
              <w:t>Primeraný zisk za rozpočtový rok prenášaný do nasledujúceho roka</w:t>
            </w:r>
          </w:p>
        </w:tc>
        <w:tc>
          <w:tcPr>
            <w:tcW w:w="1350" w:type="dxa"/>
          </w:tcPr>
          <w:p w14:paraId="3F94F6AF" w14:textId="77777777" w:rsidR="000574BA" w:rsidRPr="007C1808" w:rsidRDefault="009D484E">
            <w:pPr>
              <w:spacing w:before="40" w:after="40"/>
              <w:jc w:val="right"/>
            </w:pPr>
            <w:r w:rsidRPr="00FF3171">
              <w:rPr>
                <w:sz w:val="20"/>
              </w:rPr>
              <w:t>28 800</w:t>
            </w:r>
          </w:p>
        </w:tc>
        <w:tc>
          <w:tcPr>
            <w:tcW w:w="1350" w:type="dxa"/>
          </w:tcPr>
          <w:p w14:paraId="50C87BFA" w14:textId="77777777" w:rsidR="000574BA" w:rsidRPr="007C1808" w:rsidRDefault="009D484E">
            <w:pPr>
              <w:spacing w:before="40" w:after="40"/>
              <w:jc w:val="right"/>
            </w:pPr>
            <w:r w:rsidRPr="00FF3171">
              <w:rPr>
                <w:sz w:val="20"/>
              </w:rPr>
              <w:t>10 000</w:t>
            </w:r>
          </w:p>
        </w:tc>
        <w:tc>
          <w:tcPr>
            <w:tcW w:w="1350" w:type="dxa"/>
          </w:tcPr>
          <w:p w14:paraId="36490EF2" w14:textId="77777777" w:rsidR="000574BA" w:rsidRPr="007C1808" w:rsidRDefault="009D484E">
            <w:pPr>
              <w:spacing w:before="40" w:after="40"/>
              <w:jc w:val="right"/>
            </w:pPr>
            <w:r w:rsidRPr="00FF3171">
              <w:rPr>
                <w:sz w:val="20"/>
              </w:rPr>
              <w:t>28 800</w:t>
            </w:r>
          </w:p>
        </w:tc>
      </w:tr>
    </w:tbl>
    <w:p w14:paraId="46186F43" w14:textId="77777777" w:rsidR="000A1322" w:rsidRPr="007C1808" w:rsidRDefault="00707DAE">
      <w:pPr>
        <w:spacing w:before="200" w:after="120"/>
      </w:pPr>
      <w:r w:rsidRPr="00FF3171">
        <w:rPr>
          <w:b/>
        </w:rPr>
        <w:t>K prílohe č. 2</w:t>
      </w:r>
    </w:p>
    <w:p w14:paraId="32712B44" w14:textId="77777777" w:rsidR="000A1322" w:rsidRPr="007C1808" w:rsidRDefault="00707DAE">
      <w:pPr>
        <w:spacing w:after="160"/>
        <w:ind w:firstLine="708"/>
        <w:jc w:val="both"/>
      </w:pPr>
      <w:r w:rsidRPr="00FF3171">
        <w:t xml:space="preserve">V prílohe č. 2 sa v časti I vymedzuje rozsah oprávnených nákladov na poskytovanie sociálnej služby vo všeobecnom hospodárskom záujme podľa druhu sociálnej služby, formy sociálnej služby a miesta jej poskytovania. Ide o mzdové náklady, ktorými sú mzda, mimoriadna zložka mzdy, plat, ktorý tvorí tarifný plat, osobný príplatok, príplatok vo výške 5 % za výkon odborných činností sociálnej práce, príplatok vo výške 25 % zdravotníckemu zamestnancovi, príplatok za riadenie, príplatok za zastupovanie, príplatok za prácu v noci, príplatok za prácu v sobotu alebo v nedeľu, príplatok za prácu vo sviatok, plat za prácu nadčas, platová kompenzácia za sťažený výkon práce, príplatok za zmennosť, kreditový príplatok, príplatok za vedenie služobného motorového vozidla a dorovnávací príplatok, vymedzené peňažné plnenia a odmeny, odmena za prácu vykonávanú na základe dohôd o prácach vykonávaných mimo pracovného pomeru, ktorými sú dohoda o vykonaní práce, dohoda o pracovnej činnosti a dohoda o brigádnickej práci študentov, odstupné, odchodné a náhrada príjmu pri dočasnej pracovnej neschopnosti zamestnanca, zákonné sociálne náklady zamestnávateľa vrátane príspevku na stravovanie zamestnancovi, zákonné poistné a príspevky na dôchodkové sporenie platené zamestnávateľom, v rozsahu zodpovedajúcom mzdovým nákladom, tuzemské cestovné náhrady súvisiace so sprevádzaním prijímateľa sociálnej služby, s poskytovaním sociálnej služby terénnou formou alebo so vzdelávaním zamestnancov, náklady na energie, vodné, stočné a telekomunikačné služby, spotrebu materiálu, drobnú výpočtovú techniku, drobnú telekomunikačnú techniku a prevádzkové stroje, prístroje, zariadenia, technické vybavenie a náradie, ktoré nie sú dlhodobým majetkom, pracovné odevy, pracovnú obuv a osobné ochranné pracovné prostriedky, náklady na spotrebu potravín poskytovaných prijímateľom sociálnej služby, softvér, licencie a ostatné poplatky za používanie informačných systémov, ak nie sú dlhodobým majetkom, náklady na opravy a udržiavanie majetku, nájomné, poistné súvisiace s majetkom a aktivitami, dane a poplatky súvisiace s majetkom, ostatné služby obstarávané dodávateľským spôsobom, ak nie sú zabezpečené vlastnými zamestnancami, a odpisy dlhodobého majetku. Pri nájme bytových priestorov je oprávneným nákladom nájomné najviac do výšky obvyklého nájomného v danej lokalite. Ak poskytovateľ sociálnej služby zdieľa personálne zabezpečenie medzi viacerými sociálnymi službami, mzdové náklady a zákonné poistné zamestnanca sa určia v pomernej výške zodpovedajúcej pomeru skutočne </w:t>
      </w:r>
      <w:r w:rsidRPr="00FF3171">
        <w:lastRenderedPageBreak/>
        <w:t>odpracovaného pracovného času v jednotlivých druhoch sociálnej služby, formách sociálnej služby alebo miestach jej poskytovania.</w:t>
      </w:r>
    </w:p>
    <w:p w14:paraId="3A95A5F2" w14:textId="77777777" w:rsidR="000A1322" w:rsidRPr="007C1808" w:rsidRDefault="00707DAE">
      <w:pPr>
        <w:spacing w:after="160"/>
        <w:ind w:firstLine="708"/>
        <w:jc w:val="both"/>
      </w:pPr>
      <w:r w:rsidRPr="00FF3171">
        <w:t>Pri mzdových nákladoch sa ustanovujú horné hranice jednotlivých plnení. Peňažné plnenia poskytnuté zamestnancovi pri príležitosti obdobia letných dovoleniek alebo vianočných sviatkov sa započítavajú najviac do výšky dvojnásobku jeho mesačnej mzdy a plnenie poskytnuté pri príležitosti pracovného výročia alebo životného výročia najviac do výšky jeho mesačnej mzdy. Mimoriadna zložka mzdy ako finančné ocenenie za kvalitné plnenie pracovných úloh, dosiahnuté pracovné výsledky a zvýšenú pracovnú výkonnosť sa započítava najviac do výšky mesačnej mzdy zamestnanca. Odmena zamestnanca odmeňovaného platom sa započítava najviac do výšky dvojnásobku jeho funkčného platu; toto obmedzenie sa nevzťahuje na odmenu za pracovné zásluhy pri dosiahnutí 50 rokov a 60 rokov veku a na odmenu pri prvom skončení pracovného pomeru po preukázaní nároku na predčasný starobný dôchodok, starobný dôchodok alebo invalidný dôchodok. Za funkčný plat sa považuje súčet tarifného platu, príplatku za riadenie, príplatku za zastupovanie, osobného príplatku, platovej kompenzácie za sťažený výkon práce, príplatku za zmennosť, kreditového príplatku, príplatku za vedenie služobného motorového vozidla, dorovnávacieho príplatku, príplatku vo výške 1 % až 5 % za výkon odborných činností sociálnej práce a príplatku vo výške 10 % až 25 % zdravotníckemu zamestnancovi. Odmena za prácu vykonávanú na základe dohôd o prácach vykonávaných mimo pracovného pomeru sa započítava najviac do výšky hodinovej sadzby, ktorá sa vypočíta ako podiel maximálnej výšky ročnej celkovej ceny práce pre kategóriu zamestnancov podľa časti II a ročného fondu pracovného času pri ustanovenom týždennom pracovnom čase. Mzdové náklady a zákonné poistné sa započítavajú najviac do maximálnej výšky ročnej celkovej ceny práce podľa časti II.</w:t>
      </w:r>
    </w:p>
    <w:p w14:paraId="1A0C1161" w14:textId="77777777" w:rsidR="000A1322" w:rsidRPr="007C1808" w:rsidRDefault="00707DAE">
      <w:pPr>
        <w:spacing w:after="160"/>
        <w:ind w:firstLine="708"/>
        <w:jc w:val="both"/>
      </w:pPr>
      <w:r w:rsidRPr="00FF3171">
        <w:t>Pri odpisoch dlhodobého nehmotného majetku a dlhodobého hmotného majetku je oprávneným nákladom len časť odpisov majetku používaného na poskytovanie sociálnej služby vo všeobecnom hospodárskom záujme zodpovedajúca podielu vlastných zdrojov poskytovateľa sociálnej služby na obstarávacej cene majetku, pričom vlastnými zdrojmi sú aj úhrady od prijímateľov sociálnej služby a prostriedky z úveru alebo pôžičky. Ak sa majetok používa aj na iné účely, odpisy sa rozpočítajú podľa pravidiel rozpočítavania spoločných nákladov. Z oprávnených nákladov sa vylučuje časť odpisov zodpovedajúca podielu kapitálových transferov z verejných prostriedkov, prostriedkov Európskej únie a darov, ako aj odpisy majetku nadobudnutého bezodplatne alebo zvereného do správy štátom, obcou alebo vyšším územným celkom. Tým sa zabraňuje tomu, aby sa v oprávnených nákladoch zohľadnili náklady na majetok, ktoré poskytovateľ sociálnej služby nefinancoval z vlastných zdrojov. Podiel vlastných zdrojov sa určuje samostatne pre obstarávaciu cenu majetku a pre každé jeho technické zhodnotenie.</w:t>
      </w:r>
    </w:p>
    <w:p w14:paraId="5C036F42" w14:textId="77777777" w:rsidR="000A1322" w:rsidRPr="007C1808" w:rsidRDefault="00707DAE">
      <w:pPr>
        <w:spacing w:after="160"/>
        <w:ind w:firstLine="708"/>
        <w:jc w:val="both"/>
      </w:pPr>
      <w:r w:rsidRPr="00FF3171">
        <w:t>V časti II sa ustanovuje maximálna výška ročnej celkovej ceny práce na zamestnanca prepočítaná na jeden pracovný úväzok, ktorým sa rozumie ustanovený týždenný pracovný čas, podľa kategórií zamestnancov, ktorými sú odborní zamestnanci podľa dosiahnutého vzdelania, obslužní zamestnanci, administratívno-prevádzkoví zamestnanci a sestry podľa dosiahnutého vzdelania. Ročná celková cena práce zahŕňa mzdové náklady podľa odseku 1 písm. a) až i) časti I a zákonné poistné podľa časti I. Súčasne sa ustanovujú všeobecné pravidlá oprávnenosti mzdových nákladov vrátane pomerného určenia maximálnej výšky pri kratšom pracovnom čase alebo pri výkone práce len počas časti rozpočtového roka a povinnosti viesť preukázateľnú evidenciu umožňujúcu overiť dodržanie maximálnej výšky a rozdelenie mzdových nákladov medzi jednotlivé druhy sociálnej služby, formy sociálnej služby a miesta ich poskytovania.</w:t>
      </w:r>
    </w:p>
    <w:p w14:paraId="0AD01996" w14:textId="77777777" w:rsidR="000F1038" w:rsidRPr="00FF3171" w:rsidRDefault="009067DA" w:rsidP="003158DD">
      <w:pPr>
        <w:spacing w:after="160"/>
        <w:ind w:firstLine="708"/>
        <w:jc w:val="both"/>
      </w:pPr>
      <w:r w:rsidRPr="00FF3171">
        <w:t xml:space="preserve">Maximálna výška ročnej celkovej ceny práce podľa tabuľky č. 1 sa určila ako dvanásťnásobok mesačnej celkovej ceny práce na jeden pracovný úväzok. Mesačnú celkovú </w:t>
      </w:r>
      <w:r w:rsidRPr="00FF3171">
        <w:lastRenderedPageBreak/>
        <w:t xml:space="preserve">cenu práce tvorí hrubá mesačná mzda zamestnanca (ide o </w:t>
      </w:r>
      <w:r w:rsidRPr="00FF3171">
        <w:rPr>
          <w:rStyle w:val="Vrazn"/>
          <w:b w:val="0"/>
        </w:rPr>
        <w:t>celkovú mesačnú sumu peňažného plnenia pred odpočítaním povinných odvodov)</w:t>
      </w:r>
      <w:r w:rsidRPr="007C1808">
        <w:t xml:space="preserve"> </w:t>
      </w:r>
      <w:r w:rsidRPr="00FF3171">
        <w:t>a poistné a príspevok do poisťovní platené zamestnávateľom, ktoré sa započítali v sadzbe 36,2 % z hrubej mesačnej mzdy, z toho poistné na verejné zdravotné poistenie v sadzbe 11 % a poistné na sociálne poistenie v sadzbe 25,2 %. Mesačná celková cena práce sa zaokrúhlila na celé eurá nahor.</w:t>
      </w:r>
    </w:p>
    <w:p w14:paraId="6C724477" w14:textId="77777777" w:rsidR="000A1322" w:rsidRPr="00FF3171" w:rsidRDefault="00707DAE">
      <w:pPr>
        <w:spacing w:after="160"/>
        <w:ind w:firstLine="708"/>
        <w:jc w:val="both"/>
      </w:pPr>
      <w:r w:rsidRPr="00FF3171">
        <w:t>Pri kategóriách odborných zamestnancov (okrem sestier), obslužných zamestnancov a administratívno-prevádzkových zamestnancov sa do mesačného platu započítalo :</w:t>
      </w:r>
    </w:p>
    <w:p w14:paraId="76B9732D" w14:textId="77777777" w:rsidR="00435A4C" w:rsidRPr="00FF3171" w:rsidRDefault="00435A4C" w:rsidP="003952B6">
      <w:pPr>
        <w:pStyle w:val="Odsekzoznamu"/>
        <w:numPr>
          <w:ilvl w:val="0"/>
          <w:numId w:val="10"/>
        </w:numPr>
        <w:spacing w:after="160"/>
        <w:jc w:val="both"/>
      </w:pPr>
      <w:r w:rsidRPr="00FF3171">
        <w:t xml:space="preserve">Tarifný plat zamestnancov sa určil podľa prílohy č. 4 k nariadeniu vlády č. 296/2022 Z. z., </w:t>
      </w:r>
      <w:r w:rsidRPr="00FF3171">
        <w:rPr>
          <w:bCs/>
        </w:rPr>
        <w:t>ktorým sa ustanovujú zvýšené stupnice platových taríf zamestnancov pri výkone práce vo verejnom záujme.</w:t>
      </w:r>
      <w:r w:rsidRPr="00FF3171">
        <w:t xml:space="preserve"> Pre každú pracovnú činnosť sa vychádzalo z najvyššej platovej tarify platovej triedy do ktorej je príslušný zamestnanec zaradený. U pedagogických zamestnancov sa tarifný plat určil podľa prílohy č. 5  k nariadeniu vlády č. 296/2022 Z. z. Tarifný plat sa zvýšil o 5% zamestnancom, ktorí vykonávajú odborné pracovné činnosti sociálnej práce (§ 7 ods. 6 písm. b) 2. bod zákona č. 553/2003 Z. z. </w:t>
      </w:r>
      <w:r w:rsidRPr="00FF3171">
        <w:rPr>
          <w:bCs/>
          <w:shd w:val="clear" w:color="auto" w:fill="FFFFFF"/>
        </w:rPr>
        <w:t>o odmeňovaní niektorých zamestnancov pri výkone práce vo verejnom záujme a o zmene a doplnení niektorých zákonov - ďalej len „zákon o odmeňovaní“)</w:t>
      </w:r>
      <w:r w:rsidRPr="00FF3171">
        <w:t xml:space="preserve"> a o 25% zdravotníckym zamestnancom (§ 7 ods. 7 zákona o odmeňovaní). </w:t>
      </w:r>
    </w:p>
    <w:p w14:paraId="43847F8E" w14:textId="77777777" w:rsidR="00435A4C" w:rsidRPr="00FF3171" w:rsidRDefault="00435A4C" w:rsidP="00435A4C">
      <w:pPr>
        <w:pStyle w:val="Odsekzoznamu"/>
        <w:numPr>
          <w:ilvl w:val="0"/>
          <w:numId w:val="10"/>
        </w:numPr>
        <w:spacing w:after="160"/>
        <w:jc w:val="both"/>
      </w:pPr>
      <w:r w:rsidRPr="00FF3171">
        <w:t>Osobný príplatok sa k platovej tarife započítal vo výške 100% z najvyššieho platového stupňa príslušnej platovej triedy do ktorej je zamestnanec zaradený. Pri pedagogických zamestnancoch je to 100 % z platovej tarify platovej triedy  a pracovnej triedy, do ktorej je zamestnanec zaradený zvýšenej o 14 % (§ 10 ods. 4 zákona o odmeňovaní).</w:t>
      </w:r>
    </w:p>
    <w:p w14:paraId="4D1E4E51" w14:textId="77777777" w:rsidR="003952B6" w:rsidRPr="00FF3171" w:rsidRDefault="00435A4C" w:rsidP="00435A4C">
      <w:pPr>
        <w:pStyle w:val="Odsekzoznamu"/>
        <w:numPr>
          <w:ilvl w:val="0"/>
          <w:numId w:val="10"/>
        </w:numPr>
        <w:spacing w:after="160"/>
        <w:jc w:val="both"/>
      </w:pPr>
      <w:r w:rsidRPr="00FF3171">
        <w:t>Zákonné príplatky (príplatok za prácu v noci,  za prácu v sobotu alebo v nedeľu, za prácu vo sviatok a za zmennosť) vo výške 200 eur.</w:t>
      </w:r>
    </w:p>
    <w:p w14:paraId="1EAF4A33" w14:textId="77777777" w:rsidR="00435A4C" w:rsidRPr="00FF3171" w:rsidRDefault="00435A4C" w:rsidP="00435A4C">
      <w:pPr>
        <w:pStyle w:val="Odsekzoznamu"/>
        <w:numPr>
          <w:ilvl w:val="0"/>
          <w:numId w:val="10"/>
        </w:numPr>
        <w:spacing w:after="160"/>
        <w:jc w:val="both"/>
      </w:pPr>
      <w:r w:rsidRPr="00FF3171">
        <w:t>Príplatok za riadenie (§ 8 zákona o odmeňovaní).</w:t>
      </w:r>
    </w:p>
    <w:p w14:paraId="45BE5906" w14:textId="77777777" w:rsidR="00391762" w:rsidRPr="00FF3171" w:rsidRDefault="00391762" w:rsidP="00435A4C">
      <w:pPr>
        <w:pStyle w:val="Odsekzoznamu"/>
        <w:numPr>
          <w:ilvl w:val="0"/>
          <w:numId w:val="10"/>
        </w:numPr>
        <w:spacing w:after="160"/>
        <w:jc w:val="both"/>
      </w:pPr>
      <w:r w:rsidRPr="00FF3171">
        <w:t xml:space="preserve">Mimoriadne odmeny (§ 20 ods. 1 písm. a) až c) vo výške 300 eur.  </w:t>
      </w:r>
    </w:p>
    <w:p w14:paraId="326A147F" w14:textId="77777777" w:rsidR="000F1038" w:rsidRPr="00FF3171" w:rsidRDefault="009067DA" w:rsidP="003867A6">
      <w:pPr>
        <w:spacing w:after="160"/>
        <w:ind w:firstLine="708"/>
        <w:jc w:val="both"/>
      </w:pPr>
      <w:r w:rsidRPr="00FF3171">
        <w:t>Hrubá mesačná mzda jednotlivých kategórií zamestnancov je aritmetickým priemerom takto určených hrubých mesačných miezd jednotlivých pracovných činností zaradených do kategórie. Použitie najvyššej platovej tarify a limitu osobného príplatku zodpovedá účelu časti II, ktorým je ustanovenie hornej hranice oprávnených mzdových nákladov, a nie ich očakávanej priemernej výšky.</w:t>
      </w:r>
    </w:p>
    <w:p w14:paraId="2AA11365" w14:textId="77777777" w:rsidR="000A1322" w:rsidRPr="007C1808" w:rsidRDefault="00707DAE">
      <w:pPr>
        <w:spacing w:after="160"/>
        <w:ind w:firstLine="708"/>
        <w:jc w:val="both"/>
      </w:pPr>
      <w:r w:rsidRPr="00FF3171">
        <w:t>Pri kategóriách sestra (vysokoškolské vzdelanie) a sestra (stredoškolské vzdelanie) sa hrubá mesačná mzda neurčila podľa zákona o odmeňovaní, ale vychádzalo sa  zo základnej zložky mzdy, ktorú § 80ab zákona č. 578/2004 Z. z. o poskytovateľoch zdravotnej starostlivosti, zdravotníckych pracovníkoch, stavovských organizáciách v zdravotníctve a o zmene a doplnení niektorých zákonov v znení neskorších predpisov (ďalej len „zákon č. 578/2004 Z. z.“) ustanovujú pre sestru v pracovnom pomere u poskytovateľa zdravotnej starostlivosti, ktorý prevádzkuje zariadenie ústavnej zdravotnej starostlivosti. Základná zložka mzdy sa podľa týchto ustanovení určuje ako násobok priemernej mesačnej mzdy zamestnanca v hospodárstve Slovenskej republiky zistenej Štatistickým úradom Slovenskej republiky za kalendárny rok, ktorý dva roky predchádza kalendárnemu roku, v ktorom sa priznáva; výška násobku závisí od toho, či zdravotnícky pracovník vykonáva odborné alebo špecializované pracovné činnosti. Podľa § 80b ods. 5 zákona č. 578/2004 Z. z. sa základná zložka mzdy navyšuje za každý odpracovaný rok výkonu zdravotníckeho povolania vrátane jeho výkonu v zariadení sociálnych služieb. K základnej zložke mzdy sa pripočítali ďalšie zložky mzdy vrátane príplatkov a odmien. Odchylný postup pri týchto kategóriách vyplýva zo skutočnosti, že ide o zdravotnícke povolania, pri ktorých poskytovateľ sociálnej služby súťaží o zamestnancov s poskytovateľmi zdravotnej starostlivosti.</w:t>
      </w:r>
    </w:p>
    <w:p w14:paraId="0071D992" w14:textId="77777777" w:rsidR="000A1322" w:rsidRPr="007C1808" w:rsidRDefault="00707DAE">
      <w:pPr>
        <w:spacing w:before="200" w:after="120"/>
      </w:pPr>
      <w:r w:rsidRPr="00FF3171">
        <w:rPr>
          <w:b/>
        </w:rPr>
        <w:lastRenderedPageBreak/>
        <w:t>K prílohe č. 3</w:t>
      </w:r>
    </w:p>
    <w:p w14:paraId="2AB45B48" w14:textId="77777777" w:rsidR="000A1322" w:rsidRPr="007C1808" w:rsidRDefault="00707DAE">
      <w:pPr>
        <w:spacing w:after="160"/>
        <w:ind w:firstLine="708"/>
        <w:jc w:val="both"/>
      </w:pPr>
      <w:r w:rsidRPr="00FF3171">
        <w:t>V prílohe č. 3 sa na základe § 61a ods. 22 písm. b) zákona ustanovujú náležitosti návrhu rozpočtu poskytovania sociálnej služby vo všeobecnom hospodárskom záujme na príslušný rozpočtový rok podľa § 61a ods. 7 písm. a) prvého bodu zákona. Návrh rozpočtu obsahuje identifikáciu poskytovateľa sociálnej služby a identifikáciu sociálnej služby vrátane jej druhu, formy, miesta poskytovania a identifikačného čísla sociálnej služby, bežné príjmy členené podľa jednotlivých zdrojov a bežné výdavky členené podľa jednotlivých kategórií. Členenie bežných príjmov zohľadňuje jednotlivé zdroje spolufinancovania tejto sociálnej služby, ktorými sú úhrady za sociálnu službu a za iné činnosti, rozpočet obce alebo vyššieho územného celku, štátny rozpočet vrátane finančných príspevkov z rozpočtovej kapitoly ministerstva podľa § 78a a § 78ab zákona, úhrady ošetrovateľskej starostlivosti na základe verejného zdravotného poistenia a iné zdroje. Členenie bežných výdavkov zodpovedá ekonomickej klasifikácii rozpočtovej klasifikácie. Kapitálové príjmy a kapitálové výdavky nie sú súčasťou návrhu rozpočtu, keďže dlhodobý majetok sa pri výpočte nadmernej náhrady zohľadňuje prostredníctvom odpisov.</w:t>
      </w:r>
    </w:p>
    <w:p w14:paraId="641E9732" w14:textId="77777777" w:rsidR="000A1322" w:rsidRPr="007C1808" w:rsidRDefault="00707DAE">
      <w:pPr>
        <w:spacing w:before="200" w:after="120"/>
      </w:pPr>
      <w:r w:rsidRPr="00FF3171">
        <w:rPr>
          <w:b/>
        </w:rPr>
        <w:t>K prílohe č. 4</w:t>
      </w:r>
    </w:p>
    <w:p w14:paraId="049B4DCB" w14:textId="77777777" w:rsidR="000A1322" w:rsidRPr="007C1808" w:rsidRDefault="00707DAE">
      <w:pPr>
        <w:spacing w:after="160"/>
        <w:ind w:firstLine="708"/>
        <w:jc w:val="both"/>
      </w:pPr>
      <w:r w:rsidRPr="00FF3171">
        <w:t>V prílohe č. 4 sa na základe § 61a ods. 22 písm. b) zákona ustanovujú náležitosti zúčtovania financovania sociálnej služby vo všeobecnom hospodárskom záujme za príslušný rozpočtový rok podľa § 61a ods. 7 písm. a) druhého bodu alebo ods. 9 písm. a) zákona. Zúčtovanie obsahuje identifikačné údaje poskytovateľa sociálnej služby a identifikačné údaje sociálnej služby, údaj o príslušnom rozpočtovom roku, údaje o nákladoch za príslušný rozpočtový rok podľa jednotlivých druhov nákladov, údaje o výnosoch podľa zdrojov financovania, údaje potrebné na výpočet nadmernej náhrady, údaje o použití preneseného primeraného zisku a čestné vyhlásenie poskytovateľa sociálnej služby.</w:t>
      </w:r>
    </w:p>
    <w:p w14:paraId="550420D6" w14:textId="77777777" w:rsidR="000A1322" w:rsidRPr="007C1808" w:rsidRDefault="00707DAE">
      <w:pPr>
        <w:spacing w:after="160"/>
        <w:ind w:firstLine="708"/>
        <w:jc w:val="both"/>
      </w:pPr>
      <w:r w:rsidRPr="00FF3171">
        <w:t>Pri každom druhu nákladov sa uvádza výška celkových nákladov, nákladov, ktoré nesúvisia s poskytovaním sociálnej služby vo všeobecnom hospodárskom záujme alebo sú neoprávnenými nákladmi, nákladov financovaných z preneseného primeraného zisku podľa § 3 ods. 2 a oprávnených nákladov. Pri každom zdroji financovania sa uvádza výška celkových výnosov a výnosov súvisiacich s poskytovaním sociálnej služby vo všeobecnom hospodárskom záujme. Údaje potrebné na výpočet nadmernej náhrady zodpovedajú § 1 až 4 a prílohe č. 1; sú nimi príjmy, oprávnené náklady, maximálna výška primeraného zisku, nadmerná náhrada za príslušný rozpočtový rok pred zohľadnením preneseného primeraného zisku, prenesený primeraný zisk, jeho použitá a nepoužitá časť, nadmerná náhrada za príslušný rozpočtový rok a primeraný zisk za príslušný rozpočtový rok, ktorý sa prenáša do nasledujúceho rozpočtového roka. Použitie preneseného primeraného zisku sa uvádza podľa jednotlivých účelov uvedených v § 4 ods. 2 s uvedením realizovaného opatrenia, štandardu kvality podľa prílohy č. 2 zákona, výšky použitých finančných prostriedkov a údaja o dokladoch preukazujúcich ich použitie vrátane ich čísla a dátumu.</w:t>
      </w:r>
    </w:p>
    <w:p w14:paraId="1A6CA582" w14:textId="77777777" w:rsidR="000A1322" w:rsidRPr="007C1808" w:rsidRDefault="00707DAE">
      <w:pPr>
        <w:spacing w:after="160"/>
        <w:ind w:firstLine="708"/>
        <w:jc w:val="both"/>
      </w:pPr>
      <w:r w:rsidRPr="00FF3171">
        <w:t>V čestnom vyhlásení poskytovateľ sociálnej služby vyhlasuje, že údaje uvedené v zúčtovaní za príslušný rozpočtový rok sú pravdivé, presné a úplné, že všetky príjmy a oprávnené náklady uvedené v zúčtovaní sú zaúčtované v účtovníctve, že súvisia s poskytovaním identifikovanej sociálnej služby alebo sú na ňu rozpočítané, že oprávnené náklady spĺňajú podmienky ustanovené vyhláškou, že spoločné oprávnené náklady boli rozpočítané podľa objektívneho, preukázateľného a overiteľného rozpočítavacieho kľúča a že výpočet nadmernej náhrady bol vykonaný v súlade s vyhláškou.</w:t>
      </w:r>
    </w:p>
    <w:p w14:paraId="5516380E" w14:textId="77777777" w:rsidR="00C804FE" w:rsidRPr="007C1808" w:rsidRDefault="00C804FE" w:rsidP="00C804FE"/>
    <w:p w14:paraId="50714408" w14:textId="77777777" w:rsidR="00C804FE" w:rsidRPr="00FF3171" w:rsidRDefault="00C804FE" w:rsidP="00C804FE"/>
    <w:sectPr w:rsidR="00C804FE" w:rsidRPr="00FF3171" w:rsidSect="001831F6">
      <w:footerReference w:type="default" r:id="rId7"/>
      <w:pgSz w:w="11906" w:h="16838"/>
      <w:pgMar w:top="1417" w:right="1417" w:bottom="1417" w:left="1417" w:header="737" w:footer="0" w:gutter="0"/>
      <w:cols w:space="708"/>
      <w:docGrid w:linePitch="326"/>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59D9B" w14:textId="77777777" w:rsidR="00015C35" w:rsidRDefault="00015C35" w:rsidP="006802B6">
      <w:r>
        <w:separator/>
      </w:r>
    </w:p>
  </w:endnote>
  <w:endnote w:type="continuationSeparator" w:id="0">
    <w:p w14:paraId="43F6F5EC" w14:textId="77777777" w:rsidR="00015C35" w:rsidRDefault="00015C35" w:rsidP="00680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118491"/>
      <w:docPartObj>
        <w:docPartGallery w:val="Page Numbers (Bottom of Page)"/>
        <w:docPartUnique/>
      </w:docPartObj>
    </w:sdtPr>
    <w:sdtEndPr/>
    <w:sdtContent>
      <w:p w14:paraId="271DCD81" w14:textId="7E82815E" w:rsidR="006802B6" w:rsidRDefault="006802B6">
        <w:pPr>
          <w:pStyle w:val="Pta"/>
          <w:jc w:val="center"/>
        </w:pPr>
        <w:r>
          <w:fldChar w:fldCharType="begin"/>
        </w:r>
        <w:r>
          <w:instrText>PAGE   \* MERGEFORMAT</w:instrText>
        </w:r>
        <w:r>
          <w:fldChar w:fldCharType="separate"/>
        </w:r>
        <w:r w:rsidR="00EA1E7B">
          <w:rPr>
            <w:noProof/>
          </w:rPr>
          <w:t>3</w:t>
        </w:r>
        <w:r>
          <w:fldChar w:fldCharType="end"/>
        </w:r>
      </w:p>
    </w:sdtContent>
  </w:sdt>
  <w:p w14:paraId="7EDC97F9" w14:textId="77777777" w:rsidR="006802B6" w:rsidRDefault="006802B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372D2" w14:textId="77777777" w:rsidR="00015C35" w:rsidRDefault="00015C35" w:rsidP="006802B6">
      <w:r>
        <w:separator/>
      </w:r>
    </w:p>
  </w:footnote>
  <w:footnote w:type="continuationSeparator" w:id="0">
    <w:p w14:paraId="5220B157" w14:textId="77777777" w:rsidR="00015C35" w:rsidRDefault="00015C35" w:rsidP="006802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A0E3D"/>
    <w:multiLevelType w:val="hybridMultilevel"/>
    <w:tmpl w:val="D0F84E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02875A7"/>
    <w:multiLevelType w:val="hybridMultilevel"/>
    <w:tmpl w:val="40FC69EE"/>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10B51FAE"/>
    <w:multiLevelType w:val="hybridMultilevel"/>
    <w:tmpl w:val="FBD4AC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2A6239B"/>
    <w:multiLevelType w:val="hybridMultilevel"/>
    <w:tmpl w:val="6770A21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4922DF8"/>
    <w:multiLevelType w:val="hybridMultilevel"/>
    <w:tmpl w:val="7C6843D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24E35BF8"/>
    <w:multiLevelType w:val="multilevel"/>
    <w:tmpl w:val="EFA2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00C4A"/>
    <w:multiLevelType w:val="hybridMultilevel"/>
    <w:tmpl w:val="4EAC88EA"/>
    <w:lvl w:ilvl="0" w:tplc="6BD668DC">
      <w:start w:val="1"/>
      <w:numFmt w:val="upperLetter"/>
      <w:lvlText w:val="%1."/>
      <w:lvlJc w:val="left"/>
      <w:pPr>
        <w:ind w:left="420" w:hanging="360"/>
      </w:pPr>
      <w:rPr>
        <w:b/>
      </w:rPr>
    </w:lvl>
    <w:lvl w:ilvl="1" w:tplc="041B0019">
      <w:start w:val="1"/>
      <w:numFmt w:val="lowerLetter"/>
      <w:lvlText w:val="%2."/>
      <w:lvlJc w:val="left"/>
      <w:pPr>
        <w:ind w:left="1140" w:hanging="360"/>
      </w:pPr>
    </w:lvl>
    <w:lvl w:ilvl="2" w:tplc="041B001B">
      <w:start w:val="1"/>
      <w:numFmt w:val="lowerRoman"/>
      <w:lvlText w:val="%3."/>
      <w:lvlJc w:val="right"/>
      <w:pPr>
        <w:ind w:left="1860" w:hanging="180"/>
      </w:pPr>
    </w:lvl>
    <w:lvl w:ilvl="3" w:tplc="041B000F">
      <w:start w:val="1"/>
      <w:numFmt w:val="decimal"/>
      <w:lvlText w:val="%4."/>
      <w:lvlJc w:val="left"/>
      <w:pPr>
        <w:ind w:left="2580" w:hanging="360"/>
      </w:pPr>
    </w:lvl>
    <w:lvl w:ilvl="4" w:tplc="041B0019">
      <w:start w:val="1"/>
      <w:numFmt w:val="lowerLetter"/>
      <w:lvlText w:val="%5."/>
      <w:lvlJc w:val="left"/>
      <w:pPr>
        <w:ind w:left="3300" w:hanging="360"/>
      </w:pPr>
    </w:lvl>
    <w:lvl w:ilvl="5" w:tplc="041B001B">
      <w:start w:val="1"/>
      <w:numFmt w:val="lowerRoman"/>
      <w:lvlText w:val="%6."/>
      <w:lvlJc w:val="right"/>
      <w:pPr>
        <w:ind w:left="4020" w:hanging="180"/>
      </w:pPr>
    </w:lvl>
    <w:lvl w:ilvl="6" w:tplc="041B000F">
      <w:start w:val="1"/>
      <w:numFmt w:val="decimal"/>
      <w:lvlText w:val="%7."/>
      <w:lvlJc w:val="left"/>
      <w:pPr>
        <w:ind w:left="4740" w:hanging="360"/>
      </w:pPr>
    </w:lvl>
    <w:lvl w:ilvl="7" w:tplc="041B0019">
      <w:start w:val="1"/>
      <w:numFmt w:val="lowerLetter"/>
      <w:lvlText w:val="%8."/>
      <w:lvlJc w:val="left"/>
      <w:pPr>
        <w:ind w:left="5460" w:hanging="360"/>
      </w:pPr>
    </w:lvl>
    <w:lvl w:ilvl="8" w:tplc="041B001B">
      <w:start w:val="1"/>
      <w:numFmt w:val="lowerRoman"/>
      <w:lvlText w:val="%9."/>
      <w:lvlJc w:val="right"/>
      <w:pPr>
        <w:ind w:left="6180" w:hanging="180"/>
      </w:pPr>
    </w:lvl>
  </w:abstractNum>
  <w:abstractNum w:abstractNumId="7" w15:restartNumberingAfterBreak="0">
    <w:nsid w:val="7D84786B"/>
    <w:multiLevelType w:val="hybridMultilevel"/>
    <w:tmpl w:val="D9D440B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4"/>
  </w:num>
  <w:num w:numId="8">
    <w:abstractNumId w:val="0"/>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D2F"/>
    <w:rsid w:val="00004FF6"/>
    <w:rsid w:val="00015C35"/>
    <w:rsid w:val="00031A05"/>
    <w:rsid w:val="000574BA"/>
    <w:rsid w:val="00067176"/>
    <w:rsid w:val="000A1322"/>
    <w:rsid w:val="000F1038"/>
    <w:rsid w:val="0010664F"/>
    <w:rsid w:val="001103E2"/>
    <w:rsid w:val="0012477C"/>
    <w:rsid w:val="00161DD4"/>
    <w:rsid w:val="001831F6"/>
    <w:rsid w:val="00197DE4"/>
    <w:rsid w:val="001A6732"/>
    <w:rsid w:val="001B47D2"/>
    <w:rsid w:val="001D362F"/>
    <w:rsid w:val="001F0CDB"/>
    <w:rsid w:val="001F2274"/>
    <w:rsid w:val="00202ABC"/>
    <w:rsid w:val="0020767F"/>
    <w:rsid w:val="00232851"/>
    <w:rsid w:val="00260E21"/>
    <w:rsid w:val="00262A09"/>
    <w:rsid w:val="00290CDC"/>
    <w:rsid w:val="002C1A7E"/>
    <w:rsid w:val="002D7CE9"/>
    <w:rsid w:val="002E20D4"/>
    <w:rsid w:val="002E6933"/>
    <w:rsid w:val="002E6E02"/>
    <w:rsid w:val="003158DD"/>
    <w:rsid w:val="003167A1"/>
    <w:rsid w:val="00342BA9"/>
    <w:rsid w:val="00366971"/>
    <w:rsid w:val="003867A6"/>
    <w:rsid w:val="00390447"/>
    <w:rsid w:val="00391762"/>
    <w:rsid w:val="003952B6"/>
    <w:rsid w:val="003F6973"/>
    <w:rsid w:val="00414136"/>
    <w:rsid w:val="004236AD"/>
    <w:rsid w:val="00435A4C"/>
    <w:rsid w:val="00447D2F"/>
    <w:rsid w:val="00451B4F"/>
    <w:rsid w:val="004A37D4"/>
    <w:rsid w:val="004B1F03"/>
    <w:rsid w:val="004C6FB3"/>
    <w:rsid w:val="004D32B2"/>
    <w:rsid w:val="004E556B"/>
    <w:rsid w:val="004F5544"/>
    <w:rsid w:val="005103C0"/>
    <w:rsid w:val="0052769B"/>
    <w:rsid w:val="00544D5D"/>
    <w:rsid w:val="005B43E0"/>
    <w:rsid w:val="005B4EFC"/>
    <w:rsid w:val="005C3545"/>
    <w:rsid w:val="00613A2D"/>
    <w:rsid w:val="006272F6"/>
    <w:rsid w:val="00631858"/>
    <w:rsid w:val="00651D5F"/>
    <w:rsid w:val="006802B6"/>
    <w:rsid w:val="00682C58"/>
    <w:rsid w:val="006956FC"/>
    <w:rsid w:val="006B636F"/>
    <w:rsid w:val="006D511E"/>
    <w:rsid w:val="006E0A66"/>
    <w:rsid w:val="006E43C9"/>
    <w:rsid w:val="006F5927"/>
    <w:rsid w:val="00707DAE"/>
    <w:rsid w:val="007458A8"/>
    <w:rsid w:val="0075598A"/>
    <w:rsid w:val="00765816"/>
    <w:rsid w:val="00794BE4"/>
    <w:rsid w:val="007B0D69"/>
    <w:rsid w:val="007C1808"/>
    <w:rsid w:val="007D4603"/>
    <w:rsid w:val="007D4C5A"/>
    <w:rsid w:val="008263EB"/>
    <w:rsid w:val="00840A0D"/>
    <w:rsid w:val="008469AB"/>
    <w:rsid w:val="00851D4C"/>
    <w:rsid w:val="00884CA4"/>
    <w:rsid w:val="008863FA"/>
    <w:rsid w:val="00887D25"/>
    <w:rsid w:val="0089420A"/>
    <w:rsid w:val="008A29BB"/>
    <w:rsid w:val="008A6A6D"/>
    <w:rsid w:val="008D2C45"/>
    <w:rsid w:val="008D35FC"/>
    <w:rsid w:val="008D64F7"/>
    <w:rsid w:val="008E14B5"/>
    <w:rsid w:val="008F43DE"/>
    <w:rsid w:val="008F6609"/>
    <w:rsid w:val="009067DA"/>
    <w:rsid w:val="0091683E"/>
    <w:rsid w:val="00922750"/>
    <w:rsid w:val="009275E4"/>
    <w:rsid w:val="00996168"/>
    <w:rsid w:val="009A1851"/>
    <w:rsid w:val="009C5482"/>
    <w:rsid w:val="009D0EAE"/>
    <w:rsid w:val="009D484E"/>
    <w:rsid w:val="009E3FE6"/>
    <w:rsid w:val="00A35776"/>
    <w:rsid w:val="00A37C54"/>
    <w:rsid w:val="00A64F6C"/>
    <w:rsid w:val="00A77833"/>
    <w:rsid w:val="00A8743D"/>
    <w:rsid w:val="00AE294B"/>
    <w:rsid w:val="00B40B2B"/>
    <w:rsid w:val="00B734D7"/>
    <w:rsid w:val="00B81E36"/>
    <w:rsid w:val="00B90AF3"/>
    <w:rsid w:val="00BB3417"/>
    <w:rsid w:val="00BC63F8"/>
    <w:rsid w:val="00BD5D86"/>
    <w:rsid w:val="00BD731A"/>
    <w:rsid w:val="00BE3B79"/>
    <w:rsid w:val="00BE5E50"/>
    <w:rsid w:val="00BF4F4E"/>
    <w:rsid w:val="00BF6D7D"/>
    <w:rsid w:val="00C22E62"/>
    <w:rsid w:val="00C40BE7"/>
    <w:rsid w:val="00C804FE"/>
    <w:rsid w:val="00C868A6"/>
    <w:rsid w:val="00D27211"/>
    <w:rsid w:val="00D403C9"/>
    <w:rsid w:val="00D66DA3"/>
    <w:rsid w:val="00DA1B19"/>
    <w:rsid w:val="00DB0777"/>
    <w:rsid w:val="00DC3D0A"/>
    <w:rsid w:val="00DC7919"/>
    <w:rsid w:val="00DE0C25"/>
    <w:rsid w:val="00E47E77"/>
    <w:rsid w:val="00E63380"/>
    <w:rsid w:val="00EA08E4"/>
    <w:rsid w:val="00EA1E7B"/>
    <w:rsid w:val="00EB0FFB"/>
    <w:rsid w:val="00EB35EE"/>
    <w:rsid w:val="00F16822"/>
    <w:rsid w:val="00F6082C"/>
    <w:rsid w:val="00F75814"/>
    <w:rsid w:val="00F8799E"/>
    <w:rsid w:val="00F96E2A"/>
    <w:rsid w:val="00FA2FD7"/>
    <w:rsid w:val="00FE3141"/>
    <w:rsid w:val="00FF3171"/>
    <w:rsid w:val="0993A785"/>
    <w:rsid w:val="0BD3ECE3"/>
    <w:rsid w:val="0DCCCF16"/>
    <w:rsid w:val="2F6BB59C"/>
    <w:rsid w:val="34C23FF3"/>
    <w:rsid w:val="50D8B721"/>
    <w:rsid w:val="5669E226"/>
    <w:rsid w:val="6381A30E"/>
    <w:rsid w:val="6669C4E4"/>
    <w:rsid w:val="68C2DFED"/>
    <w:rsid w:val="6CCEC34F"/>
    <w:rsid w:val="74C323AD"/>
    <w:rsid w:val="758119C7"/>
    <w:rsid w:val="77BC595B"/>
    <w:rsid w:val="7C53FDFD"/>
    <w:rsid w:val="7E655A0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54614"/>
  <w15:docId w15:val="{0B479597-D28B-4F8F-8E9E-CAA14433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D731A"/>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y"/>
    <w:link w:val="Nadpis2Char"/>
    <w:uiPriority w:val="9"/>
    <w:qFormat/>
    <w:rsid w:val="00D27211"/>
    <w:pPr>
      <w:spacing w:before="100" w:beforeAutospacing="1" w:after="100" w:afterAutospacing="1"/>
      <w:outlineLvl w:val="1"/>
    </w:pPr>
    <w:rPr>
      <w:b/>
      <w:bCs/>
      <w:sz w:val="36"/>
      <w:szCs w:val="36"/>
      <w:lang w:eastAsia="sk-SK"/>
    </w:rPr>
  </w:style>
  <w:style w:type="paragraph" w:styleId="Nadpis3">
    <w:name w:val="heading 3"/>
    <w:basedOn w:val="Normlny"/>
    <w:link w:val="Nadpis3Char"/>
    <w:uiPriority w:val="9"/>
    <w:qFormat/>
    <w:rsid w:val="00D27211"/>
    <w:pPr>
      <w:spacing w:before="100" w:beforeAutospacing="1" w:after="100" w:afterAutospacing="1"/>
      <w:outlineLvl w:val="2"/>
    </w:pPr>
    <w:rPr>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6F5927"/>
    <w:rPr>
      <w:color w:val="0000FF" w:themeColor="hyperlink"/>
      <w:u w:val="single"/>
    </w:rPr>
  </w:style>
  <w:style w:type="paragraph" w:customStyle="1" w:styleId="Textformulra">
    <w:name w:val="Text formulára"/>
    <w:basedOn w:val="Normlny"/>
    <w:uiPriority w:val="2"/>
    <w:qFormat/>
    <w:rsid w:val="003167A1"/>
    <w:pPr>
      <w:spacing w:after="120"/>
      <w:contextualSpacing/>
    </w:pPr>
    <w:rPr>
      <w:rFonts w:asciiTheme="minorHAnsi" w:eastAsiaTheme="minorHAnsi" w:hAnsiTheme="minorHAnsi" w:cstheme="minorBidi"/>
      <w:color w:val="404040" w:themeColor="text1" w:themeTint="BF"/>
      <w:kern w:val="2"/>
      <w:sz w:val="18"/>
      <w:szCs w:val="20"/>
      <w:lang w:val="en-US" w:eastAsia="ja-JP"/>
      <w14:ligatures w14:val="standard"/>
    </w:rPr>
  </w:style>
  <w:style w:type="paragraph" w:styleId="Textbubliny">
    <w:name w:val="Balloon Text"/>
    <w:basedOn w:val="Normlny"/>
    <w:link w:val="TextbublinyChar"/>
    <w:uiPriority w:val="99"/>
    <w:semiHidden/>
    <w:unhideWhenUsed/>
    <w:rsid w:val="001B47D2"/>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7D2"/>
    <w:rPr>
      <w:rFonts w:ascii="Segoe UI" w:eastAsia="Times New Roman" w:hAnsi="Segoe UI" w:cs="Segoe UI"/>
      <w:sz w:val="18"/>
      <w:szCs w:val="18"/>
      <w:lang w:eastAsia="cs-CZ"/>
    </w:rPr>
  </w:style>
  <w:style w:type="paragraph" w:customStyle="1" w:styleId="Default">
    <w:name w:val="Default"/>
    <w:uiPriority w:val="99"/>
    <w:rsid w:val="005B4EFC"/>
    <w:pPr>
      <w:autoSpaceDE w:val="0"/>
      <w:autoSpaceDN w:val="0"/>
      <w:adjustRightInd w:val="0"/>
      <w:spacing w:after="0" w:line="240" w:lineRule="auto"/>
    </w:pPr>
    <w:rPr>
      <w:rFonts w:ascii="Times New Roman" w:hAnsi="Times New Roman" w:cs="Times New Roman"/>
      <w:color w:val="000000"/>
      <w:sz w:val="24"/>
      <w:szCs w:val="24"/>
    </w:rPr>
  </w:style>
  <w:style w:type="table" w:styleId="Mriekatabuky">
    <w:name w:val="Table Grid"/>
    <w:basedOn w:val="Normlnatabuka"/>
    <w:uiPriority w:val="59"/>
    <w:rsid w:val="00E47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 zoznamu2"/>
    <w:basedOn w:val="Normlny"/>
    <w:link w:val="OdsekzoznamuChar"/>
    <w:uiPriority w:val="34"/>
    <w:qFormat/>
    <w:rsid w:val="00DC7919"/>
    <w:pPr>
      <w:ind w:left="720"/>
      <w:contextualSpacing/>
    </w:pPr>
  </w:style>
  <w:style w:type="paragraph" w:customStyle="1" w:styleId="default0">
    <w:name w:val="default"/>
    <w:basedOn w:val="Normlny"/>
    <w:uiPriority w:val="99"/>
    <w:rsid w:val="0010664F"/>
    <w:rPr>
      <w:rFonts w:eastAsiaTheme="minorHAnsi"/>
      <w:lang w:eastAsia="sk-SK"/>
    </w:rPr>
  </w:style>
  <w:style w:type="character" w:customStyle="1" w:styleId="OdsekzoznamuChar">
    <w:name w:val="Odsek zoznamu Char"/>
    <w:aliases w:val="body Char,Odsek zoznamu2 Char"/>
    <w:basedOn w:val="Predvolenpsmoodseku"/>
    <w:link w:val="Odsekzoznamu"/>
    <w:uiPriority w:val="34"/>
    <w:locked/>
    <w:rsid w:val="009C5482"/>
    <w:rPr>
      <w:rFonts w:ascii="Times New Roman" w:eastAsia="Times New Roman" w:hAnsi="Times New Roman" w:cs="Times New Roman"/>
      <w:sz w:val="24"/>
      <w:szCs w:val="24"/>
      <w:lang w:eastAsia="cs-CZ"/>
    </w:rPr>
  </w:style>
  <w:style w:type="paragraph" w:customStyle="1" w:styleId="Zakladnystyl">
    <w:name w:val="Zakladny styl"/>
    <w:rsid w:val="009C5482"/>
    <w:pPr>
      <w:autoSpaceDE w:val="0"/>
      <w:autoSpaceDN w:val="0"/>
      <w:spacing w:after="0" w:line="240" w:lineRule="auto"/>
    </w:pPr>
    <w:rPr>
      <w:rFonts w:ascii="Times New Roman" w:eastAsia="Times New Roman" w:hAnsi="Times New Roman" w:cs="Times New Roman"/>
      <w:sz w:val="20"/>
      <w:szCs w:val="20"/>
    </w:rPr>
  </w:style>
  <w:style w:type="paragraph" w:styleId="Zkladntext">
    <w:name w:val="Body Text"/>
    <w:basedOn w:val="Normlny"/>
    <w:link w:val="ZkladntextChar"/>
    <w:uiPriority w:val="99"/>
    <w:semiHidden/>
    <w:unhideWhenUsed/>
    <w:rsid w:val="001F0CDB"/>
    <w:pPr>
      <w:widowControl w:val="0"/>
      <w:suppressAutoHyphens/>
      <w:autoSpaceDN w:val="0"/>
      <w:spacing w:after="120"/>
    </w:pPr>
    <w:rPr>
      <w:rFonts w:ascii="Calibri" w:eastAsia="Calibri" w:hAnsi="Calibri"/>
      <w:kern w:val="3"/>
      <w:sz w:val="20"/>
      <w:szCs w:val="20"/>
      <w:lang w:eastAsia="sk-SK"/>
    </w:rPr>
  </w:style>
  <w:style w:type="character" w:customStyle="1" w:styleId="ZkladntextChar">
    <w:name w:val="Základný text Char"/>
    <w:basedOn w:val="Predvolenpsmoodseku"/>
    <w:link w:val="Zkladntext"/>
    <w:uiPriority w:val="99"/>
    <w:semiHidden/>
    <w:rsid w:val="001F0CDB"/>
    <w:rPr>
      <w:rFonts w:ascii="Calibri" w:eastAsia="Calibri" w:hAnsi="Calibri" w:cs="Times New Roman"/>
      <w:kern w:val="3"/>
      <w:sz w:val="20"/>
      <w:szCs w:val="20"/>
      <w:lang w:eastAsia="sk-SK"/>
    </w:rPr>
  </w:style>
  <w:style w:type="character" w:customStyle="1" w:styleId="Nadpis2Char">
    <w:name w:val="Nadpis 2 Char"/>
    <w:basedOn w:val="Predvolenpsmoodseku"/>
    <w:link w:val="Nadpis2"/>
    <w:uiPriority w:val="9"/>
    <w:rsid w:val="00D27211"/>
    <w:rPr>
      <w:rFonts w:ascii="Times New Roman" w:eastAsia="Times New Roman" w:hAnsi="Times New Roman" w:cs="Times New Roman"/>
      <w:b/>
      <w:bCs/>
      <w:sz w:val="36"/>
      <w:szCs w:val="36"/>
      <w:lang w:eastAsia="sk-SK"/>
    </w:rPr>
  </w:style>
  <w:style w:type="character" w:customStyle="1" w:styleId="Nadpis3Char">
    <w:name w:val="Nadpis 3 Char"/>
    <w:basedOn w:val="Predvolenpsmoodseku"/>
    <w:link w:val="Nadpis3"/>
    <w:uiPriority w:val="9"/>
    <w:rsid w:val="00D27211"/>
    <w:rPr>
      <w:rFonts w:ascii="Times New Roman" w:eastAsia="Times New Roman" w:hAnsi="Times New Roman" w:cs="Times New Roman"/>
      <w:b/>
      <w:bCs/>
      <w:sz w:val="27"/>
      <w:szCs w:val="27"/>
      <w:lang w:eastAsia="sk-SK"/>
    </w:rPr>
  </w:style>
  <w:style w:type="paragraph" w:styleId="Normlnywebov">
    <w:name w:val="Normal (Web)"/>
    <w:basedOn w:val="Normlny"/>
    <w:uiPriority w:val="99"/>
    <w:semiHidden/>
    <w:unhideWhenUsed/>
    <w:rsid w:val="00D27211"/>
    <w:pPr>
      <w:spacing w:before="100" w:beforeAutospacing="1" w:after="100" w:afterAutospacing="1"/>
    </w:pPr>
    <w:rPr>
      <w:lang w:eastAsia="sk-SK"/>
    </w:rPr>
  </w:style>
  <w:style w:type="paragraph" w:styleId="Bezriadkovania">
    <w:name w:val="No Spacing"/>
    <w:uiPriority w:val="1"/>
    <w:qFormat/>
    <w:rsid w:val="00D27211"/>
    <w:pPr>
      <w:spacing w:after="0" w:line="240" w:lineRule="auto"/>
    </w:pPr>
    <w:rPr>
      <w:rFonts w:ascii="Times New Roman" w:eastAsia="Times New Roman" w:hAnsi="Times New Roman" w:cs="Times New Roman"/>
      <w:sz w:val="24"/>
      <w:szCs w:val="24"/>
      <w:lang w:eastAsia="cs-CZ"/>
    </w:rPr>
  </w:style>
  <w:style w:type="character" w:styleId="Vrazn">
    <w:name w:val="Strong"/>
    <w:basedOn w:val="Predvolenpsmoodseku"/>
    <w:uiPriority w:val="22"/>
    <w:qFormat/>
    <w:rsid w:val="003158DD"/>
    <w:rPr>
      <w:b/>
      <w:bCs/>
    </w:rPr>
  </w:style>
  <w:style w:type="character" w:styleId="Odkaznakomentr">
    <w:name w:val="annotation reference"/>
    <w:basedOn w:val="Predvolenpsmoodseku"/>
    <w:uiPriority w:val="99"/>
    <w:semiHidden/>
    <w:unhideWhenUsed/>
    <w:rsid w:val="00BC63F8"/>
    <w:rPr>
      <w:sz w:val="16"/>
      <w:szCs w:val="16"/>
    </w:rPr>
  </w:style>
  <w:style w:type="paragraph" w:styleId="Textkomentra">
    <w:name w:val="annotation text"/>
    <w:basedOn w:val="Normlny"/>
    <w:link w:val="TextkomentraChar"/>
    <w:uiPriority w:val="99"/>
    <w:semiHidden/>
    <w:unhideWhenUsed/>
    <w:rsid w:val="00BC63F8"/>
    <w:rPr>
      <w:sz w:val="20"/>
      <w:szCs w:val="20"/>
    </w:rPr>
  </w:style>
  <w:style w:type="character" w:customStyle="1" w:styleId="TextkomentraChar">
    <w:name w:val="Text komentára Char"/>
    <w:basedOn w:val="Predvolenpsmoodseku"/>
    <w:link w:val="Textkomentra"/>
    <w:uiPriority w:val="99"/>
    <w:semiHidden/>
    <w:rsid w:val="00BC63F8"/>
    <w:rPr>
      <w:rFonts w:ascii="Times New Roman" w:eastAsia="Times New Roman" w:hAnsi="Times New Roman"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BC63F8"/>
    <w:rPr>
      <w:b/>
      <w:bCs/>
    </w:rPr>
  </w:style>
  <w:style w:type="character" w:customStyle="1" w:styleId="PredmetkomentraChar">
    <w:name w:val="Predmet komentára Char"/>
    <w:basedOn w:val="TextkomentraChar"/>
    <w:link w:val="Predmetkomentra"/>
    <w:uiPriority w:val="99"/>
    <w:semiHidden/>
    <w:rsid w:val="00BC63F8"/>
    <w:rPr>
      <w:rFonts w:ascii="Times New Roman" w:eastAsia="Times New Roman" w:hAnsi="Times New Roman" w:cs="Times New Roman"/>
      <w:b/>
      <w:bCs/>
      <w:sz w:val="20"/>
      <w:szCs w:val="20"/>
      <w:lang w:eastAsia="cs-CZ"/>
    </w:rPr>
  </w:style>
  <w:style w:type="paragraph" w:styleId="Hlavika">
    <w:name w:val="header"/>
    <w:basedOn w:val="Normlny"/>
    <w:link w:val="HlavikaChar"/>
    <w:uiPriority w:val="99"/>
    <w:unhideWhenUsed/>
    <w:rsid w:val="006802B6"/>
    <w:pPr>
      <w:tabs>
        <w:tab w:val="center" w:pos="4536"/>
        <w:tab w:val="right" w:pos="9072"/>
      </w:tabs>
    </w:pPr>
  </w:style>
  <w:style w:type="character" w:customStyle="1" w:styleId="HlavikaChar">
    <w:name w:val="Hlavička Char"/>
    <w:basedOn w:val="Predvolenpsmoodseku"/>
    <w:link w:val="Hlavika"/>
    <w:uiPriority w:val="99"/>
    <w:rsid w:val="006802B6"/>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6802B6"/>
    <w:pPr>
      <w:tabs>
        <w:tab w:val="center" w:pos="4536"/>
        <w:tab w:val="right" w:pos="9072"/>
      </w:tabs>
    </w:pPr>
  </w:style>
  <w:style w:type="character" w:customStyle="1" w:styleId="PtaChar">
    <w:name w:val="Päta Char"/>
    <w:basedOn w:val="Predvolenpsmoodseku"/>
    <w:link w:val="Pta"/>
    <w:uiPriority w:val="99"/>
    <w:rsid w:val="006802B6"/>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77103">
      <w:bodyDiv w:val="1"/>
      <w:marLeft w:val="0"/>
      <w:marRight w:val="0"/>
      <w:marTop w:val="0"/>
      <w:marBottom w:val="0"/>
      <w:divBdr>
        <w:top w:val="none" w:sz="0" w:space="0" w:color="auto"/>
        <w:left w:val="none" w:sz="0" w:space="0" w:color="auto"/>
        <w:bottom w:val="none" w:sz="0" w:space="0" w:color="auto"/>
        <w:right w:val="none" w:sz="0" w:space="0" w:color="auto"/>
      </w:divBdr>
    </w:div>
    <w:div w:id="1445807093">
      <w:bodyDiv w:val="1"/>
      <w:marLeft w:val="0"/>
      <w:marRight w:val="0"/>
      <w:marTop w:val="0"/>
      <w:marBottom w:val="0"/>
      <w:divBdr>
        <w:top w:val="none" w:sz="0" w:space="0" w:color="auto"/>
        <w:left w:val="none" w:sz="0" w:space="0" w:color="auto"/>
        <w:bottom w:val="none" w:sz="0" w:space="0" w:color="auto"/>
        <w:right w:val="none" w:sz="0" w:space="0" w:color="auto"/>
      </w:divBdr>
    </w:div>
    <w:div w:id="1673533212">
      <w:bodyDiv w:val="1"/>
      <w:marLeft w:val="0"/>
      <w:marRight w:val="0"/>
      <w:marTop w:val="0"/>
      <w:marBottom w:val="0"/>
      <w:divBdr>
        <w:top w:val="none" w:sz="0" w:space="0" w:color="auto"/>
        <w:left w:val="none" w:sz="0" w:space="0" w:color="auto"/>
        <w:bottom w:val="none" w:sz="0" w:space="0" w:color="auto"/>
        <w:right w:val="none" w:sz="0" w:space="0" w:color="auto"/>
      </w:divBdr>
    </w:div>
    <w:div w:id="196033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d32a72eb36a44104"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4912</Words>
  <Characters>28002</Characters>
  <Application>Microsoft Office Word</Application>
  <DocSecurity>0</DocSecurity>
  <Lines>233</Lines>
  <Paragraphs>65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Filipova Viera</dc:creator>
  <cp:lastModifiedBy>Ležovič Mário</cp:lastModifiedBy>
  <cp:revision>5</cp:revision>
  <cp:lastPrinted>2026-11-06T07:12:00Z</cp:lastPrinted>
  <dcterms:created xsi:type="dcterms:W3CDTF">2026-11-06T07:12:00Z</dcterms:created>
  <dcterms:modified xsi:type="dcterms:W3CDTF">2026-11-06T07:17:00Z</dcterms:modified>
</cp:coreProperties>
</file>