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3D57" w:rsidRPr="001B180E" w:rsidRDefault="00283D57" w:rsidP="00F417F2">
      <w:pPr>
        <w:spacing w:after="0" w:line="240" w:lineRule="auto"/>
        <w:jc w:val="center"/>
        <w:rPr>
          <w:rFonts w:ascii="Times New Roman" w:hAnsi="Times New Roman"/>
          <w:b/>
          <w:bCs/>
          <w:caps/>
          <w:spacing w:val="30"/>
          <w:sz w:val="24"/>
          <w:szCs w:val="24"/>
          <w:lang w:eastAsia="cs-CZ"/>
        </w:rPr>
      </w:pPr>
      <w:r w:rsidRPr="001B180E">
        <w:rPr>
          <w:rFonts w:ascii="Times New Roman" w:hAnsi="Times New Roman"/>
          <w:b/>
          <w:bCs/>
          <w:caps/>
          <w:spacing w:val="30"/>
          <w:sz w:val="24"/>
          <w:szCs w:val="24"/>
          <w:lang w:eastAsia="cs-CZ"/>
        </w:rPr>
        <w:t>Predkladacia správa</w:t>
      </w:r>
    </w:p>
    <w:p w:rsidR="00283D57" w:rsidRPr="001B180E" w:rsidRDefault="00283D57" w:rsidP="00F417F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cs-CZ"/>
        </w:rPr>
      </w:pPr>
    </w:p>
    <w:p w:rsidR="00283D57" w:rsidRPr="001B180E" w:rsidRDefault="00283D57" w:rsidP="00F417F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cs-CZ"/>
        </w:rPr>
      </w:pPr>
    </w:p>
    <w:p w:rsidR="00EC5EA5" w:rsidRPr="001B180E" w:rsidRDefault="00E51FDC" w:rsidP="00EC5E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180E">
        <w:rPr>
          <w:rFonts w:ascii="Times New Roman" w:hAnsi="Times New Roman"/>
          <w:sz w:val="24"/>
          <w:szCs w:val="24"/>
          <w:lang w:eastAsia="cs-CZ"/>
        </w:rPr>
        <w:t xml:space="preserve">Ministerstvo spravodlivosti Slovenskej republiky predkladá </w:t>
      </w:r>
      <w:r w:rsidR="00EC5EA5" w:rsidRPr="00CD38BD">
        <w:rPr>
          <w:rFonts w:ascii="Times New Roman" w:hAnsi="Times New Roman"/>
          <w:bCs/>
          <w:sz w:val="24"/>
          <w:szCs w:val="24"/>
          <w:lang w:eastAsia="cs-CZ"/>
        </w:rPr>
        <w:t>do</w:t>
      </w:r>
      <w:r w:rsidRPr="00CD38BD">
        <w:rPr>
          <w:rFonts w:ascii="Times New Roman" w:hAnsi="Times New Roman"/>
          <w:bCs/>
          <w:sz w:val="24"/>
          <w:szCs w:val="24"/>
          <w:lang w:eastAsia="cs-CZ"/>
        </w:rPr>
        <w:t xml:space="preserve"> </w:t>
      </w:r>
      <w:r w:rsidR="00AB6652">
        <w:rPr>
          <w:rFonts w:ascii="Times New Roman" w:hAnsi="Times New Roman"/>
          <w:bCs/>
          <w:sz w:val="24"/>
          <w:szCs w:val="24"/>
          <w:lang w:eastAsia="cs-CZ"/>
        </w:rPr>
        <w:t xml:space="preserve">medzirezortného </w:t>
      </w:r>
      <w:r w:rsidR="00EC5EA5" w:rsidRPr="00CD38BD">
        <w:rPr>
          <w:rFonts w:ascii="Times New Roman" w:hAnsi="Times New Roman"/>
          <w:bCs/>
          <w:sz w:val="24"/>
          <w:szCs w:val="24"/>
          <w:lang w:eastAsia="cs-CZ"/>
        </w:rPr>
        <w:t xml:space="preserve">pripomienkového konania </w:t>
      </w:r>
      <w:r w:rsidR="00EC5EA5" w:rsidRPr="00CD38BD">
        <w:rPr>
          <w:rFonts w:ascii="Times New Roman" w:hAnsi="Times New Roman"/>
          <w:sz w:val="24"/>
          <w:szCs w:val="24"/>
        </w:rPr>
        <w:t>návrh zákona, ktorým sa mení a dopĺňa zákon č. 161</w:t>
      </w:r>
      <w:r w:rsidR="00EC5EA5" w:rsidRPr="001B180E">
        <w:rPr>
          <w:rFonts w:ascii="Times New Roman" w:hAnsi="Times New Roman"/>
          <w:sz w:val="24"/>
          <w:szCs w:val="24"/>
        </w:rPr>
        <w:t xml:space="preserve">/2015 Z. z. Civilný </w:t>
      </w:r>
      <w:proofErr w:type="spellStart"/>
      <w:r w:rsidR="00426D2A">
        <w:rPr>
          <w:rFonts w:ascii="Times New Roman" w:hAnsi="Times New Roman"/>
          <w:sz w:val="24"/>
          <w:szCs w:val="24"/>
        </w:rPr>
        <w:t>mimo</w:t>
      </w:r>
      <w:r w:rsidR="00EC5EA5" w:rsidRPr="001B180E">
        <w:rPr>
          <w:rFonts w:ascii="Times New Roman" w:hAnsi="Times New Roman"/>
          <w:sz w:val="24"/>
          <w:szCs w:val="24"/>
        </w:rPr>
        <w:t>sporový</w:t>
      </w:r>
      <w:proofErr w:type="spellEnd"/>
      <w:r w:rsidR="00EC5EA5" w:rsidRPr="001B180E">
        <w:rPr>
          <w:rFonts w:ascii="Times New Roman" w:hAnsi="Times New Roman"/>
          <w:sz w:val="24"/>
          <w:szCs w:val="24"/>
        </w:rPr>
        <w:t xml:space="preserve"> poriadok v znení neskorších predpisov a ktorým sa menia a dopĺňajú niektoré zákony (ďalej len „návrh zákona“).</w:t>
      </w:r>
    </w:p>
    <w:p w:rsidR="00EC5EA5" w:rsidRPr="001B180E" w:rsidRDefault="00EC5EA5" w:rsidP="00EC5E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C5EA5" w:rsidRPr="001B180E" w:rsidRDefault="00EC5EA5" w:rsidP="00EC5E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180E">
        <w:rPr>
          <w:rFonts w:ascii="Times New Roman" w:hAnsi="Times New Roman"/>
          <w:sz w:val="24"/>
          <w:szCs w:val="24"/>
        </w:rPr>
        <w:t>Návrh zákona sa predkladá na základe Plánu legislatívnych úloh vlády Slovenskej republiky na rok 2025. Jednotiacim kritériom pre navrhované zmeny a dopl</w:t>
      </w:r>
      <w:r w:rsidR="00BC409A">
        <w:rPr>
          <w:rFonts w:ascii="Times New Roman" w:hAnsi="Times New Roman"/>
          <w:sz w:val="24"/>
          <w:szCs w:val="24"/>
        </w:rPr>
        <w:t>ne</w:t>
      </w:r>
      <w:r w:rsidRPr="001B180E">
        <w:rPr>
          <w:rFonts w:ascii="Times New Roman" w:hAnsi="Times New Roman"/>
          <w:sz w:val="24"/>
          <w:szCs w:val="24"/>
        </w:rPr>
        <w:t xml:space="preserve">nia je rešpektovať programové vyhlásenie vlády, ktoré vyžaduje navrhovať a prijímať také opatrenia, ktoré obmedzia prieťahy v konaní a posilnia vymáhateľnosť práva. </w:t>
      </w:r>
    </w:p>
    <w:p w:rsidR="00EC5EA5" w:rsidRPr="001B180E" w:rsidRDefault="00EC5EA5" w:rsidP="00EC5E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C5EA5" w:rsidRPr="001B180E" w:rsidRDefault="00EC5EA5" w:rsidP="00EC5E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180E">
        <w:rPr>
          <w:rFonts w:ascii="Times New Roman" w:hAnsi="Times New Roman"/>
          <w:sz w:val="24"/>
          <w:szCs w:val="24"/>
        </w:rPr>
        <w:t xml:space="preserve">V roku 2015 boli prijaté v rámci rekodifikácie civilného procesu tri nové procesné kódexy, ktorú sú účinné od 1. </w:t>
      </w:r>
      <w:r w:rsidR="009C3FF7">
        <w:rPr>
          <w:rFonts w:ascii="Times New Roman" w:hAnsi="Times New Roman"/>
          <w:sz w:val="24"/>
          <w:szCs w:val="24"/>
        </w:rPr>
        <w:t xml:space="preserve">júla </w:t>
      </w:r>
      <w:r w:rsidRPr="001B180E">
        <w:rPr>
          <w:rFonts w:ascii="Times New Roman" w:hAnsi="Times New Roman"/>
          <w:sz w:val="24"/>
          <w:szCs w:val="24"/>
        </w:rPr>
        <w:t xml:space="preserve">2016. Predkladateľ má za to, že takmer 10 rokov účinnosti nových pravidiel civilného procesu je dostatočne dlhá doba na to, aby došlo k vyhodnoteniu efektivity pôvodnej prijatej právnej úpravy vo všeobecnej rovine. Prvým procesným kódexom, ktorý bol podrobený hĺbkovej analýze a širšej odbornej diskusii, a ktorý sa predkladá do legislatívneho procesu, je Civilný </w:t>
      </w:r>
      <w:proofErr w:type="spellStart"/>
      <w:r w:rsidRPr="001B180E">
        <w:rPr>
          <w:rFonts w:ascii="Times New Roman" w:hAnsi="Times New Roman"/>
          <w:sz w:val="24"/>
          <w:szCs w:val="24"/>
        </w:rPr>
        <w:t>mimosporový</w:t>
      </w:r>
      <w:proofErr w:type="spellEnd"/>
      <w:r w:rsidRPr="001B180E">
        <w:rPr>
          <w:rFonts w:ascii="Times New Roman" w:hAnsi="Times New Roman"/>
          <w:sz w:val="24"/>
          <w:szCs w:val="24"/>
        </w:rPr>
        <w:t xml:space="preserve"> poriadok. </w:t>
      </w:r>
    </w:p>
    <w:p w:rsidR="00EC5EA5" w:rsidRPr="001B180E" w:rsidRDefault="00EC5EA5" w:rsidP="00EC5E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C5EA5" w:rsidRPr="001B180E" w:rsidRDefault="00EC5EA5" w:rsidP="00EC5E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180E">
        <w:rPr>
          <w:rFonts w:ascii="Times New Roman" w:hAnsi="Times New Roman"/>
          <w:sz w:val="24"/>
          <w:szCs w:val="24"/>
        </w:rPr>
        <w:t xml:space="preserve">Civilný </w:t>
      </w:r>
      <w:proofErr w:type="spellStart"/>
      <w:r w:rsidRPr="001B180E">
        <w:rPr>
          <w:rFonts w:ascii="Times New Roman" w:hAnsi="Times New Roman"/>
          <w:sz w:val="24"/>
          <w:szCs w:val="24"/>
        </w:rPr>
        <w:t>mimosporový</w:t>
      </w:r>
      <w:proofErr w:type="spellEnd"/>
      <w:r w:rsidRPr="001B180E">
        <w:rPr>
          <w:rFonts w:ascii="Times New Roman" w:hAnsi="Times New Roman"/>
          <w:sz w:val="24"/>
          <w:szCs w:val="24"/>
        </w:rPr>
        <w:t xml:space="preserve"> poriadok bol k dnešnému dňu novelizovaný celkom 11-krát. Postupne – počnúc rokom 2019 – sa v Civilnom </w:t>
      </w:r>
      <w:proofErr w:type="spellStart"/>
      <w:r w:rsidRPr="001B180E">
        <w:rPr>
          <w:rFonts w:ascii="Times New Roman" w:hAnsi="Times New Roman"/>
          <w:sz w:val="24"/>
          <w:szCs w:val="24"/>
        </w:rPr>
        <w:t>mimosporovom</w:t>
      </w:r>
      <w:proofErr w:type="spellEnd"/>
      <w:r w:rsidRPr="001B180E">
        <w:rPr>
          <w:rFonts w:ascii="Times New Roman" w:hAnsi="Times New Roman"/>
          <w:sz w:val="24"/>
          <w:szCs w:val="24"/>
        </w:rPr>
        <w:t xml:space="preserve"> poriadku riešili vybrané otázky práva obchodných spoločností (likvidácia, premeny, </w:t>
      </w:r>
      <w:proofErr w:type="spellStart"/>
      <w:r w:rsidRPr="001B180E">
        <w:rPr>
          <w:rFonts w:ascii="Times New Roman" w:hAnsi="Times New Roman"/>
          <w:sz w:val="24"/>
          <w:szCs w:val="24"/>
        </w:rPr>
        <w:t>insolvenčný</w:t>
      </w:r>
      <w:proofErr w:type="spellEnd"/>
      <w:r w:rsidRPr="001B180E">
        <w:rPr>
          <w:rFonts w:ascii="Times New Roman" w:hAnsi="Times New Roman"/>
          <w:sz w:val="24"/>
          <w:szCs w:val="24"/>
        </w:rPr>
        <w:t xml:space="preserve"> register, zjednodušené zakladanie spoločností), občianskeho práva (vydržanie, obnova konania, rodinný sudca, cezhraničné konanie atď.), organizácie súdov (súdna mapa) a posilnenia Komisára pre deti v konaní.  Všetky doterajšie novelizácie riešili parciálne otázky, bez všeobecnejšieho vzhľadu na právnu úpravu a poznatky aplikačnej praxe, ktoré by zohľadňovali doterajšiu skúsenosť súdov a účastníkov konania. </w:t>
      </w:r>
    </w:p>
    <w:p w:rsidR="00EC5EA5" w:rsidRPr="001B180E" w:rsidRDefault="00EC5EA5" w:rsidP="00EC5E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C5EA5" w:rsidRPr="001B180E" w:rsidRDefault="00EC5EA5" w:rsidP="00EC5E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180E">
        <w:rPr>
          <w:rFonts w:ascii="Times New Roman" w:hAnsi="Times New Roman"/>
          <w:sz w:val="24"/>
          <w:szCs w:val="24"/>
        </w:rPr>
        <w:t>Preto základným východiskom predkladaného návrhu zákona je snaha reflektovať poznatky aplikačnej praxe plynúce z doterajšej skúsenosti s aplikáci</w:t>
      </w:r>
      <w:r w:rsidR="00BC409A">
        <w:rPr>
          <w:rFonts w:ascii="Times New Roman" w:hAnsi="Times New Roman"/>
          <w:sz w:val="24"/>
          <w:szCs w:val="24"/>
        </w:rPr>
        <w:t>o</w:t>
      </w:r>
      <w:r w:rsidRPr="001B180E">
        <w:rPr>
          <w:rFonts w:ascii="Times New Roman" w:hAnsi="Times New Roman"/>
          <w:sz w:val="24"/>
          <w:szCs w:val="24"/>
        </w:rPr>
        <w:t xml:space="preserve">u Civilného </w:t>
      </w:r>
      <w:proofErr w:type="spellStart"/>
      <w:r w:rsidRPr="001B180E">
        <w:rPr>
          <w:rFonts w:ascii="Times New Roman" w:hAnsi="Times New Roman"/>
          <w:sz w:val="24"/>
          <w:szCs w:val="24"/>
        </w:rPr>
        <w:t>mimosporového</w:t>
      </w:r>
      <w:proofErr w:type="spellEnd"/>
      <w:r w:rsidRPr="001B180E">
        <w:rPr>
          <w:rFonts w:ascii="Times New Roman" w:hAnsi="Times New Roman"/>
          <w:sz w:val="24"/>
          <w:szCs w:val="24"/>
        </w:rPr>
        <w:t xml:space="preserve"> poriadku. Okrem návrhov dotknutých aktérov </w:t>
      </w:r>
      <w:proofErr w:type="spellStart"/>
      <w:r w:rsidRPr="001B180E">
        <w:rPr>
          <w:rFonts w:ascii="Times New Roman" w:hAnsi="Times New Roman"/>
          <w:sz w:val="24"/>
          <w:szCs w:val="24"/>
        </w:rPr>
        <w:t>mimosporového</w:t>
      </w:r>
      <w:proofErr w:type="spellEnd"/>
      <w:r w:rsidRPr="001B180E">
        <w:rPr>
          <w:rFonts w:ascii="Times New Roman" w:hAnsi="Times New Roman"/>
          <w:sz w:val="24"/>
          <w:szCs w:val="24"/>
        </w:rPr>
        <w:t xml:space="preserve"> konania (najmä súdov), predkladateľ pri príprave návrhu zákona vychádzal aj z metodických výstupov projektovej aktivity Implementácia opatrení na podporu reformy štruktúry a optimalizácie procesov v rodinnoprávnej agende,</w:t>
      </w:r>
      <w:r w:rsidRPr="001B180E">
        <w:rPr>
          <w:rStyle w:val="Odkaznapoznmkupodiarou"/>
          <w:rFonts w:ascii="Times New Roman" w:hAnsi="Times New Roman"/>
          <w:sz w:val="24"/>
          <w:szCs w:val="24"/>
        </w:rPr>
        <w:footnoteReference w:id="1"/>
      </w:r>
      <w:r w:rsidRPr="001B180E">
        <w:rPr>
          <w:rFonts w:ascii="Times New Roman" w:hAnsi="Times New Roman"/>
          <w:sz w:val="24"/>
          <w:szCs w:val="24"/>
        </w:rPr>
        <w:t>) ako aj z Koncepcie činnosti Centra právnej pomoci na roky 2024 – 2026 schválenej vládou uznesením č. 471/2023.</w:t>
      </w:r>
      <w:r w:rsidRPr="001B180E">
        <w:rPr>
          <w:rStyle w:val="Odkaznapoznmkupodiarou"/>
          <w:rFonts w:ascii="Times New Roman" w:hAnsi="Times New Roman"/>
          <w:sz w:val="24"/>
          <w:szCs w:val="24"/>
        </w:rPr>
        <w:footnoteReference w:id="2"/>
      </w:r>
      <w:r w:rsidRPr="001B180E">
        <w:rPr>
          <w:rFonts w:ascii="Times New Roman" w:hAnsi="Times New Roman"/>
          <w:sz w:val="24"/>
          <w:szCs w:val="24"/>
        </w:rPr>
        <w:t>) Predkladateľ bral do úvahy aj poznatky prokuratúry prezentované v Správe generálneho prokurátora Slovenskej republiky o činnosti prokuratúry a poznatkoch prokuratúry o stave zákonnosti v Slovenskej republike za rok 2022.</w:t>
      </w:r>
      <w:r w:rsidRPr="001B180E">
        <w:rPr>
          <w:rStyle w:val="Odkaznapoznmkupodiarou"/>
          <w:rFonts w:ascii="Times New Roman" w:hAnsi="Times New Roman"/>
          <w:sz w:val="24"/>
          <w:szCs w:val="24"/>
        </w:rPr>
        <w:footnoteReference w:id="3"/>
      </w:r>
      <w:r w:rsidRPr="001B180E">
        <w:rPr>
          <w:rFonts w:ascii="Times New Roman" w:hAnsi="Times New Roman"/>
          <w:sz w:val="24"/>
          <w:szCs w:val="24"/>
        </w:rPr>
        <w:t xml:space="preserve">) Návrh zákona taktiež reaguje aj na uznesenie Súdnej rady Slovenskej republiky č. 461/2024 týkajúce sa novelizácie Civilného </w:t>
      </w:r>
      <w:proofErr w:type="spellStart"/>
      <w:r w:rsidRPr="001B180E">
        <w:rPr>
          <w:rFonts w:ascii="Times New Roman" w:hAnsi="Times New Roman"/>
          <w:sz w:val="24"/>
          <w:szCs w:val="24"/>
        </w:rPr>
        <w:t>mimosporového</w:t>
      </w:r>
      <w:proofErr w:type="spellEnd"/>
      <w:r w:rsidRPr="001B180E">
        <w:rPr>
          <w:rFonts w:ascii="Times New Roman" w:hAnsi="Times New Roman"/>
          <w:sz w:val="24"/>
          <w:szCs w:val="24"/>
        </w:rPr>
        <w:t xml:space="preserve"> poriadku.</w:t>
      </w:r>
      <w:r w:rsidRPr="001B180E">
        <w:rPr>
          <w:rStyle w:val="Odkaznapoznmkupodiarou"/>
          <w:rFonts w:ascii="Times New Roman" w:hAnsi="Times New Roman"/>
          <w:sz w:val="24"/>
          <w:szCs w:val="24"/>
        </w:rPr>
        <w:footnoteReference w:id="4"/>
      </w:r>
      <w:r w:rsidRPr="001B180E">
        <w:rPr>
          <w:rFonts w:ascii="Times New Roman" w:hAnsi="Times New Roman"/>
          <w:sz w:val="24"/>
          <w:szCs w:val="24"/>
        </w:rPr>
        <w:t xml:space="preserve">) Okrem toho vhodným zdrojom boli aj doterajšie legislatívne procesy k novelizácii Civilného </w:t>
      </w:r>
      <w:proofErr w:type="spellStart"/>
      <w:r w:rsidRPr="001B180E">
        <w:rPr>
          <w:rFonts w:ascii="Times New Roman" w:hAnsi="Times New Roman"/>
          <w:sz w:val="24"/>
          <w:szCs w:val="24"/>
        </w:rPr>
        <w:t>mimosporového</w:t>
      </w:r>
      <w:proofErr w:type="spellEnd"/>
      <w:r w:rsidRPr="001B180E">
        <w:rPr>
          <w:rFonts w:ascii="Times New Roman" w:hAnsi="Times New Roman"/>
          <w:sz w:val="24"/>
          <w:szCs w:val="24"/>
        </w:rPr>
        <w:t xml:space="preserve"> poriadku,</w:t>
      </w:r>
      <w:r w:rsidRPr="001B180E">
        <w:rPr>
          <w:rStyle w:val="Odkaznapoznmkupodiarou"/>
          <w:rFonts w:ascii="Times New Roman" w:hAnsi="Times New Roman"/>
          <w:sz w:val="24"/>
          <w:szCs w:val="24"/>
        </w:rPr>
        <w:footnoteReference w:id="5"/>
      </w:r>
      <w:r w:rsidRPr="001B180E">
        <w:rPr>
          <w:rFonts w:ascii="Times New Roman" w:hAnsi="Times New Roman"/>
          <w:sz w:val="24"/>
          <w:szCs w:val="24"/>
        </w:rPr>
        <w:t>) ktoré častokrát priniesli pripomienky nad rámec vtedy navrhovaných úprav tohto procesného kódexu a ktoré boli „ponechané“ na neskoršie novelizácie globálnejšieho charakteru.</w:t>
      </w:r>
    </w:p>
    <w:p w:rsidR="00EC5EA5" w:rsidRPr="001B180E" w:rsidRDefault="00EC5EA5" w:rsidP="00EC5E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11EE1" w:rsidRPr="00840349" w:rsidRDefault="00EC5EA5" w:rsidP="00711EE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180E">
        <w:rPr>
          <w:rFonts w:ascii="Times New Roman" w:hAnsi="Times New Roman"/>
          <w:sz w:val="24"/>
          <w:szCs w:val="24"/>
        </w:rPr>
        <w:lastRenderedPageBreak/>
        <w:t xml:space="preserve">Návrh zákona má ambíciu racionalizovať </w:t>
      </w:r>
      <w:proofErr w:type="spellStart"/>
      <w:r w:rsidRPr="001B180E">
        <w:rPr>
          <w:rFonts w:ascii="Times New Roman" w:hAnsi="Times New Roman"/>
          <w:sz w:val="24"/>
          <w:szCs w:val="24"/>
        </w:rPr>
        <w:t>mimosporový</w:t>
      </w:r>
      <w:proofErr w:type="spellEnd"/>
      <w:r w:rsidRPr="001B180E">
        <w:rPr>
          <w:rFonts w:ascii="Times New Roman" w:hAnsi="Times New Roman"/>
          <w:sz w:val="24"/>
          <w:szCs w:val="24"/>
        </w:rPr>
        <w:t xml:space="preserve"> proces. Na tento účel tam, kde je to vhodné, predkladateľ volí výraznejšie odklony od doterajšej subsidiárnej aplikácie Civilného sporového poriadku v </w:t>
      </w:r>
      <w:proofErr w:type="spellStart"/>
      <w:r w:rsidRPr="001B180E">
        <w:rPr>
          <w:rFonts w:ascii="Times New Roman" w:hAnsi="Times New Roman"/>
          <w:sz w:val="24"/>
          <w:szCs w:val="24"/>
        </w:rPr>
        <w:t>mimosporových</w:t>
      </w:r>
      <w:proofErr w:type="spellEnd"/>
      <w:r w:rsidRPr="001B180E">
        <w:rPr>
          <w:rFonts w:ascii="Times New Roman" w:hAnsi="Times New Roman"/>
          <w:sz w:val="24"/>
          <w:szCs w:val="24"/>
        </w:rPr>
        <w:t xml:space="preserve"> konaniach (napríklad vylúčenie repliky a </w:t>
      </w:r>
      <w:proofErr w:type="spellStart"/>
      <w:r w:rsidRPr="001B180E">
        <w:rPr>
          <w:rFonts w:ascii="Times New Roman" w:hAnsi="Times New Roman"/>
          <w:sz w:val="24"/>
          <w:szCs w:val="24"/>
        </w:rPr>
        <w:t>dupliky</w:t>
      </w:r>
      <w:proofErr w:type="spellEnd"/>
      <w:r w:rsidRPr="001B180E">
        <w:rPr>
          <w:rFonts w:ascii="Times New Roman" w:hAnsi="Times New Roman"/>
          <w:sz w:val="24"/>
          <w:szCs w:val="24"/>
        </w:rPr>
        <w:t xml:space="preserve">) alebo naopak, pripodobňuje </w:t>
      </w:r>
      <w:proofErr w:type="spellStart"/>
      <w:r w:rsidRPr="001B180E">
        <w:rPr>
          <w:rFonts w:ascii="Times New Roman" w:hAnsi="Times New Roman"/>
          <w:sz w:val="24"/>
          <w:szCs w:val="24"/>
        </w:rPr>
        <w:t>mimosporové</w:t>
      </w:r>
      <w:proofErr w:type="spellEnd"/>
      <w:r w:rsidRPr="001B180E">
        <w:rPr>
          <w:rFonts w:ascii="Times New Roman" w:hAnsi="Times New Roman"/>
          <w:sz w:val="24"/>
          <w:szCs w:val="24"/>
        </w:rPr>
        <w:t xml:space="preserve"> konanie civilnému sporovému konaniu (rozhodovanie o trovách konania, lehoty na písomné vyhotovenie rozsudkov, či </w:t>
      </w:r>
      <w:proofErr w:type="spellStart"/>
      <w:r w:rsidRPr="001B180E">
        <w:rPr>
          <w:rFonts w:ascii="Times New Roman" w:hAnsi="Times New Roman"/>
          <w:sz w:val="24"/>
          <w:szCs w:val="24"/>
        </w:rPr>
        <w:t>odročovanie</w:t>
      </w:r>
      <w:proofErr w:type="spellEnd"/>
      <w:r w:rsidRPr="001B180E">
        <w:rPr>
          <w:rFonts w:ascii="Times New Roman" w:hAnsi="Times New Roman"/>
          <w:sz w:val="24"/>
          <w:szCs w:val="24"/>
        </w:rPr>
        <w:t xml:space="preserve"> pojednávania na účely vyhlásenia rozsudku). Odklony od pôvodnej právnej úpravy v Občianskom súdnom poriadku, ktoré priniesla rekodifikácia, sa neukázali vždy ako vhodné riešenia, preto v niektorých otázkach predstavuje návrh zákona návrat k pôvodnej úprave Občianskeho súdneho poriadku. Okrem toho sa v návrhu zákona prepracovávajú niektoré inštitúty ako celok (procesné opatrovníctvo, miestna príslušnosť, výkon rozhodnutia). Návrhom zákona sa ďalej rozširuje matéria Civilného sporového poriadku o niektoré nové inštitúty ako informatívne stretnutie rodičov, vyšší súdny úradník-koordinátor, či podporná činnosť súdneho psychológa, a to v nadväznosti na Metodiku „Princípy a priebeh konania multidisciplinárneho prístupu súdu v rodinnoprávnej agende“.</w:t>
      </w:r>
      <w:r w:rsidRPr="001B180E">
        <w:rPr>
          <w:rStyle w:val="Odkaznapoznmkupodiarou"/>
          <w:rFonts w:ascii="Times New Roman" w:hAnsi="Times New Roman"/>
          <w:sz w:val="24"/>
          <w:szCs w:val="24"/>
        </w:rPr>
        <w:footnoteReference w:id="6"/>
      </w:r>
      <w:r w:rsidRPr="001B180E">
        <w:rPr>
          <w:rFonts w:ascii="Times New Roman" w:hAnsi="Times New Roman"/>
          <w:sz w:val="24"/>
          <w:szCs w:val="24"/>
        </w:rPr>
        <w:t xml:space="preserve">) </w:t>
      </w:r>
      <w:r w:rsidR="00711EE1">
        <w:rPr>
          <w:rFonts w:ascii="Times New Roman" w:hAnsi="Times New Roman"/>
          <w:sz w:val="24"/>
          <w:szCs w:val="24"/>
        </w:rPr>
        <w:t>Návrh, inšpirovaný už súčasne platnou a účinnou právnou úpravu obsiahnutou v Exekučnom poriadku, súčasne zavádza nové tzv. donucovacie opatrenia pri výkone rozhodnutia vo veciach maloletých, ktoré majú za cieľ zefektívniť výkon rozhodnutia a ich základnou funkciou je najmä prevencia a samozrejme s tým spojená motivácia na dobrovoľné plnenie povinnosti, nakoľko ako je všeobecne známe, ukladanie pokút samo o sebe nie je dostatočne účinné.</w:t>
      </w:r>
    </w:p>
    <w:p w:rsidR="00EC5EA5" w:rsidRPr="001B180E" w:rsidRDefault="00EC5EA5" w:rsidP="00EC5E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C5EA5" w:rsidRPr="001B180E" w:rsidRDefault="00EC5EA5" w:rsidP="00EC5E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180E">
        <w:rPr>
          <w:rFonts w:ascii="Times New Roman" w:hAnsi="Times New Roman"/>
          <w:sz w:val="24"/>
          <w:szCs w:val="24"/>
        </w:rPr>
        <w:t>Z hľadiska obsahového vymedzenia návrhu zákona sa právna úprava zameriava hlavne na oblasť rodinnoprávnej agendy a poručenskej agendy, ktorá tvorí dominantnú časť návrhu zákona. Druhú skupinu zmien predstavujú zmeny v oblasti dedičského konania. Tretiu skupinu tvoria niektoré dielčie úpravy v oblasti týkajúcej sa problematiky prípustnosti prevzatia a držania v zdravotníckom zariadení, súdnych úschov a práva obchodných spoločností, pričom  predkladateľ poznamenáva, že požiadavky aplikačnej pra</w:t>
      </w:r>
      <w:r w:rsidR="00041D85">
        <w:rPr>
          <w:rFonts w:ascii="Times New Roman" w:hAnsi="Times New Roman"/>
          <w:sz w:val="24"/>
          <w:szCs w:val="24"/>
        </w:rPr>
        <w:t xml:space="preserve">xe v tejto oblasti sa sústredili do iných návrhov zákonov - </w:t>
      </w:r>
      <w:bookmarkStart w:id="0" w:name="_GoBack"/>
      <w:bookmarkEnd w:id="0"/>
      <w:r w:rsidRPr="001B180E">
        <w:rPr>
          <w:rFonts w:ascii="Times New Roman" w:hAnsi="Times New Roman"/>
          <w:sz w:val="24"/>
          <w:szCs w:val="24"/>
        </w:rPr>
        <w:t>nový zákon o obchodnom registri</w:t>
      </w:r>
      <w:r w:rsidRPr="001B180E">
        <w:rPr>
          <w:rStyle w:val="Odkaznapoznmkupodiarou"/>
          <w:rFonts w:ascii="Times New Roman" w:hAnsi="Times New Roman"/>
          <w:sz w:val="24"/>
          <w:szCs w:val="24"/>
        </w:rPr>
        <w:footnoteReference w:id="7"/>
      </w:r>
      <w:r w:rsidRPr="001B180E">
        <w:rPr>
          <w:rFonts w:ascii="Times New Roman" w:hAnsi="Times New Roman"/>
          <w:sz w:val="24"/>
          <w:szCs w:val="24"/>
        </w:rPr>
        <w:t>) a novelizácia zákona o konkurze a reštrukturalizácii.</w:t>
      </w:r>
      <w:r w:rsidRPr="001B180E">
        <w:rPr>
          <w:rStyle w:val="Odkaznapoznmkupodiarou"/>
          <w:rFonts w:ascii="Times New Roman" w:hAnsi="Times New Roman"/>
          <w:sz w:val="24"/>
          <w:szCs w:val="24"/>
        </w:rPr>
        <w:footnoteReference w:id="8"/>
      </w:r>
      <w:r w:rsidRPr="001B180E">
        <w:rPr>
          <w:rFonts w:ascii="Times New Roman" w:hAnsi="Times New Roman"/>
          <w:sz w:val="24"/>
          <w:szCs w:val="24"/>
        </w:rPr>
        <w:t xml:space="preserve">) </w:t>
      </w:r>
    </w:p>
    <w:p w:rsidR="00EC5EA5" w:rsidRPr="001B180E" w:rsidRDefault="00EC5EA5" w:rsidP="00EC5EA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EC5EA5" w:rsidRPr="001B180E" w:rsidRDefault="00EC5EA5" w:rsidP="00EC5EA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B180E">
        <w:rPr>
          <w:rFonts w:ascii="Times New Roman" w:hAnsi="Times New Roman"/>
          <w:sz w:val="24"/>
          <w:szCs w:val="24"/>
        </w:rPr>
        <w:t>V oblasti rodinnoprávnej agendy možno navrhované zmeny z vecného hľadiska zhrnúť nasledovne:</w:t>
      </w:r>
    </w:p>
    <w:p w:rsidR="00EC5EA5" w:rsidRPr="001B180E" w:rsidRDefault="00EC5EA5" w:rsidP="00EC5EA5">
      <w:pPr>
        <w:pStyle w:val="Odsekzoznamu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180E">
        <w:rPr>
          <w:rFonts w:ascii="Times New Roman" w:hAnsi="Times New Roman"/>
          <w:sz w:val="24"/>
          <w:szCs w:val="24"/>
        </w:rPr>
        <w:t xml:space="preserve">precizovanie právnej úpravy vykonania pojednávania mimo sídla odvolacieho súdu, </w:t>
      </w:r>
    </w:p>
    <w:p w:rsidR="00EC5EA5" w:rsidRPr="001B180E" w:rsidRDefault="00EC5EA5" w:rsidP="00EC5EA5">
      <w:pPr>
        <w:pStyle w:val="Odsekzoznamu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180E">
        <w:rPr>
          <w:rFonts w:ascii="Times New Roman" w:hAnsi="Times New Roman"/>
          <w:sz w:val="24"/>
          <w:szCs w:val="24"/>
        </w:rPr>
        <w:t xml:space="preserve">prehodnotenie inštitútu rodinného sudcu, </w:t>
      </w:r>
    </w:p>
    <w:p w:rsidR="00EC5EA5" w:rsidRPr="001B180E" w:rsidRDefault="00EC5EA5" w:rsidP="00EC5EA5">
      <w:pPr>
        <w:pStyle w:val="Odsekzoznamu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180E">
        <w:rPr>
          <w:rFonts w:ascii="Times New Roman" w:hAnsi="Times New Roman"/>
          <w:sz w:val="24"/>
          <w:szCs w:val="24"/>
        </w:rPr>
        <w:t>podrobnejšia úprav</w:t>
      </w:r>
      <w:r w:rsidR="00BC409A">
        <w:rPr>
          <w:rFonts w:ascii="Times New Roman" w:hAnsi="Times New Roman"/>
          <w:sz w:val="24"/>
          <w:szCs w:val="24"/>
        </w:rPr>
        <w:t>a</w:t>
      </w:r>
      <w:r w:rsidRPr="001B180E">
        <w:rPr>
          <w:rFonts w:ascii="Times New Roman" w:hAnsi="Times New Roman"/>
          <w:sz w:val="24"/>
          <w:szCs w:val="24"/>
        </w:rPr>
        <w:t xml:space="preserve"> využívania videokonferencie v konaní pred súdom, </w:t>
      </w:r>
    </w:p>
    <w:p w:rsidR="00EC5EA5" w:rsidRPr="001B180E" w:rsidRDefault="00EC5EA5" w:rsidP="00EC5EA5">
      <w:pPr>
        <w:pStyle w:val="Odsekzoznamu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180E">
        <w:rPr>
          <w:rFonts w:ascii="Times New Roman" w:hAnsi="Times New Roman"/>
          <w:sz w:val="24"/>
          <w:szCs w:val="24"/>
        </w:rPr>
        <w:t>zákonná úprava niektorých prvkov multidisciplinárneho prístupu súdu v rodinnoprávnej agende (informatívne stretnutie rodičov, vyšší súdn</w:t>
      </w:r>
      <w:r w:rsidR="00BC409A">
        <w:rPr>
          <w:rFonts w:ascii="Times New Roman" w:hAnsi="Times New Roman"/>
          <w:sz w:val="24"/>
          <w:szCs w:val="24"/>
        </w:rPr>
        <w:t>y</w:t>
      </w:r>
      <w:r w:rsidRPr="001B180E">
        <w:rPr>
          <w:rFonts w:ascii="Times New Roman" w:hAnsi="Times New Roman"/>
          <w:sz w:val="24"/>
          <w:szCs w:val="24"/>
        </w:rPr>
        <w:t xml:space="preserve"> úradník-koordinátor, podporná činnosť súdneho psychológa),</w:t>
      </w:r>
    </w:p>
    <w:p w:rsidR="00EC5EA5" w:rsidRPr="001B180E" w:rsidRDefault="00EC5EA5" w:rsidP="00EC5EA5">
      <w:pPr>
        <w:pStyle w:val="Odsekzoznamu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180E">
        <w:rPr>
          <w:rFonts w:ascii="Times New Roman" w:hAnsi="Times New Roman"/>
          <w:sz w:val="24"/>
          <w:szCs w:val="24"/>
        </w:rPr>
        <w:t>obmedzenie subsidiárneho použitia Civilného sporového poriadku (najmä vylúčenie repliky a </w:t>
      </w:r>
      <w:proofErr w:type="spellStart"/>
      <w:r w:rsidRPr="001B180E">
        <w:rPr>
          <w:rFonts w:ascii="Times New Roman" w:hAnsi="Times New Roman"/>
          <w:sz w:val="24"/>
          <w:szCs w:val="24"/>
        </w:rPr>
        <w:t>dupliky</w:t>
      </w:r>
      <w:proofErr w:type="spellEnd"/>
      <w:r w:rsidRPr="001B180E">
        <w:rPr>
          <w:rFonts w:ascii="Times New Roman" w:hAnsi="Times New Roman"/>
          <w:sz w:val="24"/>
          <w:szCs w:val="24"/>
        </w:rPr>
        <w:t xml:space="preserve"> v konaní pred súdom prvej inštancie a po podaní odvolania),</w:t>
      </w:r>
    </w:p>
    <w:p w:rsidR="00EC5EA5" w:rsidRPr="001B180E" w:rsidRDefault="00EC5EA5" w:rsidP="00EC5EA5">
      <w:pPr>
        <w:pStyle w:val="Odsekzoznamu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180E">
        <w:rPr>
          <w:rFonts w:ascii="Times New Roman" w:hAnsi="Times New Roman"/>
          <w:sz w:val="24"/>
          <w:szCs w:val="24"/>
        </w:rPr>
        <w:t xml:space="preserve">zavedenie možnosti odročenia pojednávania na verejné vyhlásenie rozsudku, </w:t>
      </w:r>
    </w:p>
    <w:p w:rsidR="00EC5EA5" w:rsidRPr="001B180E" w:rsidRDefault="00EC5EA5" w:rsidP="00EC5EA5">
      <w:pPr>
        <w:pStyle w:val="Odsekzoznamu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180E">
        <w:rPr>
          <w:rFonts w:ascii="Times New Roman" w:hAnsi="Times New Roman"/>
          <w:sz w:val="24"/>
          <w:szCs w:val="24"/>
        </w:rPr>
        <w:t>predĺženie lehoty na písomné vypracovanie rozsudku,</w:t>
      </w:r>
    </w:p>
    <w:p w:rsidR="00EC5EA5" w:rsidRPr="001B180E" w:rsidRDefault="00EC5EA5" w:rsidP="00EC5EA5">
      <w:pPr>
        <w:pStyle w:val="Odsekzoznamu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180E">
        <w:rPr>
          <w:rFonts w:ascii="Times New Roman" w:hAnsi="Times New Roman"/>
          <w:sz w:val="24"/>
          <w:szCs w:val="24"/>
        </w:rPr>
        <w:t xml:space="preserve">rozšírenie možnosti súdu priznať rozhodnutiu predbežnú vykonateľnosť, </w:t>
      </w:r>
    </w:p>
    <w:p w:rsidR="00EC5EA5" w:rsidRPr="001B180E" w:rsidRDefault="00EC5EA5" w:rsidP="00EC5EA5">
      <w:pPr>
        <w:pStyle w:val="Odsekzoznamu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180E">
        <w:rPr>
          <w:rFonts w:ascii="Times New Roman" w:hAnsi="Times New Roman"/>
          <w:sz w:val="24"/>
          <w:szCs w:val="24"/>
        </w:rPr>
        <w:t xml:space="preserve">priblíženie úpravy rozhodovania o výške trov konania </w:t>
      </w:r>
      <w:r w:rsidR="00BC409A">
        <w:rPr>
          <w:rFonts w:ascii="Times New Roman" w:hAnsi="Times New Roman"/>
          <w:sz w:val="24"/>
          <w:szCs w:val="24"/>
        </w:rPr>
        <w:t>c</w:t>
      </w:r>
      <w:r w:rsidRPr="001B180E">
        <w:rPr>
          <w:rFonts w:ascii="Times New Roman" w:hAnsi="Times New Roman"/>
          <w:sz w:val="24"/>
          <w:szCs w:val="24"/>
        </w:rPr>
        <w:t xml:space="preserve">ivilnému sporovému konaniu, </w:t>
      </w:r>
    </w:p>
    <w:p w:rsidR="00EC5EA5" w:rsidRPr="001B180E" w:rsidRDefault="00EC5EA5" w:rsidP="00EC5EA5">
      <w:pPr>
        <w:pStyle w:val="Odsekzoznamu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180E">
        <w:rPr>
          <w:rFonts w:ascii="Times New Roman" w:hAnsi="Times New Roman"/>
          <w:sz w:val="24"/>
          <w:szCs w:val="24"/>
        </w:rPr>
        <w:t>nová úprava miestnej príslušnosti súdu prvej inštancie vo veciach starostlivosti súdu o maloletých,</w:t>
      </w:r>
    </w:p>
    <w:p w:rsidR="00EC5EA5" w:rsidRPr="001B180E" w:rsidRDefault="00EC5EA5" w:rsidP="00EC5EA5">
      <w:pPr>
        <w:pStyle w:val="Odsekzoznamu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180E">
        <w:rPr>
          <w:rFonts w:ascii="Times New Roman" w:hAnsi="Times New Roman"/>
          <w:sz w:val="24"/>
          <w:szCs w:val="24"/>
        </w:rPr>
        <w:lastRenderedPageBreak/>
        <w:t>inštitucionálne oddelenie sociálnej práce a právneho zastupovania v rámci kolízneho opatrovníctva,</w:t>
      </w:r>
    </w:p>
    <w:p w:rsidR="00EC5EA5" w:rsidRPr="001B180E" w:rsidRDefault="00EC5EA5" w:rsidP="00EC5EA5">
      <w:pPr>
        <w:pStyle w:val="Odsekzoznamu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180E">
        <w:rPr>
          <w:rFonts w:ascii="Times New Roman" w:hAnsi="Times New Roman"/>
          <w:sz w:val="24"/>
          <w:szCs w:val="24"/>
        </w:rPr>
        <w:t xml:space="preserve">zjednodušenie rozhodovania v prípade dohody rodičov, </w:t>
      </w:r>
    </w:p>
    <w:p w:rsidR="00EC5EA5" w:rsidRPr="001B180E" w:rsidRDefault="00EC5EA5" w:rsidP="00EC5EA5">
      <w:pPr>
        <w:pStyle w:val="Odsekzoznamu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180E">
        <w:rPr>
          <w:rFonts w:ascii="Times New Roman" w:hAnsi="Times New Roman"/>
          <w:sz w:val="24"/>
          <w:szCs w:val="24"/>
        </w:rPr>
        <w:t>prehodnotenie právnej úpravy neodkladných opatrení s cieľom racionalizácie konania o nich,</w:t>
      </w:r>
    </w:p>
    <w:p w:rsidR="00AB2C2D" w:rsidRDefault="00EC5EA5" w:rsidP="00EC5EA5">
      <w:pPr>
        <w:pStyle w:val="Odsekzoznamu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180E">
        <w:rPr>
          <w:rFonts w:ascii="Times New Roman" w:hAnsi="Times New Roman"/>
          <w:sz w:val="24"/>
          <w:szCs w:val="24"/>
        </w:rPr>
        <w:t>prehodnotenie právnej úpravy výkonu rozhodnutia vo veciach starostlivosti súdu o</w:t>
      </w:r>
      <w:r w:rsidR="00AB2C2D">
        <w:rPr>
          <w:rFonts w:ascii="Times New Roman" w:hAnsi="Times New Roman"/>
          <w:sz w:val="24"/>
          <w:szCs w:val="24"/>
        </w:rPr>
        <w:t> </w:t>
      </w:r>
      <w:r w:rsidRPr="001B180E">
        <w:rPr>
          <w:rFonts w:ascii="Times New Roman" w:hAnsi="Times New Roman"/>
          <w:sz w:val="24"/>
          <w:szCs w:val="24"/>
        </w:rPr>
        <w:t>maloletých</w:t>
      </w:r>
      <w:r w:rsidR="00AB2C2D">
        <w:rPr>
          <w:rFonts w:ascii="Times New Roman" w:hAnsi="Times New Roman"/>
          <w:sz w:val="24"/>
          <w:szCs w:val="24"/>
        </w:rPr>
        <w:t>,</w:t>
      </w:r>
    </w:p>
    <w:p w:rsidR="00EC5EA5" w:rsidRPr="00F17745" w:rsidRDefault="00AB2C2D" w:rsidP="00AB2C2D">
      <w:pPr>
        <w:pStyle w:val="Odsekzoznamu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zavedenie donucovacích opatrení pri výkone rozhodnutia vo veciach starostlivosti súdu o maloletých (zadržanie vodičského preukazu, zadržanie osvedčenia o vozidle)</w:t>
      </w:r>
      <w:r w:rsidRPr="00840349">
        <w:rPr>
          <w:rFonts w:ascii="Times New Roman" w:hAnsi="Times New Roman"/>
          <w:sz w:val="24"/>
          <w:szCs w:val="24"/>
        </w:rPr>
        <w:t>.</w:t>
      </w:r>
    </w:p>
    <w:p w:rsidR="00EC5EA5" w:rsidRPr="001B180E" w:rsidRDefault="00EC5EA5" w:rsidP="00EC5E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C5EA5" w:rsidRPr="001B180E" w:rsidRDefault="00EC5EA5" w:rsidP="00EC5EA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B180E">
        <w:rPr>
          <w:rFonts w:ascii="Times New Roman" w:hAnsi="Times New Roman"/>
          <w:sz w:val="24"/>
          <w:szCs w:val="24"/>
        </w:rPr>
        <w:t>V oblasti dedičskej agendy možno navrhované zmeny z vecného hľadiska zhrnúť nasledovne:</w:t>
      </w:r>
    </w:p>
    <w:p w:rsidR="00EC5EA5" w:rsidRPr="001B180E" w:rsidRDefault="00EC5EA5" w:rsidP="00EC5EA5">
      <w:pPr>
        <w:pStyle w:val="Odsekzoznamu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180E">
        <w:rPr>
          <w:rFonts w:ascii="Times New Roman" w:hAnsi="Times New Roman"/>
          <w:sz w:val="24"/>
          <w:szCs w:val="24"/>
        </w:rPr>
        <w:t xml:space="preserve">neprípustnosť odvolania proti rozhodnutiu notára, ktorým sa upravuje vedenie konania, </w:t>
      </w:r>
    </w:p>
    <w:p w:rsidR="00EC5EA5" w:rsidRPr="001B180E" w:rsidRDefault="00EC5EA5" w:rsidP="00EC5EA5">
      <w:pPr>
        <w:pStyle w:val="Odsekzoznamu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180E">
        <w:rPr>
          <w:rFonts w:ascii="Times New Roman" w:hAnsi="Times New Roman"/>
          <w:sz w:val="24"/>
          <w:szCs w:val="24"/>
        </w:rPr>
        <w:t>schvaľovanie úkonov maloletého dediča súdom,</w:t>
      </w:r>
    </w:p>
    <w:p w:rsidR="00EC5EA5" w:rsidRPr="001B180E" w:rsidRDefault="00EC5EA5" w:rsidP="00EC5EA5">
      <w:pPr>
        <w:pStyle w:val="Odsekzoznamu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180E">
        <w:rPr>
          <w:rFonts w:ascii="Times New Roman" w:hAnsi="Times New Roman"/>
          <w:sz w:val="24"/>
          <w:szCs w:val="24"/>
        </w:rPr>
        <w:t>prehodnotenie právnej úpravy rozsahu poverenia notára v dedičskom konaní,</w:t>
      </w:r>
    </w:p>
    <w:p w:rsidR="00EC5EA5" w:rsidRPr="001B180E" w:rsidRDefault="00EC5EA5" w:rsidP="00EC5EA5">
      <w:pPr>
        <w:pStyle w:val="Odsekzoznamu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180E">
        <w:rPr>
          <w:rFonts w:ascii="Times New Roman" w:hAnsi="Times New Roman"/>
          <w:sz w:val="24"/>
          <w:szCs w:val="24"/>
        </w:rPr>
        <w:t>precizovanie úpravy dedičských sporov,</w:t>
      </w:r>
    </w:p>
    <w:p w:rsidR="00EC5EA5" w:rsidRPr="001B180E" w:rsidRDefault="00EC5EA5" w:rsidP="00EC5EA5">
      <w:pPr>
        <w:pStyle w:val="Odsekzoznamu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180E">
        <w:rPr>
          <w:rFonts w:ascii="Times New Roman" w:hAnsi="Times New Roman"/>
          <w:sz w:val="24"/>
          <w:szCs w:val="24"/>
        </w:rPr>
        <w:t>precizovanie speňažovania majetku v rámci likvidácie dedičstva,</w:t>
      </w:r>
    </w:p>
    <w:p w:rsidR="00EC5EA5" w:rsidRPr="001B180E" w:rsidRDefault="00EC5EA5" w:rsidP="00EC5EA5">
      <w:pPr>
        <w:pStyle w:val="Odsekzoznamu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180E">
        <w:rPr>
          <w:rFonts w:ascii="Times New Roman" w:hAnsi="Times New Roman"/>
          <w:sz w:val="24"/>
          <w:szCs w:val="24"/>
        </w:rPr>
        <w:t>prehodnotenie právnej úpravy rozvrhu výťažku v dedičskom konaní.</w:t>
      </w:r>
    </w:p>
    <w:p w:rsidR="00EC5EA5" w:rsidRPr="001B180E" w:rsidRDefault="00EC5EA5" w:rsidP="00EC5EA5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EC5EA5" w:rsidRPr="00041D85" w:rsidRDefault="00EC5EA5" w:rsidP="00EC5E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1D85">
        <w:rPr>
          <w:rFonts w:ascii="Times New Roman" w:hAnsi="Times New Roman"/>
          <w:sz w:val="24"/>
          <w:szCs w:val="24"/>
        </w:rPr>
        <w:t xml:space="preserve">Okrem samotnej novelizácie Civilného </w:t>
      </w:r>
      <w:proofErr w:type="spellStart"/>
      <w:r w:rsidRPr="00041D85">
        <w:rPr>
          <w:rFonts w:ascii="Times New Roman" w:hAnsi="Times New Roman"/>
          <w:sz w:val="24"/>
          <w:szCs w:val="24"/>
        </w:rPr>
        <w:t>mimosporového</w:t>
      </w:r>
      <w:proofErr w:type="spellEnd"/>
      <w:r w:rsidRPr="00041D85">
        <w:rPr>
          <w:rFonts w:ascii="Times New Roman" w:hAnsi="Times New Roman"/>
          <w:sz w:val="24"/>
          <w:szCs w:val="24"/>
        </w:rPr>
        <w:t xml:space="preserve"> poriadku návrh zákona obsahuje aj novelizácie súvisiacich zákonov, pričom ide o vyvolané novelizácie. Dotknutými zákonmi sú zákon Slovenskej národnej rady č. 71/1992 Z. z. o súdnych poplatkoch a poplatku za výpis z registra trestov v znení neskorších predpisov, zákon č. 549/2003 Z. z. o súdnych úradníkoch v znení neskorších predpisov, zákon č. 586/2003 Z. z. o advokácii a o zmene a doplnení zákona č. 455/1991 Zb. o živnostenskom podnikaní (živnostenský zákon) v znení neskorších predpisov v znení neskorších predpisov, zákon č. 36/2005 Z. z. o rodine a o zmene a doplnení niektorých zákonov v znení neskorších predpisov  a zákon č. 305/2005 Z. z. o sociálnoprávnej ochrane detí a o sociálnej kuratele a o zmene a doplnení niektorých zákonov v znení neskorších predpisov a zákon č. 327/2005 Z. z. o poskytovaní právnej pomoci osobám v materiálnej núdzi a o zmene a doplnení zákona č. 586/2003 Z. z. o advokácii a o zmene a doplnení zákona č. 455/1991 Zb. o živnostenskom podnikaní (živnostenský zákon) v znení neskorších predpisov.</w:t>
      </w:r>
    </w:p>
    <w:p w:rsidR="00EC5EA5" w:rsidRPr="001B180E" w:rsidRDefault="00EC5EA5" w:rsidP="00EC5E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C5EA5" w:rsidRPr="001B180E" w:rsidRDefault="00EC5EA5" w:rsidP="00EC5E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180E">
        <w:rPr>
          <w:rFonts w:ascii="Times New Roman" w:hAnsi="Times New Roman"/>
          <w:sz w:val="24"/>
          <w:szCs w:val="24"/>
        </w:rPr>
        <w:t xml:space="preserve">Účinnosť návrhu zákona sa navrhuje od 1. </w:t>
      </w:r>
      <w:r w:rsidR="00F347A3">
        <w:rPr>
          <w:rFonts w:ascii="Times New Roman" w:hAnsi="Times New Roman"/>
          <w:sz w:val="24"/>
          <w:szCs w:val="24"/>
        </w:rPr>
        <w:t xml:space="preserve">júla </w:t>
      </w:r>
      <w:r w:rsidR="008769E0">
        <w:rPr>
          <w:rFonts w:ascii="Times New Roman" w:hAnsi="Times New Roman"/>
          <w:sz w:val="24"/>
          <w:szCs w:val="24"/>
        </w:rPr>
        <w:t>2027</w:t>
      </w:r>
      <w:r w:rsidRPr="001B180E">
        <w:rPr>
          <w:rFonts w:ascii="Times New Roman" w:hAnsi="Times New Roman"/>
          <w:sz w:val="24"/>
          <w:szCs w:val="24"/>
        </w:rPr>
        <w:t>. Tak</w:t>
      </w:r>
      <w:r w:rsidR="00BC409A">
        <w:rPr>
          <w:rFonts w:ascii="Times New Roman" w:hAnsi="Times New Roman"/>
          <w:sz w:val="24"/>
          <w:szCs w:val="24"/>
        </w:rPr>
        <w:t>t</w:t>
      </w:r>
      <w:r w:rsidRPr="001B180E">
        <w:rPr>
          <w:rFonts w:ascii="Times New Roman" w:hAnsi="Times New Roman"/>
          <w:sz w:val="24"/>
          <w:szCs w:val="24"/>
        </w:rPr>
        <w:t xml:space="preserve">o navrhovaná účinnosť zohľadňuje predpokladanú dĺžku legislatívneho procesu, ako aj dostatočnú </w:t>
      </w:r>
      <w:proofErr w:type="spellStart"/>
      <w:r w:rsidRPr="001B180E">
        <w:rPr>
          <w:rFonts w:ascii="Times New Roman" w:hAnsi="Times New Roman"/>
          <w:sz w:val="24"/>
          <w:szCs w:val="24"/>
        </w:rPr>
        <w:t>legisvakančnú</w:t>
      </w:r>
      <w:proofErr w:type="spellEnd"/>
      <w:r w:rsidRPr="001B180E">
        <w:rPr>
          <w:rFonts w:ascii="Times New Roman" w:hAnsi="Times New Roman"/>
          <w:sz w:val="24"/>
          <w:szCs w:val="24"/>
        </w:rPr>
        <w:t xml:space="preserve"> lehotu.</w:t>
      </w:r>
    </w:p>
    <w:p w:rsidR="00EC5EA5" w:rsidRPr="001B180E" w:rsidRDefault="00EC5EA5" w:rsidP="00EC5E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C5EA5" w:rsidRPr="001B180E" w:rsidRDefault="00EC5EA5" w:rsidP="00EC5E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180E">
        <w:rPr>
          <w:rFonts w:ascii="Times New Roman" w:hAnsi="Times New Roman"/>
          <w:sz w:val="24"/>
          <w:szCs w:val="24"/>
        </w:rPr>
        <w:t xml:space="preserve">Návrh zákona nie je predmetom </w:t>
      </w:r>
      <w:proofErr w:type="spellStart"/>
      <w:r w:rsidRPr="001B180E">
        <w:rPr>
          <w:rFonts w:ascii="Times New Roman" w:hAnsi="Times New Roman"/>
          <w:sz w:val="24"/>
          <w:szCs w:val="24"/>
        </w:rPr>
        <w:t>vnútrokomunitárneho</w:t>
      </w:r>
      <w:proofErr w:type="spellEnd"/>
      <w:r w:rsidRPr="001B180E">
        <w:rPr>
          <w:rFonts w:ascii="Times New Roman" w:hAnsi="Times New Roman"/>
          <w:sz w:val="24"/>
          <w:szCs w:val="24"/>
        </w:rPr>
        <w:t xml:space="preserve"> pripomienkového konani</w:t>
      </w:r>
      <w:r w:rsidR="00C95698">
        <w:rPr>
          <w:rFonts w:ascii="Times New Roman" w:hAnsi="Times New Roman"/>
          <w:sz w:val="24"/>
          <w:szCs w:val="24"/>
        </w:rPr>
        <w:t>a</w:t>
      </w:r>
      <w:r w:rsidRPr="001B180E">
        <w:rPr>
          <w:rFonts w:ascii="Times New Roman" w:hAnsi="Times New Roman"/>
          <w:sz w:val="24"/>
          <w:szCs w:val="24"/>
        </w:rPr>
        <w:t>.</w:t>
      </w:r>
    </w:p>
    <w:p w:rsidR="00EC5EA5" w:rsidRPr="001B180E" w:rsidRDefault="00EC5EA5" w:rsidP="00EC5E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180E">
        <w:rPr>
          <w:rFonts w:ascii="Times New Roman" w:hAnsi="Times New Roman"/>
          <w:sz w:val="24"/>
          <w:szCs w:val="24"/>
        </w:rPr>
        <w:t xml:space="preserve">  </w:t>
      </w:r>
    </w:p>
    <w:p w:rsidR="00EC5EA5" w:rsidRPr="001B180E" w:rsidRDefault="00EC5EA5" w:rsidP="00EC5E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83D57" w:rsidRPr="001B180E" w:rsidRDefault="00283D57" w:rsidP="00F417F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cs-CZ"/>
        </w:rPr>
      </w:pPr>
    </w:p>
    <w:p w:rsidR="003F4D0F" w:rsidRPr="001B180E" w:rsidRDefault="003F4D0F" w:rsidP="00F417F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cs-CZ"/>
        </w:rPr>
      </w:pPr>
    </w:p>
    <w:sectPr w:rsidR="003F4D0F" w:rsidRPr="001B18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72BF" w:rsidRDefault="008972BF" w:rsidP="00EC5EA5">
      <w:pPr>
        <w:spacing w:after="0" w:line="240" w:lineRule="auto"/>
      </w:pPr>
      <w:r>
        <w:separator/>
      </w:r>
    </w:p>
  </w:endnote>
  <w:endnote w:type="continuationSeparator" w:id="0">
    <w:p w:rsidR="008972BF" w:rsidRDefault="008972BF" w:rsidP="00EC5E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5AB6" w:rsidRDefault="00A35AB6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5AB6" w:rsidRDefault="00A35AB6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5AB6" w:rsidRDefault="00A35AB6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72BF" w:rsidRDefault="008972BF" w:rsidP="00EC5EA5">
      <w:pPr>
        <w:spacing w:after="0" w:line="240" w:lineRule="auto"/>
      </w:pPr>
      <w:r>
        <w:separator/>
      </w:r>
    </w:p>
  </w:footnote>
  <w:footnote w:type="continuationSeparator" w:id="0">
    <w:p w:rsidR="008972BF" w:rsidRDefault="008972BF" w:rsidP="00EC5EA5">
      <w:pPr>
        <w:spacing w:after="0" w:line="240" w:lineRule="auto"/>
      </w:pPr>
      <w:r>
        <w:continuationSeparator/>
      </w:r>
    </w:p>
  </w:footnote>
  <w:footnote w:id="1">
    <w:p w:rsidR="00EC5EA5" w:rsidRDefault="00EC5EA5" w:rsidP="00EC5EA5">
      <w:pPr>
        <w:pStyle w:val="Textpoznmkypodiarou"/>
      </w:pPr>
      <w:r>
        <w:rPr>
          <w:rStyle w:val="Odkaznapoznmkupodiarou"/>
        </w:rPr>
        <w:footnoteRef/>
      </w:r>
      <w:r>
        <w:t xml:space="preserve">) </w:t>
      </w:r>
      <w:hyperlink r:id="rId1" w:history="1">
        <w:r w:rsidRPr="004943FD">
          <w:rPr>
            <w:rStyle w:val="Hypertextovprepojenie"/>
          </w:rPr>
          <w:t>https://www.justice.gov.sk/agenda-ministerstva/rodinnopravna-agenda/</w:t>
        </w:r>
      </w:hyperlink>
      <w:r>
        <w:t xml:space="preserve"> </w:t>
      </w:r>
    </w:p>
  </w:footnote>
  <w:footnote w:id="2">
    <w:p w:rsidR="00EC5EA5" w:rsidRDefault="00EC5EA5" w:rsidP="00EC5EA5">
      <w:pPr>
        <w:pStyle w:val="Textpoznmkypodiarou"/>
      </w:pPr>
      <w:r>
        <w:rPr>
          <w:rStyle w:val="Odkaznapoznmkupodiarou"/>
        </w:rPr>
        <w:footnoteRef/>
      </w:r>
      <w:r>
        <w:t xml:space="preserve">) </w:t>
      </w:r>
      <w:hyperlink r:id="rId2" w:history="1">
        <w:r w:rsidRPr="004943FD">
          <w:rPr>
            <w:rStyle w:val="Hypertextovprepojenie"/>
          </w:rPr>
          <w:t>https://rokovania.gov.sk/RVL/Material/29851/1</w:t>
        </w:r>
      </w:hyperlink>
      <w:r>
        <w:t xml:space="preserve">. </w:t>
      </w:r>
    </w:p>
  </w:footnote>
  <w:footnote w:id="3">
    <w:p w:rsidR="00EC5EA5" w:rsidRDefault="00EC5EA5" w:rsidP="00EC5EA5">
      <w:pPr>
        <w:pStyle w:val="Textpoznmkypodiarou"/>
      </w:pPr>
      <w:r>
        <w:rPr>
          <w:rStyle w:val="Odkaznapoznmkupodiarou"/>
        </w:rPr>
        <w:footnoteRef/>
      </w:r>
      <w:r>
        <w:t xml:space="preserve">) </w:t>
      </w:r>
      <w:hyperlink r:id="rId3" w:history="1">
        <w:r w:rsidRPr="004943FD">
          <w:rPr>
            <w:rStyle w:val="Hypertextovprepojenie"/>
          </w:rPr>
          <w:t>https://www.genpro.gov.sk/spravy-o-cinnosti/sprava/sprava-generalneho-prokuratora-slovenskej-republiky-o-cinnosti-prokuratury-a-poznatkoch-prokuratury-o-stave-zakonnosti-v-slovenskej-republike-za-rok-2022/</w:t>
        </w:r>
      </w:hyperlink>
      <w:r>
        <w:t xml:space="preserve"> </w:t>
      </w:r>
    </w:p>
  </w:footnote>
  <w:footnote w:id="4">
    <w:p w:rsidR="00EC5EA5" w:rsidRDefault="00EC5EA5" w:rsidP="00EC5EA5">
      <w:pPr>
        <w:pStyle w:val="Textpoznmkypodiarou"/>
      </w:pPr>
      <w:r>
        <w:rPr>
          <w:rStyle w:val="Odkaznapoznmkupodiarou"/>
        </w:rPr>
        <w:footnoteRef/>
      </w:r>
      <w:r>
        <w:t xml:space="preserve">)  </w:t>
      </w:r>
      <w:hyperlink r:id="rId4" w:history="1">
        <w:r w:rsidRPr="004943FD">
          <w:rPr>
            <w:rStyle w:val="Hypertextovprepojenie"/>
          </w:rPr>
          <w:t>https://www.sudnarada.gov.sk/data/files/2247_uzn_461_2024_-podnety_a_navrhy_novel_cmp.pdf</w:t>
        </w:r>
      </w:hyperlink>
      <w:r>
        <w:t xml:space="preserve"> </w:t>
      </w:r>
    </w:p>
  </w:footnote>
  <w:footnote w:id="5">
    <w:p w:rsidR="00EC5EA5" w:rsidRDefault="00EC5EA5" w:rsidP="00EC5EA5">
      <w:pPr>
        <w:pStyle w:val="Textpoznmkypodiarou"/>
      </w:pPr>
      <w:r>
        <w:rPr>
          <w:rStyle w:val="Odkaznapoznmkupodiarou"/>
        </w:rPr>
        <w:footnoteRef/>
      </w:r>
      <w:r>
        <w:t xml:space="preserve">) Napríklad: </w:t>
      </w:r>
      <w:hyperlink r:id="rId5" w:history="1">
        <w:r w:rsidRPr="004943FD">
          <w:rPr>
            <w:rStyle w:val="Hypertextovprepojenie"/>
          </w:rPr>
          <w:t>https://www.slov-lex.sk/elegislativa/legislativne-procesy/SK/LP/2022/127</w:t>
        </w:r>
      </w:hyperlink>
      <w:r>
        <w:t xml:space="preserve"> </w:t>
      </w:r>
    </w:p>
  </w:footnote>
  <w:footnote w:id="6">
    <w:p w:rsidR="00EC5EA5" w:rsidRPr="00B712C4" w:rsidRDefault="00EC5EA5" w:rsidP="00EC5EA5">
      <w:pPr>
        <w:pStyle w:val="Textpoznmkypodiarou"/>
        <w:rPr>
          <w:rFonts w:ascii="Times New Roman" w:hAnsi="Times New Roman" w:cs="Times New Roman"/>
          <w:sz w:val="18"/>
          <w:szCs w:val="18"/>
        </w:rPr>
      </w:pPr>
      <w:r w:rsidRPr="00B712C4">
        <w:rPr>
          <w:rStyle w:val="Odkaznapoznmkupodiarou"/>
          <w:rFonts w:ascii="Times New Roman" w:hAnsi="Times New Roman" w:cs="Times New Roman"/>
          <w:sz w:val="18"/>
          <w:szCs w:val="18"/>
        </w:rPr>
        <w:footnoteRef/>
      </w:r>
      <w:r w:rsidRPr="00B712C4">
        <w:rPr>
          <w:rFonts w:ascii="Times New Roman" w:hAnsi="Times New Roman" w:cs="Times New Roman"/>
          <w:sz w:val="18"/>
          <w:szCs w:val="18"/>
        </w:rPr>
        <w:t xml:space="preserve">) </w:t>
      </w:r>
      <w:hyperlink r:id="rId6" w:history="1">
        <w:r w:rsidRPr="00B712C4">
          <w:rPr>
            <w:rStyle w:val="Hypertextovprepojenie"/>
            <w:rFonts w:ascii="Times New Roman" w:hAnsi="Times New Roman" w:cs="Times New Roman"/>
            <w:sz w:val="18"/>
            <w:szCs w:val="18"/>
          </w:rPr>
          <w:t>https://www.justice.gov.sk/dokumenty/2024/01/Metodika-Principy-a-priebeh-konania.pdf</w:t>
        </w:r>
      </w:hyperlink>
      <w:r w:rsidRPr="00B712C4">
        <w:rPr>
          <w:rFonts w:ascii="Times New Roman" w:hAnsi="Times New Roman" w:cs="Times New Roman"/>
          <w:sz w:val="18"/>
          <w:szCs w:val="18"/>
        </w:rPr>
        <w:t xml:space="preserve">  </w:t>
      </w:r>
    </w:p>
  </w:footnote>
  <w:footnote w:id="7">
    <w:p w:rsidR="00EC5EA5" w:rsidRPr="00B712C4" w:rsidRDefault="00EC5EA5" w:rsidP="00EC5EA5">
      <w:pPr>
        <w:pStyle w:val="Textpoznmkypodiarou"/>
        <w:rPr>
          <w:rFonts w:ascii="Times New Roman" w:hAnsi="Times New Roman" w:cs="Times New Roman"/>
          <w:sz w:val="18"/>
          <w:szCs w:val="18"/>
        </w:rPr>
      </w:pPr>
      <w:r w:rsidRPr="00B712C4">
        <w:rPr>
          <w:rStyle w:val="Odkaznapoznmkupodiarou"/>
          <w:rFonts w:ascii="Times New Roman" w:hAnsi="Times New Roman" w:cs="Times New Roman"/>
          <w:sz w:val="18"/>
          <w:szCs w:val="18"/>
        </w:rPr>
        <w:footnoteRef/>
      </w:r>
      <w:r w:rsidRPr="00B712C4">
        <w:rPr>
          <w:rFonts w:ascii="Times New Roman" w:hAnsi="Times New Roman" w:cs="Times New Roman"/>
          <w:sz w:val="18"/>
          <w:szCs w:val="18"/>
        </w:rPr>
        <w:t xml:space="preserve">) </w:t>
      </w:r>
      <w:hyperlink r:id="rId7" w:history="1">
        <w:r w:rsidRPr="00B712C4">
          <w:rPr>
            <w:rStyle w:val="Hypertextovprepojenie"/>
            <w:rFonts w:ascii="Times New Roman" w:hAnsi="Times New Roman" w:cs="Times New Roman"/>
            <w:sz w:val="18"/>
            <w:szCs w:val="18"/>
          </w:rPr>
          <w:t>https://www.slov-lex.sk/elegislativa/legislativne-procesy/SK/LP/2025/129</w:t>
        </w:r>
      </w:hyperlink>
      <w:r w:rsidRPr="00B712C4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8">
    <w:p w:rsidR="00EC5EA5" w:rsidRDefault="00EC5EA5" w:rsidP="00EC5EA5">
      <w:pPr>
        <w:pStyle w:val="Textpoznmkypodiarou"/>
      </w:pPr>
      <w:r w:rsidRPr="00B712C4">
        <w:rPr>
          <w:rStyle w:val="Odkaznapoznmkupodiarou"/>
          <w:rFonts w:ascii="Times New Roman" w:hAnsi="Times New Roman" w:cs="Times New Roman"/>
          <w:sz w:val="18"/>
          <w:szCs w:val="18"/>
        </w:rPr>
        <w:footnoteRef/>
      </w:r>
      <w:r w:rsidRPr="00B712C4">
        <w:rPr>
          <w:rFonts w:ascii="Times New Roman" w:hAnsi="Times New Roman" w:cs="Times New Roman"/>
          <w:sz w:val="18"/>
          <w:szCs w:val="18"/>
        </w:rPr>
        <w:t xml:space="preserve">) </w:t>
      </w:r>
      <w:hyperlink r:id="rId8" w:history="1">
        <w:r w:rsidRPr="00B712C4">
          <w:rPr>
            <w:rStyle w:val="Hypertextovprepojenie"/>
            <w:rFonts w:ascii="Times New Roman" w:hAnsi="Times New Roman" w:cs="Times New Roman"/>
            <w:sz w:val="18"/>
            <w:szCs w:val="18"/>
          </w:rPr>
          <w:t>https://www.slov-lex.sk/elegislativa/legislativne-procesy/SK/LP/2025/127</w:t>
        </w:r>
      </w:hyperlink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5AB6" w:rsidRDefault="00A35AB6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5AB6" w:rsidRDefault="00A35AB6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5AB6" w:rsidRDefault="00A35AB6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CC0A0E"/>
    <w:multiLevelType w:val="hybridMultilevel"/>
    <w:tmpl w:val="EF00941A"/>
    <w:lvl w:ilvl="0" w:tplc="417A3E4C">
      <w:start w:val="1"/>
      <w:numFmt w:val="bullet"/>
      <w:lvlText w:val="-"/>
      <w:lvlJc w:val="left"/>
      <w:pPr>
        <w:ind w:left="720" w:hanging="360"/>
      </w:pPr>
      <w:rPr>
        <w:rFonts w:ascii="Garamond" w:eastAsia="Calibri" w:hAnsi="Garamond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B7416C"/>
    <w:multiLevelType w:val="hybridMultilevel"/>
    <w:tmpl w:val="FC6A113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D57"/>
    <w:rsid w:val="00027602"/>
    <w:rsid w:val="00041D85"/>
    <w:rsid w:val="000521AD"/>
    <w:rsid w:val="000E6A53"/>
    <w:rsid w:val="00152403"/>
    <w:rsid w:val="001B180E"/>
    <w:rsid w:val="002012BD"/>
    <w:rsid w:val="00237A9B"/>
    <w:rsid w:val="00283D57"/>
    <w:rsid w:val="00301ABA"/>
    <w:rsid w:val="00307BCE"/>
    <w:rsid w:val="00346744"/>
    <w:rsid w:val="003558AF"/>
    <w:rsid w:val="003D6904"/>
    <w:rsid w:val="003F4D0F"/>
    <w:rsid w:val="00426D2A"/>
    <w:rsid w:val="005321C1"/>
    <w:rsid w:val="00562B13"/>
    <w:rsid w:val="00631A4E"/>
    <w:rsid w:val="0063582A"/>
    <w:rsid w:val="006C3AB4"/>
    <w:rsid w:val="006C4D61"/>
    <w:rsid w:val="006F2998"/>
    <w:rsid w:val="00711EE1"/>
    <w:rsid w:val="00740BFA"/>
    <w:rsid w:val="0075542C"/>
    <w:rsid w:val="00797E12"/>
    <w:rsid w:val="00807453"/>
    <w:rsid w:val="008769E0"/>
    <w:rsid w:val="008972BF"/>
    <w:rsid w:val="008D34B3"/>
    <w:rsid w:val="008E6063"/>
    <w:rsid w:val="00906AC8"/>
    <w:rsid w:val="009C3FF7"/>
    <w:rsid w:val="00A35AB6"/>
    <w:rsid w:val="00A71F3F"/>
    <w:rsid w:val="00AB2C2D"/>
    <w:rsid w:val="00AB6652"/>
    <w:rsid w:val="00AD0756"/>
    <w:rsid w:val="00B31E07"/>
    <w:rsid w:val="00B35319"/>
    <w:rsid w:val="00B96559"/>
    <w:rsid w:val="00BC09EE"/>
    <w:rsid w:val="00BC409A"/>
    <w:rsid w:val="00BC5576"/>
    <w:rsid w:val="00C13548"/>
    <w:rsid w:val="00C21831"/>
    <w:rsid w:val="00C454A6"/>
    <w:rsid w:val="00C95698"/>
    <w:rsid w:val="00CC3423"/>
    <w:rsid w:val="00CD38BD"/>
    <w:rsid w:val="00D37D58"/>
    <w:rsid w:val="00D40CF8"/>
    <w:rsid w:val="00D75F55"/>
    <w:rsid w:val="00DF4521"/>
    <w:rsid w:val="00DF67AC"/>
    <w:rsid w:val="00E21314"/>
    <w:rsid w:val="00E51FDC"/>
    <w:rsid w:val="00EA2427"/>
    <w:rsid w:val="00EA341D"/>
    <w:rsid w:val="00EC5EA5"/>
    <w:rsid w:val="00F04E63"/>
    <w:rsid w:val="00F17745"/>
    <w:rsid w:val="00F218C8"/>
    <w:rsid w:val="00F347A3"/>
    <w:rsid w:val="00F417F2"/>
    <w:rsid w:val="00FA6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D9B1E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83D57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Odkaznakomentr">
    <w:name w:val="annotation reference"/>
    <w:uiPriority w:val="99"/>
    <w:semiHidden/>
    <w:unhideWhenUsed/>
    <w:rsid w:val="00346744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346744"/>
    <w:rPr>
      <w:sz w:val="20"/>
      <w:szCs w:val="20"/>
    </w:rPr>
  </w:style>
  <w:style w:type="character" w:customStyle="1" w:styleId="TextkomentraChar">
    <w:name w:val="Text komentára Char"/>
    <w:link w:val="Textkomentra"/>
    <w:uiPriority w:val="99"/>
    <w:semiHidden/>
    <w:rsid w:val="00346744"/>
    <w:rPr>
      <w:rFonts w:eastAsia="Times New Roman"/>
      <w:lang w:eastAsia="en-US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346744"/>
    <w:rPr>
      <w:b/>
      <w:bCs/>
    </w:rPr>
  </w:style>
  <w:style w:type="character" w:customStyle="1" w:styleId="PredmetkomentraChar">
    <w:name w:val="Predmet komentára Char"/>
    <w:link w:val="Predmetkomentra"/>
    <w:uiPriority w:val="99"/>
    <w:semiHidden/>
    <w:rsid w:val="00346744"/>
    <w:rPr>
      <w:rFonts w:eastAsia="Times New Roman"/>
      <w:b/>
      <w:bCs/>
      <w:lang w:eastAsia="en-US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467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346744"/>
    <w:rPr>
      <w:rFonts w:ascii="Segoe UI" w:eastAsia="Times New Roman" w:hAnsi="Segoe UI" w:cs="Segoe UI"/>
      <w:sz w:val="18"/>
      <w:szCs w:val="18"/>
      <w:lang w:eastAsia="en-US"/>
    </w:rPr>
  </w:style>
  <w:style w:type="paragraph" w:styleId="Odsekzoznamu">
    <w:name w:val="List Paragraph"/>
    <w:aliases w:val="body,Odsek zoznamu2,Odsek,List Paragraph,List Paragraph1,numbered list,OBC Bullet,Normal 1,Task Body,Viñetas (Inicio Parrafo),Paragrafo elenco,3 Txt tabla,Zerrenda-paragrafoa,Fiche List Paragraph,Dot pt,F5 List Paragraph"/>
    <w:basedOn w:val="Normlny"/>
    <w:link w:val="OdsekzoznamuChar"/>
    <w:uiPriority w:val="34"/>
    <w:qFormat/>
    <w:rsid w:val="00E51FDC"/>
    <w:pPr>
      <w:ind w:left="720"/>
      <w:contextualSpacing/>
    </w:p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EC5EA5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EC5EA5"/>
    <w:rPr>
      <w:rFonts w:asciiTheme="minorHAnsi" w:eastAsiaTheme="minorHAnsi" w:hAnsiTheme="minorHAnsi" w:cstheme="minorBidi"/>
      <w:lang w:eastAsia="en-US"/>
    </w:rPr>
  </w:style>
  <w:style w:type="character" w:styleId="Odkaznapoznmkupodiarou">
    <w:name w:val="footnote reference"/>
    <w:basedOn w:val="Predvolenpsmoodseku"/>
    <w:uiPriority w:val="99"/>
    <w:semiHidden/>
    <w:unhideWhenUsed/>
    <w:rsid w:val="00EC5EA5"/>
    <w:rPr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EC5EA5"/>
    <w:rPr>
      <w:color w:val="0000FF" w:themeColor="hyperlink"/>
      <w:u w:val="single"/>
    </w:rPr>
  </w:style>
  <w:style w:type="character" w:customStyle="1" w:styleId="OdsekzoznamuChar">
    <w:name w:val="Odsek zoznamu Char"/>
    <w:aliases w:val="body Char,Odsek zoznamu2 Char,Odsek Char,List Paragraph Char,List Paragraph1 Char,numbered list Char,OBC Bullet Char,Normal 1 Char,Task Body Char,Viñetas (Inicio Parrafo) Char,Paragrafo elenco Char,3 Txt tabla Char,Dot pt Char"/>
    <w:link w:val="Odsekzoznamu"/>
    <w:uiPriority w:val="34"/>
    <w:qFormat/>
    <w:locked/>
    <w:rsid w:val="00EC5EA5"/>
    <w:rPr>
      <w:rFonts w:eastAsia="Times New Roman"/>
      <w:sz w:val="22"/>
      <w:szCs w:val="22"/>
      <w:lang w:eastAsia="en-US"/>
    </w:rPr>
  </w:style>
  <w:style w:type="paragraph" w:styleId="Hlavika">
    <w:name w:val="header"/>
    <w:basedOn w:val="Normlny"/>
    <w:link w:val="HlavikaChar"/>
    <w:uiPriority w:val="99"/>
    <w:unhideWhenUsed/>
    <w:rsid w:val="00A35A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A35AB6"/>
    <w:rPr>
      <w:rFonts w:eastAsia="Times New Roman"/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unhideWhenUsed/>
    <w:rsid w:val="00A35A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A35AB6"/>
    <w:rPr>
      <w:rFonts w:eastAsia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14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lov-lex.sk/elegislativa/legislativne-procesy/SK/LP/2025/127" TargetMode="External"/><Relationship Id="rId3" Type="http://schemas.openxmlformats.org/officeDocument/2006/relationships/hyperlink" Target="https://www.genpro.gov.sk/spravy-o-cinnosti/sprava/sprava-generalneho-prokuratora-slovenskej-republiky-o-cinnosti-prokuratury-a-poznatkoch-prokuratury-o-stave-zakonnosti-v-slovenskej-republike-za-rok-2022/" TargetMode="External"/><Relationship Id="rId7" Type="http://schemas.openxmlformats.org/officeDocument/2006/relationships/hyperlink" Target="https://www.slov-lex.sk/elegislativa/legislativne-procesy/SK/LP/2025/129" TargetMode="External"/><Relationship Id="rId2" Type="http://schemas.openxmlformats.org/officeDocument/2006/relationships/hyperlink" Target="https://rokovania.gov.sk/RVL/Material/29851/1" TargetMode="External"/><Relationship Id="rId1" Type="http://schemas.openxmlformats.org/officeDocument/2006/relationships/hyperlink" Target="https://www.justice.gov.sk/agenda-ministerstva/rodinnopravna-agenda/" TargetMode="External"/><Relationship Id="rId6" Type="http://schemas.openxmlformats.org/officeDocument/2006/relationships/hyperlink" Target="https://www.justice.gov.sk/dokumenty/2024/01/Metodika-Principy-a-priebeh-konania.pdf" TargetMode="External"/><Relationship Id="rId5" Type="http://schemas.openxmlformats.org/officeDocument/2006/relationships/hyperlink" Target="https://www.slov-lex.sk/elegislativa/legislativne-procesy/SK/LP/2022/127" TargetMode="External"/><Relationship Id="rId4" Type="http://schemas.openxmlformats.org/officeDocument/2006/relationships/hyperlink" Target="https://www.sudnarada.gov.sk/data/files/2247_uzn_461_2024_-podnety_a_navrhy_novel_cmp.pdf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1287</Words>
  <Characters>7337</Characters>
  <Application>Microsoft Office Word</Application>
  <DocSecurity>0</DocSecurity>
  <Lines>61</Lines>
  <Paragraphs>17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2026-10-15T15:10:00Z</dcterms:created>
  <dcterms:modified xsi:type="dcterms:W3CDTF">2026-10-15T15:19:00Z</dcterms:modified>
</cp:coreProperties>
</file>