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42605943" w14:textId="46BEF3B5" w:rsidR="008444A1" w:rsidRPr="008444A1" w:rsidRDefault="00054C41" w:rsidP="008444A1">
      <w:pPr>
        <w:pStyle w:val="Zkladntext2"/>
        <w:ind w:left="60"/>
        <w:jc w:val="both"/>
        <w:rPr>
          <w:rFonts w:eastAsia="Times New Roman"/>
          <w:b/>
          <w:bCs/>
        </w:rPr>
      </w:pPr>
      <w:r w:rsidRPr="008444A1">
        <w:rPr>
          <w:rFonts w:eastAsia="Calibri"/>
          <w:b/>
        </w:rPr>
        <w:t>Názov materiálu:</w:t>
      </w:r>
      <w:r w:rsidR="00000E44" w:rsidRPr="008444A1">
        <w:rPr>
          <w:rFonts w:eastAsia="Calibri"/>
          <w:b/>
        </w:rPr>
        <w:t xml:space="preserve"> </w:t>
      </w:r>
      <w:r w:rsidR="003F32F7">
        <w:rPr>
          <w:rFonts w:eastAsia="Calibri"/>
          <w:b/>
        </w:rPr>
        <w:t>Návrh z</w:t>
      </w:r>
      <w:r w:rsidR="001A4A27">
        <w:rPr>
          <w:rFonts w:eastAsia="Calibri"/>
          <w:b/>
        </w:rPr>
        <w:t>ákon</w:t>
      </w:r>
      <w:r w:rsidR="003F32F7">
        <w:rPr>
          <w:rFonts w:eastAsia="Calibri"/>
          <w:b/>
        </w:rPr>
        <w:t>a</w:t>
      </w:r>
      <w:r w:rsidR="001A4A27">
        <w:rPr>
          <w:rFonts w:eastAsia="Calibri"/>
          <w:b/>
        </w:rPr>
        <w:t xml:space="preserve">, </w:t>
      </w:r>
      <w:r w:rsidR="008444A1" w:rsidRPr="008444A1">
        <w:rPr>
          <w:b/>
          <w:bCs/>
          <w:spacing w:val="-2"/>
        </w:rPr>
        <w:t>ktorým sa mení a dopĺňa zákon č. 314/2001 Z. z. o ochrane pred požiarmi v znení neskorších predpisov a ktorým sa dopĺňa z</w:t>
      </w:r>
      <w:r w:rsidR="008444A1" w:rsidRPr="008444A1">
        <w:rPr>
          <w:b/>
          <w:bCs/>
        </w:rPr>
        <w:t xml:space="preserve">ákon Národnej rady Slovenskej republiky č. </w:t>
      </w:r>
      <w:hyperlink r:id="rId9" w:tgtFrame="_blank" w:tooltip="Odkaz na predpis alebo ustanovenie" w:history="1">
        <w:r w:rsidR="008444A1" w:rsidRPr="008444A1">
          <w:rPr>
            <w:rStyle w:val="Hypertextovprepojenie"/>
            <w:b/>
            <w:bCs/>
            <w:color w:val="auto"/>
            <w:u w:val="none"/>
          </w:rPr>
          <w:t>145/1995 Z. z.</w:t>
        </w:r>
      </w:hyperlink>
      <w:r w:rsidR="008444A1" w:rsidRPr="008444A1">
        <w:rPr>
          <w:b/>
          <w:bCs/>
        </w:rPr>
        <w:t xml:space="preserve"> o správnych poplatkoch v znení neskorších predpisov</w:t>
      </w:r>
    </w:p>
    <w:p w14:paraId="22516163" w14:textId="054D3BBB" w:rsidR="00054C41" w:rsidRPr="001F1B43" w:rsidRDefault="00054C41" w:rsidP="00054C41">
      <w:pPr>
        <w:jc w:val="both"/>
        <w:rPr>
          <w:rFonts w:ascii="Times New Roman" w:eastAsia="Calibri" w:hAnsi="Times New Roman" w:cs="Times New Roman"/>
          <w:b/>
          <w:sz w:val="24"/>
          <w:szCs w:val="24"/>
        </w:rPr>
      </w:pPr>
    </w:p>
    <w:p w14:paraId="2711DC2C" w14:textId="3255E43B"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000E44">
        <w:rPr>
          <w:rFonts w:ascii="Times New Roman" w:eastAsia="Calibri" w:hAnsi="Times New Roman" w:cs="Times New Roman"/>
          <w:b/>
          <w:sz w:val="24"/>
          <w:szCs w:val="24"/>
        </w:rPr>
        <w:t xml:space="preserve"> Ministerstvo vnútra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1A77DC61" w14:textId="3ED5709A"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w:t>
      </w:r>
    </w:p>
    <w:tbl>
      <w:tblPr>
        <w:tblW w:w="8540" w:type="dxa"/>
        <w:tblCellMar>
          <w:left w:w="70" w:type="dxa"/>
          <w:right w:w="70" w:type="dxa"/>
        </w:tblCellMar>
        <w:tblLook w:val="04A0" w:firstRow="1" w:lastRow="0" w:firstColumn="1" w:lastColumn="0" w:noHBand="0" w:noVBand="1"/>
      </w:tblPr>
      <w:tblGrid>
        <w:gridCol w:w="4660"/>
        <w:gridCol w:w="1940"/>
        <w:gridCol w:w="1940"/>
      </w:tblGrid>
      <w:tr w:rsidR="00763246" w:rsidRPr="00763246" w14:paraId="1AA5F8D9" w14:textId="77777777" w:rsidTr="00763246">
        <w:trPr>
          <w:trHeight w:val="675"/>
        </w:trPr>
        <w:tc>
          <w:tcPr>
            <w:tcW w:w="4660" w:type="dxa"/>
            <w:tcBorders>
              <w:top w:val="single" w:sz="8" w:space="0" w:color="auto"/>
              <w:left w:val="single" w:sz="8" w:space="0" w:color="auto"/>
              <w:bottom w:val="single" w:sz="8" w:space="0" w:color="auto"/>
              <w:right w:val="single" w:sz="4" w:space="0" w:color="auto"/>
            </w:tcBorders>
            <w:vAlign w:val="center"/>
            <w:hideMark/>
          </w:tcPr>
          <w:p w14:paraId="5DBC520F" w14:textId="77777777" w:rsidR="00763246" w:rsidRPr="00763246" w:rsidRDefault="00763246" w:rsidP="00763246">
            <w:pPr>
              <w:spacing w:after="0" w:line="240" w:lineRule="auto"/>
              <w:jc w:val="center"/>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TYP NÁKLADOV</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1CA4F9FE"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Zvýšenie nákladov v € na PP</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00175860"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Zníženie nákladov v € na PP</w:t>
            </w:r>
          </w:p>
        </w:tc>
      </w:tr>
      <w:tr w:rsidR="00694FEA" w:rsidRPr="00763246" w14:paraId="2D3DD3C0" w14:textId="77777777" w:rsidTr="00763246">
        <w:trPr>
          <w:trHeight w:val="810"/>
        </w:trPr>
        <w:tc>
          <w:tcPr>
            <w:tcW w:w="4660" w:type="dxa"/>
            <w:tcBorders>
              <w:top w:val="nil"/>
              <w:left w:val="single" w:sz="8" w:space="0" w:color="auto"/>
              <w:bottom w:val="single" w:sz="4" w:space="0" w:color="auto"/>
              <w:right w:val="single" w:sz="4" w:space="0" w:color="auto"/>
            </w:tcBorders>
            <w:vAlign w:val="center"/>
            <w:hideMark/>
          </w:tcPr>
          <w:p w14:paraId="6C48697C" w14:textId="77777777" w:rsidR="00694FEA" w:rsidRPr="00763246" w:rsidRDefault="00694FEA" w:rsidP="00694FEA">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940" w:type="dxa"/>
            <w:tcBorders>
              <w:top w:val="nil"/>
              <w:left w:val="nil"/>
              <w:bottom w:val="single" w:sz="4" w:space="0" w:color="auto"/>
              <w:right w:val="single" w:sz="4" w:space="0" w:color="auto"/>
            </w:tcBorders>
            <w:shd w:val="clear" w:color="000000" w:fill="FFC000"/>
            <w:vAlign w:val="center"/>
            <w:hideMark/>
          </w:tcPr>
          <w:p w14:paraId="31039A93" w14:textId="78948256"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1940" w:type="dxa"/>
            <w:tcBorders>
              <w:top w:val="nil"/>
              <w:left w:val="nil"/>
              <w:bottom w:val="single" w:sz="4" w:space="0" w:color="auto"/>
              <w:right w:val="single" w:sz="8" w:space="0" w:color="auto"/>
            </w:tcBorders>
            <w:shd w:val="clear" w:color="000000" w:fill="92D050"/>
            <w:vAlign w:val="center"/>
            <w:hideMark/>
          </w:tcPr>
          <w:p w14:paraId="724DC9A6" w14:textId="17B4C838"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694FEA" w:rsidRPr="00763246" w14:paraId="7C2539C8" w14:textId="77777777" w:rsidTr="00763246">
        <w:trPr>
          <w:trHeight w:val="300"/>
        </w:trPr>
        <w:tc>
          <w:tcPr>
            <w:tcW w:w="4660" w:type="dxa"/>
            <w:tcBorders>
              <w:top w:val="nil"/>
              <w:left w:val="single" w:sz="8" w:space="0" w:color="auto"/>
              <w:bottom w:val="single" w:sz="4" w:space="0" w:color="auto"/>
              <w:right w:val="single" w:sz="4" w:space="0" w:color="auto"/>
            </w:tcBorders>
            <w:vAlign w:val="center"/>
            <w:hideMark/>
          </w:tcPr>
          <w:p w14:paraId="37F13CB3" w14:textId="77777777" w:rsidR="00694FEA" w:rsidRPr="00763246" w:rsidRDefault="00694FEA" w:rsidP="00694FEA">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B. Iné poplatky</w:t>
            </w:r>
          </w:p>
        </w:tc>
        <w:tc>
          <w:tcPr>
            <w:tcW w:w="1940" w:type="dxa"/>
            <w:tcBorders>
              <w:top w:val="nil"/>
              <w:left w:val="nil"/>
              <w:bottom w:val="single" w:sz="4" w:space="0" w:color="auto"/>
              <w:right w:val="single" w:sz="4" w:space="0" w:color="auto"/>
            </w:tcBorders>
            <w:shd w:val="clear" w:color="000000" w:fill="FFC000"/>
            <w:vAlign w:val="center"/>
            <w:hideMark/>
          </w:tcPr>
          <w:p w14:paraId="3CB27199" w14:textId="60B8E2DF"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12 227 500</w:t>
            </w:r>
          </w:p>
        </w:tc>
        <w:tc>
          <w:tcPr>
            <w:tcW w:w="1940" w:type="dxa"/>
            <w:tcBorders>
              <w:top w:val="nil"/>
              <w:left w:val="nil"/>
              <w:bottom w:val="single" w:sz="4" w:space="0" w:color="auto"/>
              <w:right w:val="single" w:sz="8" w:space="0" w:color="auto"/>
            </w:tcBorders>
            <w:shd w:val="clear" w:color="000000" w:fill="92D050"/>
            <w:vAlign w:val="center"/>
            <w:hideMark/>
          </w:tcPr>
          <w:p w14:paraId="24BCDADE" w14:textId="6A987A84"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1 862 000</w:t>
            </w:r>
          </w:p>
        </w:tc>
      </w:tr>
      <w:tr w:rsidR="00694FEA" w:rsidRPr="00763246" w14:paraId="1A34D0D6" w14:textId="77777777" w:rsidTr="00763246">
        <w:trPr>
          <w:trHeight w:val="300"/>
        </w:trPr>
        <w:tc>
          <w:tcPr>
            <w:tcW w:w="4660" w:type="dxa"/>
            <w:tcBorders>
              <w:top w:val="nil"/>
              <w:left w:val="single" w:sz="8" w:space="0" w:color="auto"/>
              <w:bottom w:val="single" w:sz="4" w:space="0" w:color="auto"/>
              <w:right w:val="single" w:sz="4" w:space="0" w:color="auto"/>
            </w:tcBorders>
            <w:vAlign w:val="center"/>
            <w:hideMark/>
          </w:tcPr>
          <w:p w14:paraId="3B26A445" w14:textId="77777777" w:rsidR="00694FEA" w:rsidRPr="00763246" w:rsidRDefault="00694FEA" w:rsidP="00694FEA">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C. Sankcie a pokuty</w:t>
            </w:r>
          </w:p>
        </w:tc>
        <w:tc>
          <w:tcPr>
            <w:tcW w:w="1940" w:type="dxa"/>
            <w:tcBorders>
              <w:top w:val="nil"/>
              <w:left w:val="nil"/>
              <w:bottom w:val="single" w:sz="4" w:space="0" w:color="auto"/>
              <w:right w:val="single" w:sz="4" w:space="0" w:color="auto"/>
            </w:tcBorders>
            <w:shd w:val="clear" w:color="000000" w:fill="FFC000"/>
            <w:vAlign w:val="center"/>
            <w:hideMark/>
          </w:tcPr>
          <w:p w14:paraId="5478B339" w14:textId="1A6D2520"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1940" w:type="dxa"/>
            <w:tcBorders>
              <w:top w:val="nil"/>
              <w:left w:val="nil"/>
              <w:bottom w:val="single" w:sz="4" w:space="0" w:color="auto"/>
              <w:right w:val="single" w:sz="8" w:space="0" w:color="auto"/>
            </w:tcBorders>
            <w:shd w:val="clear" w:color="000000" w:fill="92D050"/>
            <w:vAlign w:val="center"/>
            <w:hideMark/>
          </w:tcPr>
          <w:p w14:paraId="3580687A" w14:textId="783D67A2"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694FEA" w:rsidRPr="00763246" w14:paraId="41047E52" w14:textId="77777777" w:rsidTr="00763246">
        <w:trPr>
          <w:trHeight w:val="300"/>
        </w:trPr>
        <w:tc>
          <w:tcPr>
            <w:tcW w:w="4660" w:type="dxa"/>
            <w:tcBorders>
              <w:top w:val="nil"/>
              <w:left w:val="single" w:sz="8" w:space="0" w:color="auto"/>
              <w:bottom w:val="single" w:sz="4" w:space="0" w:color="auto"/>
              <w:right w:val="single" w:sz="4" w:space="0" w:color="auto"/>
            </w:tcBorders>
            <w:vAlign w:val="center"/>
            <w:hideMark/>
          </w:tcPr>
          <w:p w14:paraId="773C6447" w14:textId="77777777" w:rsidR="00694FEA" w:rsidRPr="00763246" w:rsidRDefault="00694FEA" w:rsidP="00694FEA">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D. Nepriame finančné náklady</w:t>
            </w:r>
          </w:p>
        </w:tc>
        <w:tc>
          <w:tcPr>
            <w:tcW w:w="1940" w:type="dxa"/>
            <w:tcBorders>
              <w:top w:val="nil"/>
              <w:left w:val="nil"/>
              <w:bottom w:val="single" w:sz="4" w:space="0" w:color="auto"/>
              <w:right w:val="single" w:sz="4" w:space="0" w:color="auto"/>
            </w:tcBorders>
            <w:shd w:val="clear" w:color="000000" w:fill="FFC000"/>
            <w:vAlign w:val="center"/>
            <w:hideMark/>
          </w:tcPr>
          <w:p w14:paraId="62DFDD05" w14:textId="130BFB60"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1940" w:type="dxa"/>
            <w:tcBorders>
              <w:top w:val="nil"/>
              <w:left w:val="nil"/>
              <w:bottom w:val="single" w:sz="4" w:space="0" w:color="auto"/>
              <w:right w:val="single" w:sz="8" w:space="0" w:color="auto"/>
            </w:tcBorders>
            <w:shd w:val="clear" w:color="000000" w:fill="92D050"/>
            <w:vAlign w:val="center"/>
            <w:hideMark/>
          </w:tcPr>
          <w:p w14:paraId="412EF1F1" w14:textId="0BF7B358"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694FEA" w:rsidRPr="00763246" w14:paraId="0BE47B74" w14:textId="77777777" w:rsidTr="00763246">
        <w:trPr>
          <w:trHeight w:val="300"/>
        </w:trPr>
        <w:tc>
          <w:tcPr>
            <w:tcW w:w="4660" w:type="dxa"/>
            <w:tcBorders>
              <w:top w:val="nil"/>
              <w:left w:val="single" w:sz="8" w:space="0" w:color="auto"/>
              <w:bottom w:val="nil"/>
              <w:right w:val="single" w:sz="4" w:space="0" w:color="auto"/>
            </w:tcBorders>
            <w:vAlign w:val="center"/>
            <w:hideMark/>
          </w:tcPr>
          <w:p w14:paraId="646EEC79" w14:textId="77777777" w:rsidR="00694FEA" w:rsidRPr="00763246" w:rsidRDefault="00694FEA" w:rsidP="00694FEA">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E. Administratívne náklady</w:t>
            </w:r>
          </w:p>
        </w:tc>
        <w:tc>
          <w:tcPr>
            <w:tcW w:w="1940" w:type="dxa"/>
            <w:tcBorders>
              <w:top w:val="nil"/>
              <w:left w:val="nil"/>
              <w:bottom w:val="nil"/>
              <w:right w:val="single" w:sz="4" w:space="0" w:color="auto"/>
            </w:tcBorders>
            <w:shd w:val="clear" w:color="000000" w:fill="FFC000"/>
            <w:vAlign w:val="center"/>
            <w:hideMark/>
          </w:tcPr>
          <w:p w14:paraId="0E72D240" w14:textId="1CD70938"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893 470</w:t>
            </w:r>
          </w:p>
        </w:tc>
        <w:tc>
          <w:tcPr>
            <w:tcW w:w="1940" w:type="dxa"/>
            <w:tcBorders>
              <w:top w:val="nil"/>
              <w:left w:val="nil"/>
              <w:bottom w:val="nil"/>
              <w:right w:val="single" w:sz="8" w:space="0" w:color="auto"/>
            </w:tcBorders>
            <w:shd w:val="clear" w:color="000000" w:fill="92D050"/>
            <w:vAlign w:val="center"/>
            <w:hideMark/>
          </w:tcPr>
          <w:p w14:paraId="65F89121" w14:textId="31478FA0"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694FEA" w:rsidRPr="00763246" w14:paraId="0EF5B1B2" w14:textId="77777777" w:rsidTr="00763246">
        <w:trPr>
          <w:trHeight w:val="300"/>
        </w:trPr>
        <w:tc>
          <w:tcPr>
            <w:tcW w:w="4660" w:type="dxa"/>
            <w:tcBorders>
              <w:top w:val="single" w:sz="8" w:space="0" w:color="auto"/>
              <w:left w:val="single" w:sz="8" w:space="0" w:color="auto"/>
              <w:bottom w:val="single" w:sz="8" w:space="0" w:color="auto"/>
              <w:right w:val="single" w:sz="4" w:space="0" w:color="auto"/>
            </w:tcBorders>
            <w:vAlign w:val="center"/>
            <w:hideMark/>
          </w:tcPr>
          <w:p w14:paraId="5760CA29" w14:textId="77777777" w:rsidR="00694FEA" w:rsidRPr="00763246" w:rsidRDefault="00694FEA" w:rsidP="00694FEA">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Spolu = A+B+C+D+E</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37386980" w14:textId="24118124"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13 120 970</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0A342ED7" w14:textId="2038680E"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1 862 000</w:t>
            </w:r>
          </w:p>
        </w:tc>
      </w:tr>
      <w:tr w:rsidR="00763246" w:rsidRPr="00763246" w14:paraId="311523AD" w14:textId="77777777" w:rsidTr="00763246">
        <w:trPr>
          <w:trHeight w:val="300"/>
        </w:trPr>
        <w:tc>
          <w:tcPr>
            <w:tcW w:w="4660" w:type="dxa"/>
            <w:tcBorders>
              <w:top w:val="nil"/>
              <w:left w:val="nil"/>
              <w:bottom w:val="nil"/>
              <w:right w:val="nil"/>
            </w:tcBorders>
            <w:vAlign w:val="center"/>
            <w:hideMark/>
          </w:tcPr>
          <w:p w14:paraId="02AEA700"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p>
        </w:tc>
        <w:tc>
          <w:tcPr>
            <w:tcW w:w="1940" w:type="dxa"/>
            <w:tcBorders>
              <w:top w:val="nil"/>
              <w:left w:val="nil"/>
              <w:bottom w:val="nil"/>
              <w:right w:val="nil"/>
            </w:tcBorders>
            <w:vAlign w:val="center"/>
            <w:hideMark/>
          </w:tcPr>
          <w:p w14:paraId="01495A5C"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vAlign w:val="center"/>
            <w:hideMark/>
          </w:tcPr>
          <w:p w14:paraId="761C271B"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763246" w:rsidRPr="00763246" w14:paraId="55EB1480" w14:textId="77777777" w:rsidTr="00763246">
        <w:trPr>
          <w:trHeight w:val="600"/>
        </w:trPr>
        <w:tc>
          <w:tcPr>
            <w:tcW w:w="4660" w:type="dxa"/>
            <w:tcBorders>
              <w:top w:val="single" w:sz="8" w:space="0" w:color="auto"/>
              <w:left w:val="single" w:sz="8" w:space="0" w:color="auto"/>
              <w:bottom w:val="single" w:sz="8" w:space="0" w:color="auto"/>
              <w:right w:val="single" w:sz="4" w:space="0" w:color="auto"/>
            </w:tcBorders>
            <w:vAlign w:val="center"/>
            <w:hideMark/>
          </w:tcPr>
          <w:p w14:paraId="130667A9" w14:textId="77777777" w:rsidR="00763246" w:rsidRPr="00763246" w:rsidRDefault="00763246" w:rsidP="00763246">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Harmonizácia práva EÚ</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77C380A1"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Zvýšenie nákladov v € na PP</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222A9035"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Zníženie nákladov v € na PP</w:t>
            </w:r>
          </w:p>
        </w:tc>
      </w:tr>
      <w:tr w:rsidR="00763246" w:rsidRPr="00763246" w14:paraId="44E20CD2" w14:textId="77777777" w:rsidTr="00763246">
        <w:trPr>
          <w:trHeight w:val="990"/>
        </w:trPr>
        <w:tc>
          <w:tcPr>
            <w:tcW w:w="4660" w:type="dxa"/>
            <w:tcBorders>
              <w:top w:val="nil"/>
              <w:left w:val="single" w:sz="8" w:space="0" w:color="auto"/>
              <w:bottom w:val="nil"/>
              <w:right w:val="single" w:sz="4" w:space="0" w:color="auto"/>
            </w:tcBorders>
            <w:vAlign w:val="center"/>
            <w:hideMark/>
          </w:tcPr>
          <w:p w14:paraId="367E44C6" w14:textId="77777777" w:rsidR="00763246" w:rsidRPr="00763246" w:rsidRDefault="00763246" w:rsidP="00763246">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F. Úplná harmonizácia práva EÚ</w:t>
            </w:r>
            <w:r w:rsidRPr="00763246">
              <w:rPr>
                <w:rFonts w:ascii="Times New Roman" w:eastAsia="Times New Roman" w:hAnsi="Times New Roman" w:cs="Times New Roman"/>
                <w:b/>
                <w:bCs/>
                <w:i/>
                <w:iCs/>
                <w:color w:val="000000"/>
                <w:sz w:val="20"/>
                <w:szCs w:val="20"/>
                <w:lang w:eastAsia="sk-SK"/>
              </w:rPr>
              <w:br/>
            </w:r>
            <w:r w:rsidRPr="00763246">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940" w:type="dxa"/>
            <w:tcBorders>
              <w:top w:val="nil"/>
              <w:left w:val="nil"/>
              <w:bottom w:val="nil"/>
              <w:right w:val="single" w:sz="4" w:space="0" w:color="auto"/>
            </w:tcBorders>
            <w:shd w:val="clear" w:color="000000" w:fill="FFC000"/>
            <w:vAlign w:val="center"/>
            <w:hideMark/>
          </w:tcPr>
          <w:p w14:paraId="25212457"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0</w:t>
            </w:r>
          </w:p>
        </w:tc>
        <w:tc>
          <w:tcPr>
            <w:tcW w:w="1940" w:type="dxa"/>
            <w:tcBorders>
              <w:top w:val="nil"/>
              <w:left w:val="nil"/>
              <w:bottom w:val="nil"/>
              <w:right w:val="single" w:sz="8" w:space="0" w:color="auto"/>
            </w:tcBorders>
            <w:shd w:val="clear" w:color="000000" w:fill="92D050"/>
            <w:vAlign w:val="center"/>
            <w:hideMark/>
          </w:tcPr>
          <w:p w14:paraId="037BF13B"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0</w:t>
            </w:r>
          </w:p>
        </w:tc>
      </w:tr>
      <w:tr w:rsidR="00763246" w:rsidRPr="00763246" w14:paraId="492C104F" w14:textId="77777777" w:rsidTr="00763246">
        <w:trPr>
          <w:trHeight w:val="270"/>
        </w:trPr>
        <w:tc>
          <w:tcPr>
            <w:tcW w:w="4660" w:type="dxa"/>
            <w:tcBorders>
              <w:top w:val="single" w:sz="8" w:space="0" w:color="auto"/>
              <w:left w:val="single" w:sz="8" w:space="0" w:color="auto"/>
              <w:bottom w:val="single" w:sz="8" w:space="0" w:color="auto"/>
              <w:right w:val="single" w:sz="4" w:space="0" w:color="auto"/>
            </w:tcBorders>
            <w:vAlign w:val="center"/>
            <w:hideMark/>
          </w:tcPr>
          <w:p w14:paraId="2F12AA75" w14:textId="77777777" w:rsidR="00763246" w:rsidRPr="00763246" w:rsidRDefault="00763246" w:rsidP="00763246">
            <w:pPr>
              <w:spacing w:after="0" w:line="240" w:lineRule="auto"/>
              <w:rPr>
                <w:rFonts w:ascii="Times New Roman" w:eastAsia="Times New Roman" w:hAnsi="Times New Roman" w:cs="Times New Roman"/>
                <w:b/>
                <w:bCs/>
                <w:i/>
                <w:iCs/>
                <w:color w:val="000000"/>
                <w:sz w:val="20"/>
                <w:szCs w:val="20"/>
                <w:lang w:eastAsia="sk-SK"/>
              </w:rPr>
            </w:pPr>
            <w:r w:rsidRPr="00763246">
              <w:rPr>
                <w:rFonts w:ascii="Times New Roman" w:eastAsia="Times New Roman" w:hAnsi="Times New Roman" w:cs="Times New Roman"/>
                <w:b/>
                <w:bCs/>
                <w:i/>
                <w:iCs/>
                <w:color w:val="000000"/>
                <w:sz w:val="20"/>
                <w:szCs w:val="20"/>
                <w:lang w:eastAsia="sk-SK"/>
              </w:rPr>
              <w:t>G. Goldplating</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7A221FFE"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0</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0A325D25"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0</w:t>
            </w:r>
          </w:p>
        </w:tc>
      </w:tr>
      <w:tr w:rsidR="00763246" w:rsidRPr="00763246" w14:paraId="75B48BE1" w14:textId="77777777" w:rsidTr="00763246">
        <w:trPr>
          <w:trHeight w:val="270"/>
        </w:trPr>
        <w:tc>
          <w:tcPr>
            <w:tcW w:w="4660" w:type="dxa"/>
            <w:tcBorders>
              <w:top w:val="nil"/>
              <w:left w:val="nil"/>
              <w:bottom w:val="nil"/>
              <w:right w:val="nil"/>
            </w:tcBorders>
            <w:noWrap/>
            <w:vAlign w:val="bottom"/>
            <w:hideMark/>
          </w:tcPr>
          <w:p w14:paraId="3A7A858F"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p>
        </w:tc>
        <w:tc>
          <w:tcPr>
            <w:tcW w:w="1940" w:type="dxa"/>
            <w:tcBorders>
              <w:top w:val="nil"/>
              <w:left w:val="nil"/>
              <w:bottom w:val="nil"/>
              <w:right w:val="nil"/>
            </w:tcBorders>
            <w:vAlign w:val="center"/>
            <w:hideMark/>
          </w:tcPr>
          <w:p w14:paraId="09629725"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vAlign w:val="center"/>
            <w:hideMark/>
          </w:tcPr>
          <w:p w14:paraId="264D11E7"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763246" w:rsidRPr="00763246" w14:paraId="544E645B" w14:textId="77777777" w:rsidTr="00763246">
        <w:trPr>
          <w:trHeight w:val="270"/>
        </w:trPr>
        <w:tc>
          <w:tcPr>
            <w:tcW w:w="4660" w:type="dxa"/>
            <w:tcBorders>
              <w:top w:val="nil"/>
              <w:left w:val="nil"/>
              <w:bottom w:val="nil"/>
              <w:right w:val="nil"/>
            </w:tcBorders>
            <w:noWrap/>
            <w:vAlign w:val="bottom"/>
            <w:hideMark/>
          </w:tcPr>
          <w:p w14:paraId="2A672316"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vAlign w:val="center"/>
            <w:hideMark/>
          </w:tcPr>
          <w:p w14:paraId="51B9CFA5"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vAlign w:val="center"/>
            <w:hideMark/>
          </w:tcPr>
          <w:p w14:paraId="605FBFCF"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763246" w:rsidRPr="00763246" w14:paraId="02CB8DDE" w14:textId="77777777" w:rsidTr="00763246">
        <w:trPr>
          <w:trHeight w:val="330"/>
        </w:trPr>
        <w:tc>
          <w:tcPr>
            <w:tcW w:w="4660" w:type="dxa"/>
            <w:tcBorders>
              <w:top w:val="single" w:sz="8" w:space="0" w:color="auto"/>
              <w:left w:val="single" w:sz="8" w:space="0" w:color="auto"/>
              <w:bottom w:val="single" w:sz="4" w:space="0" w:color="auto"/>
              <w:right w:val="single" w:sz="4" w:space="0" w:color="auto"/>
            </w:tcBorders>
            <w:vAlign w:val="center"/>
            <w:hideMark/>
          </w:tcPr>
          <w:p w14:paraId="5E6CD012" w14:textId="77777777" w:rsidR="00763246" w:rsidRPr="00763246" w:rsidRDefault="00763246" w:rsidP="00763246">
            <w:pPr>
              <w:spacing w:after="0" w:line="240" w:lineRule="auto"/>
              <w:rPr>
                <w:rFonts w:ascii="Times New Roman" w:eastAsia="Times New Roman" w:hAnsi="Times New Roman" w:cs="Times New Roman"/>
                <w:i/>
                <w:iCs/>
                <w:color w:val="000000"/>
                <w:sz w:val="20"/>
                <w:szCs w:val="20"/>
                <w:lang w:eastAsia="sk-SK"/>
              </w:rPr>
            </w:pPr>
            <w:r w:rsidRPr="00763246">
              <w:rPr>
                <w:rFonts w:ascii="Times New Roman" w:eastAsia="Times New Roman" w:hAnsi="Times New Roman" w:cs="Times New Roman"/>
                <w:i/>
                <w:iCs/>
                <w:color w:val="000000"/>
                <w:sz w:val="20"/>
                <w:szCs w:val="20"/>
                <w:lang w:eastAsia="sk-SK"/>
              </w:rPr>
              <w:t>VÝPOČET PRAVIDLA 1in2out:</w:t>
            </w:r>
          </w:p>
        </w:tc>
        <w:tc>
          <w:tcPr>
            <w:tcW w:w="1940" w:type="dxa"/>
            <w:tcBorders>
              <w:top w:val="single" w:sz="8" w:space="0" w:color="auto"/>
              <w:left w:val="nil"/>
              <w:bottom w:val="single" w:sz="4" w:space="0" w:color="auto"/>
              <w:right w:val="single" w:sz="4" w:space="0" w:color="auto"/>
            </w:tcBorders>
            <w:shd w:val="clear" w:color="000000" w:fill="FFC000"/>
            <w:vAlign w:val="center"/>
            <w:hideMark/>
          </w:tcPr>
          <w:p w14:paraId="0F773AA7"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IN</w:t>
            </w:r>
          </w:p>
        </w:tc>
        <w:tc>
          <w:tcPr>
            <w:tcW w:w="1940" w:type="dxa"/>
            <w:tcBorders>
              <w:top w:val="single" w:sz="8" w:space="0" w:color="auto"/>
              <w:left w:val="nil"/>
              <w:bottom w:val="single" w:sz="4" w:space="0" w:color="auto"/>
              <w:right w:val="single" w:sz="8" w:space="0" w:color="auto"/>
            </w:tcBorders>
            <w:shd w:val="clear" w:color="000000" w:fill="92D050"/>
            <w:vAlign w:val="center"/>
            <w:hideMark/>
          </w:tcPr>
          <w:p w14:paraId="6C11D2A9"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OUT</w:t>
            </w:r>
          </w:p>
        </w:tc>
      </w:tr>
      <w:tr w:rsidR="00694FEA" w:rsidRPr="00763246" w14:paraId="4366A4C5" w14:textId="77777777" w:rsidTr="00763246">
        <w:trPr>
          <w:trHeight w:val="345"/>
        </w:trPr>
        <w:tc>
          <w:tcPr>
            <w:tcW w:w="4660" w:type="dxa"/>
            <w:tcBorders>
              <w:top w:val="nil"/>
              <w:left w:val="single" w:sz="8" w:space="0" w:color="auto"/>
              <w:bottom w:val="single" w:sz="8" w:space="0" w:color="auto"/>
              <w:right w:val="single" w:sz="4" w:space="0" w:color="auto"/>
            </w:tcBorders>
            <w:vAlign w:val="center"/>
            <w:hideMark/>
          </w:tcPr>
          <w:p w14:paraId="560E237C" w14:textId="77777777" w:rsidR="00694FEA" w:rsidRPr="00763246" w:rsidRDefault="00694FEA" w:rsidP="00694FEA">
            <w:pPr>
              <w:spacing w:after="0" w:line="240" w:lineRule="auto"/>
              <w:rPr>
                <w:rFonts w:ascii="Times New Roman" w:eastAsia="Times New Roman" w:hAnsi="Times New Roman" w:cs="Times New Roman"/>
                <w:i/>
                <w:iCs/>
                <w:color w:val="000000"/>
                <w:sz w:val="20"/>
                <w:szCs w:val="20"/>
                <w:lang w:eastAsia="sk-SK"/>
              </w:rPr>
            </w:pPr>
            <w:r w:rsidRPr="00763246">
              <w:rPr>
                <w:rFonts w:ascii="Times New Roman" w:eastAsia="Times New Roman" w:hAnsi="Times New Roman" w:cs="Times New Roman"/>
                <w:i/>
                <w:iCs/>
                <w:color w:val="000000"/>
                <w:sz w:val="20"/>
                <w:szCs w:val="20"/>
                <w:lang w:eastAsia="sk-SK"/>
              </w:rPr>
              <w:t>H</w:t>
            </w:r>
            <w:r w:rsidRPr="00763246">
              <w:rPr>
                <w:rFonts w:ascii="Times New Roman" w:eastAsia="Times New Roman" w:hAnsi="Times New Roman" w:cs="Times New Roman"/>
                <w:b/>
                <w:bCs/>
                <w:i/>
                <w:iCs/>
                <w:color w:val="000000"/>
                <w:sz w:val="20"/>
                <w:szCs w:val="20"/>
                <w:lang w:eastAsia="sk-SK"/>
              </w:rPr>
              <w:t>.</w:t>
            </w:r>
            <w:r w:rsidRPr="00763246">
              <w:rPr>
                <w:rFonts w:ascii="Times New Roman" w:eastAsia="Times New Roman" w:hAnsi="Times New Roman" w:cs="Times New Roman"/>
                <w:i/>
                <w:iCs/>
                <w:color w:val="000000"/>
                <w:sz w:val="20"/>
                <w:szCs w:val="20"/>
                <w:lang w:eastAsia="sk-SK"/>
              </w:rPr>
              <w:t xml:space="preserve"> Náklady okrem výnimiek = B+D+E-F</w:t>
            </w:r>
          </w:p>
        </w:tc>
        <w:tc>
          <w:tcPr>
            <w:tcW w:w="1940" w:type="dxa"/>
            <w:tcBorders>
              <w:top w:val="nil"/>
              <w:left w:val="nil"/>
              <w:bottom w:val="single" w:sz="8" w:space="0" w:color="auto"/>
              <w:right w:val="single" w:sz="4" w:space="0" w:color="auto"/>
            </w:tcBorders>
            <w:shd w:val="clear" w:color="000000" w:fill="FFC000"/>
            <w:vAlign w:val="center"/>
            <w:hideMark/>
          </w:tcPr>
          <w:p w14:paraId="777441D5" w14:textId="799FDB10"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13 120 970</w:t>
            </w:r>
          </w:p>
        </w:tc>
        <w:tc>
          <w:tcPr>
            <w:tcW w:w="1940" w:type="dxa"/>
            <w:tcBorders>
              <w:top w:val="nil"/>
              <w:left w:val="nil"/>
              <w:bottom w:val="single" w:sz="8" w:space="0" w:color="auto"/>
              <w:right w:val="single" w:sz="8" w:space="0" w:color="auto"/>
            </w:tcBorders>
            <w:shd w:val="clear" w:color="000000" w:fill="92D050"/>
            <w:vAlign w:val="center"/>
            <w:hideMark/>
          </w:tcPr>
          <w:p w14:paraId="420E8DE7" w14:textId="1DCB10EE" w:rsidR="00694FEA" w:rsidRPr="00763246" w:rsidRDefault="00694FEA" w:rsidP="00694FE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1 862 000</w:t>
            </w:r>
          </w:p>
        </w:tc>
      </w:tr>
    </w:tbl>
    <w:p w14:paraId="6A3C783A" w14:textId="77777777" w:rsidR="00763246" w:rsidRDefault="00763246" w:rsidP="00054C41">
      <w:pPr>
        <w:jc w:val="both"/>
        <w:rPr>
          <w:rFonts w:ascii="Times New Roman" w:eastAsia="Calibri" w:hAnsi="Times New Roman" w:cs="Times New Roman"/>
          <w:i/>
          <w:sz w:val="24"/>
          <w:szCs w:val="24"/>
        </w:rPr>
      </w:pPr>
    </w:p>
    <w:p w14:paraId="3AFE5167" w14:textId="77777777" w:rsidR="00763246" w:rsidRDefault="00763246" w:rsidP="00054C41">
      <w:pPr>
        <w:jc w:val="both"/>
        <w:rPr>
          <w:rFonts w:ascii="Times New Roman" w:eastAsia="Calibri" w:hAnsi="Times New Roman" w:cs="Times New Roman"/>
          <w:i/>
          <w:sz w:val="24"/>
          <w:szCs w:val="24"/>
        </w:rPr>
      </w:pPr>
    </w:p>
    <w:p w14:paraId="46C7B7AA" w14:textId="77777777" w:rsidR="009C4301" w:rsidRDefault="009C4301" w:rsidP="00054C41">
      <w:pPr>
        <w:jc w:val="both"/>
        <w:rPr>
          <w:rFonts w:ascii="Times New Roman" w:eastAsia="Calibri" w:hAnsi="Times New Roman" w:cs="Times New Roman"/>
          <w:i/>
          <w:sz w:val="24"/>
          <w:szCs w:val="24"/>
        </w:rPr>
      </w:pPr>
    </w:p>
    <w:p w14:paraId="35A7BCA0" w14:textId="77777777" w:rsidR="009C4301" w:rsidRDefault="009C4301" w:rsidP="00054C41">
      <w:pPr>
        <w:jc w:val="both"/>
        <w:rPr>
          <w:rFonts w:ascii="Times New Roman" w:eastAsia="Calibri" w:hAnsi="Times New Roman" w:cs="Times New Roman"/>
          <w:i/>
          <w:sz w:val="24"/>
          <w:szCs w:val="24"/>
        </w:rPr>
      </w:pPr>
    </w:p>
    <w:p w14:paraId="7253F50D" w14:textId="77777777" w:rsidR="00D404F1" w:rsidRPr="00D8247C" w:rsidRDefault="00D404F1" w:rsidP="00054C41">
      <w:pPr>
        <w:jc w:val="both"/>
        <w:rPr>
          <w:rFonts w:ascii="Times New Roman" w:eastAsia="Calibri" w:hAnsi="Times New Roman" w:cs="Times New Roman"/>
          <w:i/>
          <w:sz w:val="24"/>
          <w:szCs w:val="24"/>
        </w:rPr>
      </w:pP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179" w:type="dxa"/>
        <w:tblLayout w:type="fixed"/>
        <w:tblCellMar>
          <w:left w:w="70" w:type="dxa"/>
          <w:right w:w="70" w:type="dxa"/>
        </w:tblCellMar>
        <w:tblLook w:val="04A0" w:firstRow="1" w:lastRow="0" w:firstColumn="1" w:lastColumn="0" w:noHBand="0" w:noVBand="1"/>
      </w:tblPr>
      <w:tblGrid>
        <w:gridCol w:w="524"/>
        <w:gridCol w:w="3056"/>
        <w:gridCol w:w="1242"/>
        <w:gridCol w:w="1226"/>
        <w:gridCol w:w="1200"/>
        <w:gridCol w:w="1000"/>
        <w:gridCol w:w="1386"/>
        <w:gridCol w:w="859"/>
        <w:gridCol w:w="1050"/>
        <w:gridCol w:w="935"/>
        <w:gridCol w:w="1541"/>
        <w:gridCol w:w="160"/>
      </w:tblGrid>
      <w:tr w:rsidR="00763246" w:rsidRPr="00763246" w14:paraId="2AE9E189" w14:textId="77777777" w:rsidTr="00763246">
        <w:trPr>
          <w:gridAfter w:val="1"/>
          <w:wAfter w:w="160" w:type="dxa"/>
          <w:trHeight w:val="450"/>
        </w:trPr>
        <w:tc>
          <w:tcPr>
            <w:tcW w:w="52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FB9FD5A"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P.č.</w:t>
            </w:r>
          </w:p>
        </w:tc>
        <w:tc>
          <w:tcPr>
            <w:tcW w:w="305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D39521E"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 xml:space="preserve">Zrozumiteľný a stručný opis regulácie </w:t>
            </w:r>
            <w:r w:rsidRPr="00763246">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1242"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B101C5F"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Číslo normy</w:t>
            </w:r>
            <w:r w:rsidRPr="00763246">
              <w:rPr>
                <w:rFonts w:ascii="Times New Roman" w:eastAsia="Times New Roman" w:hAnsi="Times New Roman" w:cs="Times New Roman"/>
                <w:b/>
                <w:bCs/>
                <w:color w:val="000000"/>
                <w:sz w:val="20"/>
                <w:szCs w:val="20"/>
                <w:lang w:eastAsia="sk-SK"/>
              </w:rPr>
              <w:br/>
            </w:r>
            <w:r w:rsidRPr="00763246">
              <w:rPr>
                <w:rFonts w:ascii="Times New Roman" w:eastAsia="Times New Roman" w:hAnsi="Times New Roman" w:cs="Times New Roman"/>
                <w:color w:val="000000"/>
                <w:sz w:val="20"/>
                <w:szCs w:val="20"/>
                <w:lang w:eastAsia="sk-SK"/>
              </w:rPr>
              <w:t>(zákona, vyhlášky a pod.)</w:t>
            </w:r>
          </w:p>
        </w:tc>
        <w:tc>
          <w:tcPr>
            <w:tcW w:w="122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41D2954"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Lokalizácia</w:t>
            </w:r>
            <w:r w:rsidRPr="00763246">
              <w:rPr>
                <w:rFonts w:ascii="Times New Roman" w:eastAsia="Times New Roman" w:hAnsi="Times New Roman" w:cs="Times New Roman"/>
                <w:b/>
                <w:bCs/>
                <w:color w:val="000000"/>
                <w:sz w:val="20"/>
                <w:szCs w:val="20"/>
                <w:lang w:eastAsia="sk-SK"/>
              </w:rPr>
              <w:br/>
              <w:t>(§, ods., čl.,...)</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DC7338F"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 xml:space="preserve">Pôvod regulácie: </w:t>
            </w:r>
            <w:r w:rsidRPr="00763246">
              <w:rPr>
                <w:rFonts w:ascii="Times New Roman" w:eastAsia="Times New Roman" w:hAnsi="Times New Roman" w:cs="Times New Roman"/>
                <w:b/>
                <w:bCs/>
                <w:color w:val="000000"/>
                <w:sz w:val="20"/>
                <w:szCs w:val="20"/>
                <w:lang w:eastAsia="sk-SK"/>
              </w:rPr>
              <w:br/>
            </w:r>
            <w:r w:rsidRPr="00763246">
              <w:rPr>
                <w:rFonts w:ascii="Times New Roman" w:eastAsia="Times New Roman" w:hAnsi="Times New Roman" w:cs="Times New Roman"/>
                <w:color w:val="000000"/>
                <w:sz w:val="20"/>
                <w:szCs w:val="20"/>
                <w:lang w:eastAsia="sk-SK"/>
              </w:rPr>
              <w:t>SK/EÚ úplná harm./</w:t>
            </w:r>
            <w:r w:rsidRPr="00763246">
              <w:rPr>
                <w:rFonts w:ascii="Times New Roman" w:eastAsia="Times New Roman" w:hAnsi="Times New Roman" w:cs="Times New Roman"/>
                <w:color w:val="000000"/>
                <w:sz w:val="20"/>
                <w:szCs w:val="20"/>
                <w:lang w:eastAsia="sk-SK"/>
              </w:rPr>
              <w:br/>
              <w:t>goldplating</w:t>
            </w:r>
          </w:p>
        </w:tc>
        <w:tc>
          <w:tcPr>
            <w:tcW w:w="10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E11F00F"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Účinnosť regulácie</w:t>
            </w:r>
          </w:p>
        </w:tc>
        <w:tc>
          <w:tcPr>
            <w:tcW w:w="138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3333B5"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Kategória dotk. subjektov</w:t>
            </w:r>
          </w:p>
        </w:tc>
        <w:tc>
          <w:tcPr>
            <w:tcW w:w="85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45392CE"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 xml:space="preserve">Počet dotk. subjektov spolu </w:t>
            </w:r>
          </w:p>
        </w:tc>
        <w:tc>
          <w:tcPr>
            <w:tcW w:w="10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5339978"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Vplyv na 1 podnik. v €</w:t>
            </w:r>
          </w:p>
        </w:tc>
        <w:tc>
          <w:tcPr>
            <w:tcW w:w="93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7933FA5"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Vplyv na kategóriu dotk. subjektov v €</w:t>
            </w:r>
          </w:p>
        </w:tc>
        <w:tc>
          <w:tcPr>
            <w:tcW w:w="154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6FD9FD7"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r w:rsidRPr="00763246">
              <w:rPr>
                <w:rFonts w:ascii="Times New Roman" w:eastAsia="Times New Roman" w:hAnsi="Times New Roman" w:cs="Times New Roman"/>
                <w:b/>
                <w:bCs/>
                <w:color w:val="000000"/>
                <w:sz w:val="20"/>
                <w:szCs w:val="20"/>
                <w:lang w:eastAsia="sk-SK"/>
              </w:rPr>
              <w:t>Druh vplyvu</w:t>
            </w:r>
            <w:r w:rsidRPr="00763246">
              <w:rPr>
                <w:rFonts w:ascii="Times New Roman" w:eastAsia="Times New Roman" w:hAnsi="Times New Roman" w:cs="Times New Roman"/>
                <w:b/>
                <w:bCs/>
                <w:color w:val="000000"/>
                <w:sz w:val="20"/>
                <w:szCs w:val="20"/>
                <w:lang w:eastAsia="sk-SK"/>
              </w:rPr>
              <w:br/>
            </w:r>
            <w:r w:rsidRPr="00763246">
              <w:rPr>
                <w:rFonts w:ascii="Times New Roman" w:eastAsia="Times New Roman" w:hAnsi="Times New Roman" w:cs="Times New Roman"/>
                <w:color w:val="000000"/>
                <w:sz w:val="20"/>
                <w:szCs w:val="20"/>
                <w:lang w:eastAsia="sk-SK"/>
              </w:rPr>
              <w:t xml:space="preserve">In (zvyšuje náklady) / </w:t>
            </w:r>
            <w:r w:rsidRPr="00763246">
              <w:rPr>
                <w:rFonts w:ascii="Times New Roman" w:eastAsia="Times New Roman" w:hAnsi="Times New Roman" w:cs="Times New Roman"/>
                <w:color w:val="000000"/>
                <w:sz w:val="20"/>
                <w:szCs w:val="20"/>
                <w:lang w:eastAsia="sk-SK"/>
              </w:rPr>
              <w:br/>
              <w:t>Out (znižuje náklady) / Nemení sa</w:t>
            </w:r>
          </w:p>
        </w:tc>
      </w:tr>
      <w:tr w:rsidR="00763246" w:rsidRPr="00763246" w14:paraId="2755F54C" w14:textId="77777777" w:rsidTr="00763246">
        <w:trPr>
          <w:trHeight w:val="264"/>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697E03DB"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3056" w:type="dxa"/>
            <w:vMerge/>
            <w:tcBorders>
              <w:top w:val="single" w:sz="4" w:space="0" w:color="auto"/>
              <w:left w:val="single" w:sz="4" w:space="0" w:color="auto"/>
              <w:bottom w:val="single" w:sz="4" w:space="0" w:color="auto"/>
              <w:right w:val="single" w:sz="4" w:space="0" w:color="auto"/>
            </w:tcBorders>
            <w:vAlign w:val="center"/>
            <w:hideMark/>
          </w:tcPr>
          <w:p w14:paraId="2266E68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42" w:type="dxa"/>
            <w:vMerge/>
            <w:tcBorders>
              <w:top w:val="single" w:sz="4" w:space="0" w:color="auto"/>
              <w:left w:val="single" w:sz="4" w:space="0" w:color="auto"/>
              <w:bottom w:val="single" w:sz="4" w:space="0" w:color="000000"/>
              <w:right w:val="single" w:sz="4" w:space="0" w:color="auto"/>
            </w:tcBorders>
            <w:vAlign w:val="center"/>
            <w:hideMark/>
          </w:tcPr>
          <w:p w14:paraId="60A6166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26" w:type="dxa"/>
            <w:vMerge/>
            <w:tcBorders>
              <w:top w:val="single" w:sz="4" w:space="0" w:color="auto"/>
              <w:left w:val="single" w:sz="4" w:space="0" w:color="auto"/>
              <w:bottom w:val="single" w:sz="4" w:space="0" w:color="000000"/>
              <w:right w:val="single" w:sz="4" w:space="0" w:color="auto"/>
            </w:tcBorders>
            <w:vAlign w:val="center"/>
            <w:hideMark/>
          </w:tcPr>
          <w:p w14:paraId="5EB5DC42"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01CFB95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19058DD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14:paraId="051ECE58"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14:paraId="09DEC5A9"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251A702"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5180BD8F"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52F4FBE0"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noWrap/>
            <w:vAlign w:val="bottom"/>
            <w:hideMark/>
          </w:tcPr>
          <w:p w14:paraId="1B6FB3EB" w14:textId="77777777" w:rsidR="00763246" w:rsidRPr="00763246" w:rsidRDefault="00763246" w:rsidP="00763246">
            <w:pPr>
              <w:spacing w:after="0" w:line="240" w:lineRule="auto"/>
              <w:jc w:val="center"/>
              <w:rPr>
                <w:rFonts w:ascii="Times New Roman" w:eastAsia="Times New Roman" w:hAnsi="Times New Roman" w:cs="Times New Roman"/>
                <w:b/>
                <w:bCs/>
                <w:color w:val="000000"/>
                <w:sz w:val="20"/>
                <w:szCs w:val="20"/>
                <w:lang w:eastAsia="sk-SK"/>
              </w:rPr>
            </w:pPr>
          </w:p>
        </w:tc>
      </w:tr>
      <w:tr w:rsidR="00763246" w:rsidRPr="00763246" w14:paraId="20A31B6B" w14:textId="77777777" w:rsidTr="00763246">
        <w:trPr>
          <w:trHeight w:val="264"/>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27B01D8F"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3056" w:type="dxa"/>
            <w:vMerge/>
            <w:tcBorders>
              <w:top w:val="single" w:sz="4" w:space="0" w:color="auto"/>
              <w:left w:val="single" w:sz="4" w:space="0" w:color="auto"/>
              <w:bottom w:val="single" w:sz="4" w:space="0" w:color="auto"/>
              <w:right w:val="single" w:sz="4" w:space="0" w:color="auto"/>
            </w:tcBorders>
            <w:vAlign w:val="center"/>
            <w:hideMark/>
          </w:tcPr>
          <w:p w14:paraId="2A6AAC3A"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42" w:type="dxa"/>
            <w:vMerge/>
            <w:tcBorders>
              <w:top w:val="single" w:sz="4" w:space="0" w:color="auto"/>
              <w:left w:val="single" w:sz="4" w:space="0" w:color="auto"/>
              <w:bottom w:val="single" w:sz="4" w:space="0" w:color="000000"/>
              <w:right w:val="single" w:sz="4" w:space="0" w:color="auto"/>
            </w:tcBorders>
            <w:vAlign w:val="center"/>
            <w:hideMark/>
          </w:tcPr>
          <w:p w14:paraId="595DE62A"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26" w:type="dxa"/>
            <w:vMerge/>
            <w:tcBorders>
              <w:top w:val="single" w:sz="4" w:space="0" w:color="auto"/>
              <w:left w:val="single" w:sz="4" w:space="0" w:color="auto"/>
              <w:bottom w:val="single" w:sz="4" w:space="0" w:color="000000"/>
              <w:right w:val="single" w:sz="4" w:space="0" w:color="auto"/>
            </w:tcBorders>
            <w:vAlign w:val="center"/>
            <w:hideMark/>
          </w:tcPr>
          <w:p w14:paraId="0253C2D6"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62663C98"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072F7D8C"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14:paraId="43F024AC"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14:paraId="6EBBB8E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32B0FDF0"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4B0AA472"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72539575"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noWrap/>
            <w:vAlign w:val="bottom"/>
            <w:hideMark/>
          </w:tcPr>
          <w:p w14:paraId="0B99A6DD"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763246" w:rsidRPr="00763246" w14:paraId="7790FA14" w14:textId="77777777" w:rsidTr="00763246">
        <w:trPr>
          <w:trHeight w:val="264"/>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2C5F950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3056" w:type="dxa"/>
            <w:vMerge/>
            <w:tcBorders>
              <w:top w:val="single" w:sz="4" w:space="0" w:color="auto"/>
              <w:left w:val="single" w:sz="4" w:space="0" w:color="auto"/>
              <w:bottom w:val="single" w:sz="4" w:space="0" w:color="auto"/>
              <w:right w:val="single" w:sz="4" w:space="0" w:color="auto"/>
            </w:tcBorders>
            <w:vAlign w:val="center"/>
            <w:hideMark/>
          </w:tcPr>
          <w:p w14:paraId="69E47652"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42" w:type="dxa"/>
            <w:vMerge/>
            <w:tcBorders>
              <w:top w:val="single" w:sz="4" w:space="0" w:color="auto"/>
              <w:left w:val="single" w:sz="4" w:space="0" w:color="auto"/>
              <w:bottom w:val="single" w:sz="4" w:space="0" w:color="000000"/>
              <w:right w:val="single" w:sz="4" w:space="0" w:color="auto"/>
            </w:tcBorders>
            <w:vAlign w:val="center"/>
            <w:hideMark/>
          </w:tcPr>
          <w:p w14:paraId="7C9C06A5"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26" w:type="dxa"/>
            <w:vMerge/>
            <w:tcBorders>
              <w:top w:val="single" w:sz="4" w:space="0" w:color="auto"/>
              <w:left w:val="single" w:sz="4" w:space="0" w:color="auto"/>
              <w:bottom w:val="single" w:sz="4" w:space="0" w:color="000000"/>
              <w:right w:val="single" w:sz="4" w:space="0" w:color="auto"/>
            </w:tcBorders>
            <w:vAlign w:val="center"/>
            <w:hideMark/>
          </w:tcPr>
          <w:p w14:paraId="08B7E680"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12126809"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672DE933"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14:paraId="675831C0"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14:paraId="3D7985FD"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7A1622AF"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3E3D835E"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58E58749"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noWrap/>
            <w:vAlign w:val="bottom"/>
            <w:hideMark/>
          </w:tcPr>
          <w:p w14:paraId="7883E910"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763246" w:rsidRPr="00763246" w14:paraId="390CBE5B" w14:textId="77777777" w:rsidTr="00763246">
        <w:trPr>
          <w:trHeight w:val="264"/>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0FD6C76E"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3056" w:type="dxa"/>
            <w:vMerge/>
            <w:tcBorders>
              <w:top w:val="single" w:sz="4" w:space="0" w:color="auto"/>
              <w:left w:val="single" w:sz="4" w:space="0" w:color="auto"/>
              <w:bottom w:val="single" w:sz="4" w:space="0" w:color="auto"/>
              <w:right w:val="single" w:sz="4" w:space="0" w:color="auto"/>
            </w:tcBorders>
            <w:vAlign w:val="center"/>
            <w:hideMark/>
          </w:tcPr>
          <w:p w14:paraId="3DAD8BAC"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42" w:type="dxa"/>
            <w:vMerge/>
            <w:tcBorders>
              <w:top w:val="single" w:sz="4" w:space="0" w:color="auto"/>
              <w:left w:val="single" w:sz="4" w:space="0" w:color="auto"/>
              <w:bottom w:val="single" w:sz="4" w:space="0" w:color="000000"/>
              <w:right w:val="single" w:sz="4" w:space="0" w:color="auto"/>
            </w:tcBorders>
            <w:vAlign w:val="center"/>
            <w:hideMark/>
          </w:tcPr>
          <w:p w14:paraId="45D40E9D"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26" w:type="dxa"/>
            <w:vMerge/>
            <w:tcBorders>
              <w:top w:val="single" w:sz="4" w:space="0" w:color="auto"/>
              <w:left w:val="single" w:sz="4" w:space="0" w:color="auto"/>
              <w:bottom w:val="single" w:sz="4" w:space="0" w:color="000000"/>
              <w:right w:val="single" w:sz="4" w:space="0" w:color="auto"/>
            </w:tcBorders>
            <w:vAlign w:val="center"/>
            <w:hideMark/>
          </w:tcPr>
          <w:p w14:paraId="734181A9"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33182E6D"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41B9D328"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14:paraId="10E66AEB"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14:paraId="72A0747D"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10A1C551"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91B691A"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1B9BD886"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noWrap/>
            <w:vAlign w:val="bottom"/>
            <w:hideMark/>
          </w:tcPr>
          <w:p w14:paraId="44CE4A7F"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763246" w:rsidRPr="00763246" w14:paraId="36DCA19A" w14:textId="77777777" w:rsidTr="00763246">
        <w:trPr>
          <w:trHeight w:val="264"/>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38EF8931"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3056" w:type="dxa"/>
            <w:vMerge/>
            <w:tcBorders>
              <w:top w:val="single" w:sz="4" w:space="0" w:color="auto"/>
              <w:left w:val="single" w:sz="4" w:space="0" w:color="auto"/>
              <w:bottom w:val="single" w:sz="4" w:space="0" w:color="auto"/>
              <w:right w:val="single" w:sz="4" w:space="0" w:color="auto"/>
            </w:tcBorders>
            <w:vAlign w:val="center"/>
            <w:hideMark/>
          </w:tcPr>
          <w:p w14:paraId="586EF85D"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42" w:type="dxa"/>
            <w:vMerge/>
            <w:tcBorders>
              <w:top w:val="single" w:sz="4" w:space="0" w:color="auto"/>
              <w:left w:val="single" w:sz="4" w:space="0" w:color="auto"/>
              <w:bottom w:val="single" w:sz="4" w:space="0" w:color="000000"/>
              <w:right w:val="single" w:sz="4" w:space="0" w:color="auto"/>
            </w:tcBorders>
            <w:vAlign w:val="center"/>
            <w:hideMark/>
          </w:tcPr>
          <w:p w14:paraId="343AE047"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26" w:type="dxa"/>
            <w:vMerge/>
            <w:tcBorders>
              <w:top w:val="single" w:sz="4" w:space="0" w:color="auto"/>
              <w:left w:val="single" w:sz="4" w:space="0" w:color="auto"/>
              <w:bottom w:val="single" w:sz="4" w:space="0" w:color="000000"/>
              <w:right w:val="single" w:sz="4" w:space="0" w:color="auto"/>
            </w:tcBorders>
            <w:vAlign w:val="center"/>
            <w:hideMark/>
          </w:tcPr>
          <w:p w14:paraId="51BACB20"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060F6179"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171B0014"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14:paraId="01DEBDAF"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14:paraId="591FA1D0"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D8F8E18"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74AFDEA"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12FBF9FD" w14:textId="77777777" w:rsidR="00763246" w:rsidRPr="00763246" w:rsidRDefault="00763246" w:rsidP="0076324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noWrap/>
            <w:vAlign w:val="bottom"/>
            <w:hideMark/>
          </w:tcPr>
          <w:p w14:paraId="67B21BAD" w14:textId="77777777" w:rsidR="00763246" w:rsidRPr="00763246" w:rsidRDefault="00763246" w:rsidP="00763246">
            <w:pPr>
              <w:spacing w:after="0" w:line="240" w:lineRule="auto"/>
              <w:rPr>
                <w:rFonts w:ascii="Times New Roman" w:eastAsia="Times New Roman" w:hAnsi="Times New Roman" w:cs="Times New Roman"/>
                <w:sz w:val="20"/>
                <w:szCs w:val="20"/>
                <w:lang w:eastAsia="sk-SK"/>
              </w:rPr>
            </w:pPr>
          </w:p>
        </w:tc>
      </w:tr>
      <w:tr w:rsidR="00694FEA" w:rsidRPr="00763246" w14:paraId="4F2941CF" w14:textId="77777777" w:rsidTr="00763246">
        <w:trPr>
          <w:trHeight w:val="1320"/>
        </w:trPr>
        <w:tc>
          <w:tcPr>
            <w:tcW w:w="524" w:type="dxa"/>
            <w:tcBorders>
              <w:top w:val="nil"/>
              <w:left w:val="single" w:sz="4" w:space="0" w:color="auto"/>
              <w:bottom w:val="single" w:sz="4" w:space="0" w:color="auto"/>
              <w:right w:val="single" w:sz="4" w:space="0" w:color="auto"/>
            </w:tcBorders>
            <w:vAlign w:val="center"/>
            <w:hideMark/>
          </w:tcPr>
          <w:p w14:paraId="49305E0C" w14:textId="0365A3C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w:t>
            </w:r>
          </w:p>
        </w:tc>
        <w:tc>
          <w:tcPr>
            <w:tcW w:w="3056" w:type="dxa"/>
            <w:tcBorders>
              <w:top w:val="nil"/>
              <w:left w:val="nil"/>
              <w:bottom w:val="single" w:sz="4" w:space="0" w:color="auto"/>
              <w:right w:val="single" w:sz="4" w:space="0" w:color="auto"/>
            </w:tcBorders>
            <w:vAlign w:val="center"/>
            <w:hideMark/>
          </w:tcPr>
          <w:p w14:paraId="5F94C8AD" w14:textId="3E8F83D8"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TPO (technik požiarnej ochrany)</w:t>
            </w:r>
          </w:p>
        </w:tc>
        <w:tc>
          <w:tcPr>
            <w:tcW w:w="1242" w:type="dxa"/>
            <w:tcBorders>
              <w:top w:val="nil"/>
              <w:left w:val="nil"/>
              <w:bottom w:val="single" w:sz="4" w:space="0" w:color="auto"/>
              <w:right w:val="single" w:sz="4" w:space="0" w:color="auto"/>
            </w:tcBorders>
            <w:vAlign w:val="center"/>
            <w:hideMark/>
          </w:tcPr>
          <w:p w14:paraId="69E37846" w14:textId="7FF5DE7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568A170E" w14:textId="30E17B5A"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4 písm. p)</w:t>
            </w:r>
          </w:p>
        </w:tc>
        <w:tc>
          <w:tcPr>
            <w:tcW w:w="1200" w:type="dxa"/>
            <w:tcBorders>
              <w:top w:val="nil"/>
              <w:left w:val="nil"/>
              <w:bottom w:val="single" w:sz="4" w:space="0" w:color="auto"/>
              <w:right w:val="single" w:sz="4" w:space="0" w:color="auto"/>
            </w:tcBorders>
            <w:vAlign w:val="center"/>
            <w:hideMark/>
          </w:tcPr>
          <w:p w14:paraId="0AA35712" w14:textId="7A69094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374FFEFE" w14:textId="4E783140"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12F62B9F" w14:textId="2F82DEC7"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Nad 500 zamestnancov</w:t>
            </w:r>
          </w:p>
        </w:tc>
        <w:tc>
          <w:tcPr>
            <w:tcW w:w="859" w:type="dxa"/>
            <w:tcBorders>
              <w:top w:val="nil"/>
              <w:left w:val="nil"/>
              <w:bottom w:val="single" w:sz="4" w:space="0" w:color="auto"/>
              <w:right w:val="single" w:sz="4" w:space="0" w:color="auto"/>
            </w:tcBorders>
            <w:vAlign w:val="center"/>
            <w:hideMark/>
          </w:tcPr>
          <w:p w14:paraId="08F421F8" w14:textId="5AB58B8F"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400 </w:t>
            </w:r>
          </w:p>
        </w:tc>
        <w:tc>
          <w:tcPr>
            <w:tcW w:w="1050" w:type="dxa"/>
            <w:tcBorders>
              <w:top w:val="nil"/>
              <w:left w:val="nil"/>
              <w:bottom w:val="single" w:sz="4" w:space="0" w:color="auto"/>
              <w:right w:val="single" w:sz="4" w:space="0" w:color="auto"/>
            </w:tcBorders>
            <w:shd w:val="clear" w:color="000000" w:fill="FFFFFF"/>
            <w:vAlign w:val="center"/>
            <w:hideMark/>
          </w:tcPr>
          <w:p w14:paraId="18C7EB35" w14:textId="056B615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13 655</w:t>
            </w:r>
          </w:p>
        </w:tc>
        <w:tc>
          <w:tcPr>
            <w:tcW w:w="935" w:type="dxa"/>
            <w:tcBorders>
              <w:top w:val="nil"/>
              <w:left w:val="nil"/>
              <w:bottom w:val="single" w:sz="4" w:space="0" w:color="auto"/>
              <w:right w:val="single" w:sz="4" w:space="0" w:color="auto"/>
            </w:tcBorders>
            <w:vAlign w:val="center"/>
            <w:hideMark/>
          </w:tcPr>
          <w:p w14:paraId="48970800" w14:textId="50D67C80"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5 461 932</w:t>
            </w:r>
          </w:p>
        </w:tc>
        <w:tc>
          <w:tcPr>
            <w:tcW w:w="1541" w:type="dxa"/>
            <w:tcBorders>
              <w:top w:val="nil"/>
              <w:left w:val="nil"/>
              <w:bottom w:val="single" w:sz="4" w:space="0" w:color="auto"/>
              <w:right w:val="single" w:sz="4" w:space="0" w:color="auto"/>
            </w:tcBorders>
            <w:vAlign w:val="center"/>
            <w:hideMark/>
          </w:tcPr>
          <w:p w14:paraId="651AC73B" w14:textId="10AFA76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4F5A1D77"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3C3C2813" w14:textId="77777777" w:rsidTr="00763246">
        <w:trPr>
          <w:trHeight w:val="1320"/>
        </w:trPr>
        <w:tc>
          <w:tcPr>
            <w:tcW w:w="524" w:type="dxa"/>
            <w:tcBorders>
              <w:top w:val="nil"/>
              <w:left w:val="single" w:sz="4" w:space="0" w:color="auto"/>
              <w:bottom w:val="single" w:sz="4" w:space="0" w:color="auto"/>
              <w:right w:val="single" w:sz="4" w:space="0" w:color="auto"/>
            </w:tcBorders>
            <w:vAlign w:val="center"/>
            <w:hideMark/>
          </w:tcPr>
          <w:p w14:paraId="7CCE8B65" w14:textId="0019395B"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w:t>
            </w:r>
          </w:p>
        </w:tc>
        <w:tc>
          <w:tcPr>
            <w:tcW w:w="3056" w:type="dxa"/>
            <w:tcBorders>
              <w:top w:val="nil"/>
              <w:left w:val="nil"/>
              <w:bottom w:val="single" w:sz="4" w:space="0" w:color="auto"/>
              <w:right w:val="single" w:sz="4" w:space="0" w:color="auto"/>
            </w:tcBorders>
            <w:vAlign w:val="center"/>
            <w:hideMark/>
          </w:tcPr>
          <w:p w14:paraId="1AC6A2CC" w14:textId="135CBAD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TPO</w:t>
            </w:r>
          </w:p>
        </w:tc>
        <w:tc>
          <w:tcPr>
            <w:tcW w:w="1242" w:type="dxa"/>
            <w:tcBorders>
              <w:top w:val="nil"/>
              <w:left w:val="nil"/>
              <w:bottom w:val="single" w:sz="4" w:space="0" w:color="auto"/>
              <w:right w:val="single" w:sz="4" w:space="0" w:color="auto"/>
            </w:tcBorders>
            <w:vAlign w:val="center"/>
            <w:hideMark/>
          </w:tcPr>
          <w:p w14:paraId="51601E63" w14:textId="1F7D4FC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6F7A913B" w14:textId="222EBEA1"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4 písm. p)</w:t>
            </w:r>
          </w:p>
        </w:tc>
        <w:tc>
          <w:tcPr>
            <w:tcW w:w="1200" w:type="dxa"/>
            <w:tcBorders>
              <w:top w:val="nil"/>
              <w:left w:val="nil"/>
              <w:bottom w:val="single" w:sz="4" w:space="0" w:color="auto"/>
              <w:right w:val="single" w:sz="4" w:space="0" w:color="auto"/>
            </w:tcBorders>
            <w:vAlign w:val="center"/>
            <w:hideMark/>
          </w:tcPr>
          <w:p w14:paraId="4C227965" w14:textId="0CAC4A13"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6198065C" w14:textId="1B34C81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2038DC21" w14:textId="0DCD794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nad 1000 zamestnancov do 5000</w:t>
            </w:r>
          </w:p>
        </w:tc>
        <w:tc>
          <w:tcPr>
            <w:tcW w:w="859" w:type="dxa"/>
            <w:tcBorders>
              <w:top w:val="nil"/>
              <w:left w:val="nil"/>
              <w:bottom w:val="single" w:sz="4" w:space="0" w:color="auto"/>
              <w:right w:val="single" w:sz="4" w:space="0" w:color="auto"/>
            </w:tcBorders>
            <w:vAlign w:val="center"/>
            <w:hideMark/>
          </w:tcPr>
          <w:p w14:paraId="40619642" w14:textId="46E32671"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100 </w:t>
            </w:r>
          </w:p>
        </w:tc>
        <w:tc>
          <w:tcPr>
            <w:tcW w:w="1050" w:type="dxa"/>
            <w:tcBorders>
              <w:top w:val="nil"/>
              <w:left w:val="nil"/>
              <w:bottom w:val="single" w:sz="4" w:space="0" w:color="auto"/>
              <w:right w:val="single" w:sz="4" w:space="0" w:color="auto"/>
            </w:tcBorders>
            <w:vAlign w:val="center"/>
            <w:hideMark/>
          </w:tcPr>
          <w:p w14:paraId="7ACE4B9F" w14:textId="18FD1923"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25 655</w:t>
            </w:r>
          </w:p>
        </w:tc>
        <w:tc>
          <w:tcPr>
            <w:tcW w:w="935" w:type="dxa"/>
            <w:tcBorders>
              <w:top w:val="nil"/>
              <w:left w:val="nil"/>
              <w:bottom w:val="single" w:sz="4" w:space="0" w:color="auto"/>
              <w:right w:val="single" w:sz="4" w:space="0" w:color="auto"/>
            </w:tcBorders>
            <w:vAlign w:val="center"/>
            <w:hideMark/>
          </w:tcPr>
          <w:p w14:paraId="5738174F" w14:textId="3D45225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2 565 483</w:t>
            </w:r>
          </w:p>
        </w:tc>
        <w:tc>
          <w:tcPr>
            <w:tcW w:w="1541" w:type="dxa"/>
            <w:tcBorders>
              <w:top w:val="nil"/>
              <w:left w:val="nil"/>
              <w:bottom w:val="single" w:sz="4" w:space="0" w:color="auto"/>
              <w:right w:val="single" w:sz="4" w:space="0" w:color="auto"/>
            </w:tcBorders>
            <w:vAlign w:val="center"/>
            <w:hideMark/>
          </w:tcPr>
          <w:p w14:paraId="1DE317FB" w14:textId="768C83F1"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2C1BA957"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12147119" w14:textId="77777777" w:rsidTr="00763246">
        <w:trPr>
          <w:trHeight w:val="792"/>
        </w:trPr>
        <w:tc>
          <w:tcPr>
            <w:tcW w:w="524" w:type="dxa"/>
            <w:tcBorders>
              <w:top w:val="nil"/>
              <w:left w:val="single" w:sz="4" w:space="0" w:color="auto"/>
              <w:bottom w:val="single" w:sz="4" w:space="0" w:color="auto"/>
              <w:right w:val="single" w:sz="4" w:space="0" w:color="auto"/>
            </w:tcBorders>
            <w:vAlign w:val="center"/>
            <w:hideMark/>
          </w:tcPr>
          <w:p w14:paraId="6ADA46F4" w14:textId="53173058"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w:t>
            </w:r>
          </w:p>
        </w:tc>
        <w:tc>
          <w:tcPr>
            <w:tcW w:w="3056" w:type="dxa"/>
            <w:tcBorders>
              <w:top w:val="nil"/>
              <w:left w:val="nil"/>
              <w:bottom w:val="single" w:sz="4" w:space="0" w:color="auto"/>
              <w:right w:val="single" w:sz="4" w:space="0" w:color="auto"/>
            </w:tcBorders>
            <w:vAlign w:val="center"/>
            <w:hideMark/>
          </w:tcPr>
          <w:p w14:paraId="52E0E79D" w14:textId="7DC3DE8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TPO</w:t>
            </w:r>
          </w:p>
        </w:tc>
        <w:tc>
          <w:tcPr>
            <w:tcW w:w="1242" w:type="dxa"/>
            <w:tcBorders>
              <w:top w:val="nil"/>
              <w:left w:val="nil"/>
              <w:bottom w:val="single" w:sz="4" w:space="0" w:color="auto"/>
              <w:right w:val="single" w:sz="4" w:space="0" w:color="auto"/>
            </w:tcBorders>
            <w:vAlign w:val="center"/>
            <w:hideMark/>
          </w:tcPr>
          <w:p w14:paraId="19225E4F" w14:textId="7CE8998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5688C23B" w14:textId="52C5A927"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4 písm. p)</w:t>
            </w:r>
          </w:p>
        </w:tc>
        <w:tc>
          <w:tcPr>
            <w:tcW w:w="1200" w:type="dxa"/>
            <w:tcBorders>
              <w:top w:val="nil"/>
              <w:left w:val="nil"/>
              <w:bottom w:val="single" w:sz="4" w:space="0" w:color="auto"/>
              <w:right w:val="single" w:sz="4" w:space="0" w:color="auto"/>
            </w:tcBorders>
            <w:vAlign w:val="center"/>
            <w:hideMark/>
          </w:tcPr>
          <w:p w14:paraId="579040DA" w14:textId="3C8A8A40"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5414C8DB" w14:textId="0E01A6E4"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3C6A5559" w14:textId="0417198B"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viac ako 5000</w:t>
            </w:r>
          </w:p>
        </w:tc>
        <w:tc>
          <w:tcPr>
            <w:tcW w:w="859" w:type="dxa"/>
            <w:tcBorders>
              <w:top w:val="nil"/>
              <w:left w:val="nil"/>
              <w:bottom w:val="single" w:sz="4" w:space="0" w:color="auto"/>
              <w:right w:val="single" w:sz="4" w:space="0" w:color="auto"/>
            </w:tcBorders>
            <w:vAlign w:val="center"/>
            <w:hideMark/>
          </w:tcPr>
          <w:p w14:paraId="5658FE5D" w14:textId="5941624D"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40 </w:t>
            </w:r>
          </w:p>
        </w:tc>
        <w:tc>
          <w:tcPr>
            <w:tcW w:w="1050" w:type="dxa"/>
            <w:tcBorders>
              <w:top w:val="nil"/>
              <w:left w:val="nil"/>
              <w:bottom w:val="single" w:sz="4" w:space="0" w:color="auto"/>
              <w:right w:val="single" w:sz="4" w:space="0" w:color="auto"/>
            </w:tcBorders>
            <w:vAlign w:val="center"/>
            <w:hideMark/>
          </w:tcPr>
          <w:p w14:paraId="2F23171E" w14:textId="0DB3F4D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36 083</w:t>
            </w:r>
          </w:p>
        </w:tc>
        <w:tc>
          <w:tcPr>
            <w:tcW w:w="935" w:type="dxa"/>
            <w:tcBorders>
              <w:top w:val="nil"/>
              <w:left w:val="nil"/>
              <w:bottom w:val="single" w:sz="4" w:space="0" w:color="auto"/>
              <w:right w:val="single" w:sz="4" w:space="0" w:color="auto"/>
            </w:tcBorders>
            <w:vAlign w:val="center"/>
            <w:hideMark/>
          </w:tcPr>
          <w:p w14:paraId="703AB1DD" w14:textId="48C05E1F"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1 443 310</w:t>
            </w:r>
          </w:p>
        </w:tc>
        <w:tc>
          <w:tcPr>
            <w:tcW w:w="1541" w:type="dxa"/>
            <w:tcBorders>
              <w:top w:val="nil"/>
              <w:left w:val="nil"/>
              <w:bottom w:val="single" w:sz="4" w:space="0" w:color="auto"/>
              <w:right w:val="single" w:sz="4" w:space="0" w:color="auto"/>
            </w:tcBorders>
            <w:vAlign w:val="center"/>
            <w:hideMark/>
          </w:tcPr>
          <w:p w14:paraId="16C64E91" w14:textId="4D3784D4"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50C0DE13"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63B69B63" w14:textId="77777777" w:rsidTr="00763246">
        <w:trPr>
          <w:trHeight w:val="792"/>
        </w:trPr>
        <w:tc>
          <w:tcPr>
            <w:tcW w:w="524" w:type="dxa"/>
            <w:tcBorders>
              <w:top w:val="nil"/>
              <w:left w:val="single" w:sz="4" w:space="0" w:color="auto"/>
              <w:bottom w:val="single" w:sz="4" w:space="0" w:color="auto"/>
              <w:right w:val="single" w:sz="4" w:space="0" w:color="auto"/>
            </w:tcBorders>
            <w:vAlign w:val="center"/>
            <w:hideMark/>
          </w:tcPr>
          <w:p w14:paraId="354378AA" w14:textId="31F03818"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4</w:t>
            </w:r>
          </w:p>
        </w:tc>
        <w:tc>
          <w:tcPr>
            <w:tcW w:w="3056" w:type="dxa"/>
            <w:tcBorders>
              <w:top w:val="nil"/>
              <w:left w:val="nil"/>
              <w:bottom w:val="single" w:sz="4" w:space="0" w:color="auto"/>
              <w:right w:val="single" w:sz="4" w:space="0" w:color="auto"/>
            </w:tcBorders>
            <w:vAlign w:val="center"/>
            <w:hideMark/>
          </w:tcPr>
          <w:p w14:paraId="7878EE84" w14:textId="380CE0D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registrácia ISO</w:t>
            </w:r>
          </w:p>
        </w:tc>
        <w:tc>
          <w:tcPr>
            <w:tcW w:w="1242" w:type="dxa"/>
            <w:tcBorders>
              <w:top w:val="nil"/>
              <w:left w:val="nil"/>
              <w:bottom w:val="single" w:sz="4" w:space="0" w:color="auto"/>
              <w:right w:val="single" w:sz="4" w:space="0" w:color="auto"/>
            </w:tcBorders>
            <w:vAlign w:val="center"/>
            <w:hideMark/>
          </w:tcPr>
          <w:p w14:paraId="52633936" w14:textId="564BC99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43969ED0" w14:textId="044410D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11d ods. 12 písm. g)</w:t>
            </w:r>
          </w:p>
        </w:tc>
        <w:tc>
          <w:tcPr>
            <w:tcW w:w="1200" w:type="dxa"/>
            <w:tcBorders>
              <w:top w:val="nil"/>
              <w:left w:val="nil"/>
              <w:bottom w:val="single" w:sz="4" w:space="0" w:color="auto"/>
              <w:right w:val="single" w:sz="4" w:space="0" w:color="auto"/>
            </w:tcBorders>
            <w:vAlign w:val="center"/>
            <w:hideMark/>
          </w:tcPr>
          <w:p w14:paraId="0457755F" w14:textId="25D4F9A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2A3E6EE4" w14:textId="6F65EF5A"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3830EF34" w14:textId="674B2EFF"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podnikatelia, ktorí žiadajú o registráciu ako zhotovitelia požiarnotechnických zariadení.</w:t>
            </w:r>
          </w:p>
        </w:tc>
        <w:tc>
          <w:tcPr>
            <w:tcW w:w="859" w:type="dxa"/>
            <w:tcBorders>
              <w:top w:val="nil"/>
              <w:left w:val="nil"/>
              <w:bottom w:val="single" w:sz="4" w:space="0" w:color="auto"/>
              <w:right w:val="single" w:sz="4" w:space="0" w:color="auto"/>
            </w:tcBorders>
            <w:vAlign w:val="center"/>
            <w:hideMark/>
          </w:tcPr>
          <w:p w14:paraId="48557794" w14:textId="7FA4157F"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700 </w:t>
            </w:r>
          </w:p>
        </w:tc>
        <w:tc>
          <w:tcPr>
            <w:tcW w:w="1050" w:type="dxa"/>
            <w:tcBorders>
              <w:top w:val="nil"/>
              <w:left w:val="nil"/>
              <w:bottom w:val="single" w:sz="4" w:space="0" w:color="auto"/>
              <w:right w:val="single" w:sz="4" w:space="0" w:color="auto"/>
            </w:tcBorders>
            <w:vAlign w:val="center"/>
            <w:hideMark/>
          </w:tcPr>
          <w:p w14:paraId="11D952DE" w14:textId="3B1D38FB"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2 083</w:t>
            </w:r>
          </w:p>
        </w:tc>
        <w:tc>
          <w:tcPr>
            <w:tcW w:w="935" w:type="dxa"/>
            <w:tcBorders>
              <w:top w:val="nil"/>
              <w:left w:val="nil"/>
              <w:bottom w:val="single" w:sz="4" w:space="0" w:color="auto"/>
              <w:right w:val="single" w:sz="4" w:space="0" w:color="auto"/>
            </w:tcBorders>
            <w:vAlign w:val="center"/>
            <w:hideMark/>
          </w:tcPr>
          <w:p w14:paraId="594CC9EA" w14:textId="3B7EAB92"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1 457 919</w:t>
            </w:r>
          </w:p>
        </w:tc>
        <w:tc>
          <w:tcPr>
            <w:tcW w:w="1541" w:type="dxa"/>
            <w:tcBorders>
              <w:top w:val="nil"/>
              <w:left w:val="nil"/>
              <w:bottom w:val="single" w:sz="4" w:space="0" w:color="auto"/>
              <w:right w:val="single" w:sz="4" w:space="0" w:color="auto"/>
            </w:tcBorders>
            <w:vAlign w:val="center"/>
            <w:hideMark/>
          </w:tcPr>
          <w:p w14:paraId="71EB09D8" w14:textId="6F12934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60E59CA0"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1733E1E0" w14:textId="77777777" w:rsidTr="00763246">
        <w:trPr>
          <w:trHeight w:val="264"/>
        </w:trPr>
        <w:tc>
          <w:tcPr>
            <w:tcW w:w="524" w:type="dxa"/>
            <w:tcBorders>
              <w:top w:val="nil"/>
              <w:left w:val="single" w:sz="4" w:space="0" w:color="auto"/>
              <w:bottom w:val="single" w:sz="4" w:space="0" w:color="auto"/>
              <w:right w:val="single" w:sz="4" w:space="0" w:color="auto"/>
            </w:tcBorders>
            <w:vAlign w:val="center"/>
            <w:hideMark/>
          </w:tcPr>
          <w:p w14:paraId="6F740911" w14:textId="18273683"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w:t>
            </w:r>
          </w:p>
        </w:tc>
        <w:tc>
          <w:tcPr>
            <w:tcW w:w="3056" w:type="dxa"/>
            <w:tcBorders>
              <w:top w:val="nil"/>
              <w:left w:val="nil"/>
              <w:bottom w:val="single" w:sz="4" w:space="0" w:color="auto"/>
              <w:right w:val="single" w:sz="4" w:space="0" w:color="auto"/>
            </w:tcBorders>
            <w:vAlign w:val="center"/>
            <w:hideMark/>
          </w:tcPr>
          <w:p w14:paraId="518CC4CA" w14:textId="759DCA2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registrácia správny poplatok</w:t>
            </w:r>
          </w:p>
        </w:tc>
        <w:tc>
          <w:tcPr>
            <w:tcW w:w="1242" w:type="dxa"/>
            <w:tcBorders>
              <w:top w:val="nil"/>
              <w:left w:val="nil"/>
              <w:bottom w:val="single" w:sz="4" w:space="0" w:color="auto"/>
              <w:right w:val="single" w:sz="4" w:space="0" w:color="auto"/>
            </w:tcBorders>
            <w:vAlign w:val="center"/>
            <w:hideMark/>
          </w:tcPr>
          <w:p w14:paraId="20665DB7" w14:textId="40CB6A9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1225F147" w14:textId="08A4C09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11d ods. 12 písm. i)</w:t>
            </w:r>
          </w:p>
        </w:tc>
        <w:tc>
          <w:tcPr>
            <w:tcW w:w="1200" w:type="dxa"/>
            <w:tcBorders>
              <w:top w:val="nil"/>
              <w:left w:val="nil"/>
              <w:bottom w:val="single" w:sz="4" w:space="0" w:color="auto"/>
              <w:right w:val="single" w:sz="4" w:space="0" w:color="auto"/>
            </w:tcBorders>
            <w:vAlign w:val="center"/>
            <w:hideMark/>
          </w:tcPr>
          <w:p w14:paraId="54A5E252" w14:textId="560DAAF4"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7AE84019" w14:textId="4F085C7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3AEFF6E5" w14:textId="7DF6E1C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podnikatelia, ktorí žiadajú o registráciu ako zhotovitelia </w:t>
            </w:r>
            <w:r>
              <w:rPr>
                <w:color w:val="000000"/>
                <w:sz w:val="20"/>
                <w:szCs w:val="20"/>
              </w:rPr>
              <w:lastRenderedPageBreak/>
              <w:t>požiarnotechnických zariadení.</w:t>
            </w:r>
          </w:p>
        </w:tc>
        <w:tc>
          <w:tcPr>
            <w:tcW w:w="859" w:type="dxa"/>
            <w:tcBorders>
              <w:top w:val="nil"/>
              <w:left w:val="nil"/>
              <w:bottom w:val="single" w:sz="4" w:space="0" w:color="auto"/>
              <w:right w:val="single" w:sz="4" w:space="0" w:color="auto"/>
            </w:tcBorders>
            <w:vAlign w:val="center"/>
            <w:hideMark/>
          </w:tcPr>
          <w:p w14:paraId="22DF73C1" w14:textId="79F7341E"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lastRenderedPageBreak/>
              <w:t xml:space="preserve">             700 </w:t>
            </w:r>
          </w:p>
        </w:tc>
        <w:tc>
          <w:tcPr>
            <w:tcW w:w="1050" w:type="dxa"/>
            <w:tcBorders>
              <w:top w:val="nil"/>
              <w:left w:val="nil"/>
              <w:bottom w:val="single" w:sz="4" w:space="0" w:color="auto"/>
              <w:right w:val="single" w:sz="4" w:space="0" w:color="auto"/>
            </w:tcBorders>
            <w:vAlign w:val="center"/>
            <w:hideMark/>
          </w:tcPr>
          <w:p w14:paraId="71686E4E" w14:textId="16DF066F"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125</w:t>
            </w:r>
          </w:p>
        </w:tc>
        <w:tc>
          <w:tcPr>
            <w:tcW w:w="935" w:type="dxa"/>
            <w:tcBorders>
              <w:top w:val="nil"/>
              <w:left w:val="nil"/>
              <w:bottom w:val="single" w:sz="4" w:space="0" w:color="auto"/>
              <w:right w:val="single" w:sz="4" w:space="0" w:color="auto"/>
            </w:tcBorders>
            <w:vAlign w:val="center"/>
            <w:hideMark/>
          </w:tcPr>
          <w:p w14:paraId="4E5C9335" w14:textId="69175D52"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87 500</w:t>
            </w:r>
          </w:p>
        </w:tc>
        <w:tc>
          <w:tcPr>
            <w:tcW w:w="1541" w:type="dxa"/>
            <w:tcBorders>
              <w:top w:val="nil"/>
              <w:left w:val="nil"/>
              <w:bottom w:val="single" w:sz="4" w:space="0" w:color="auto"/>
              <w:right w:val="single" w:sz="4" w:space="0" w:color="auto"/>
            </w:tcBorders>
            <w:vAlign w:val="center"/>
            <w:hideMark/>
          </w:tcPr>
          <w:p w14:paraId="50882F3F" w14:textId="55CFBEC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1389594F"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349F3726" w14:textId="77777777" w:rsidTr="00763246">
        <w:trPr>
          <w:trHeight w:val="264"/>
        </w:trPr>
        <w:tc>
          <w:tcPr>
            <w:tcW w:w="524" w:type="dxa"/>
            <w:tcBorders>
              <w:top w:val="nil"/>
              <w:left w:val="single" w:sz="4" w:space="0" w:color="auto"/>
              <w:bottom w:val="single" w:sz="4" w:space="0" w:color="auto"/>
              <w:right w:val="single" w:sz="4" w:space="0" w:color="auto"/>
            </w:tcBorders>
            <w:vAlign w:val="center"/>
            <w:hideMark/>
          </w:tcPr>
          <w:p w14:paraId="3C6D0E5D" w14:textId="462AEAE0"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6</w:t>
            </w:r>
          </w:p>
        </w:tc>
        <w:tc>
          <w:tcPr>
            <w:tcW w:w="3056" w:type="dxa"/>
            <w:tcBorders>
              <w:top w:val="nil"/>
              <w:left w:val="nil"/>
              <w:bottom w:val="single" w:sz="4" w:space="0" w:color="auto"/>
              <w:right w:val="single" w:sz="4" w:space="0" w:color="auto"/>
            </w:tcBorders>
            <w:vAlign w:val="center"/>
            <w:hideMark/>
          </w:tcPr>
          <w:p w14:paraId="3ECCE445" w14:textId="399B5BE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Žiadosť o registráciu zhotoviteľa </w:t>
            </w:r>
          </w:p>
        </w:tc>
        <w:tc>
          <w:tcPr>
            <w:tcW w:w="1242" w:type="dxa"/>
            <w:tcBorders>
              <w:top w:val="nil"/>
              <w:left w:val="nil"/>
              <w:bottom w:val="single" w:sz="4" w:space="0" w:color="auto"/>
              <w:right w:val="single" w:sz="4" w:space="0" w:color="auto"/>
            </w:tcBorders>
            <w:vAlign w:val="center"/>
            <w:hideMark/>
          </w:tcPr>
          <w:p w14:paraId="555E06C7" w14:textId="75F48754"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1336E6B9" w14:textId="1E8BD42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11d ods. 12</w:t>
            </w:r>
          </w:p>
        </w:tc>
        <w:tc>
          <w:tcPr>
            <w:tcW w:w="1200" w:type="dxa"/>
            <w:tcBorders>
              <w:top w:val="nil"/>
              <w:left w:val="nil"/>
              <w:bottom w:val="single" w:sz="4" w:space="0" w:color="auto"/>
              <w:right w:val="single" w:sz="4" w:space="0" w:color="auto"/>
            </w:tcBorders>
            <w:vAlign w:val="center"/>
            <w:hideMark/>
          </w:tcPr>
          <w:p w14:paraId="3C3E064C" w14:textId="094F232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32846934" w14:textId="2D8BB1D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1CC4B055" w14:textId="38FC89D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podnikatelia, ktorí žiadajú o registráciu ako zhotovitelia požiarnotechnických zariadení.</w:t>
            </w:r>
          </w:p>
        </w:tc>
        <w:tc>
          <w:tcPr>
            <w:tcW w:w="859" w:type="dxa"/>
            <w:tcBorders>
              <w:top w:val="nil"/>
              <w:left w:val="nil"/>
              <w:bottom w:val="single" w:sz="4" w:space="0" w:color="auto"/>
              <w:right w:val="single" w:sz="4" w:space="0" w:color="auto"/>
            </w:tcBorders>
            <w:vAlign w:val="center"/>
            <w:hideMark/>
          </w:tcPr>
          <w:p w14:paraId="40AD6872" w14:textId="2E80C5AB"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700 </w:t>
            </w:r>
          </w:p>
        </w:tc>
        <w:tc>
          <w:tcPr>
            <w:tcW w:w="1050" w:type="dxa"/>
            <w:tcBorders>
              <w:top w:val="nil"/>
              <w:left w:val="nil"/>
              <w:bottom w:val="single" w:sz="4" w:space="0" w:color="auto"/>
              <w:right w:val="single" w:sz="4" w:space="0" w:color="auto"/>
            </w:tcBorders>
            <w:vAlign w:val="center"/>
            <w:hideMark/>
          </w:tcPr>
          <w:p w14:paraId="578CC6C3" w14:textId="3B8569DF"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w:t>
            </w:r>
          </w:p>
        </w:tc>
        <w:tc>
          <w:tcPr>
            <w:tcW w:w="935" w:type="dxa"/>
            <w:tcBorders>
              <w:top w:val="nil"/>
              <w:left w:val="nil"/>
              <w:bottom w:val="single" w:sz="4" w:space="0" w:color="auto"/>
              <w:right w:val="single" w:sz="4" w:space="0" w:color="auto"/>
            </w:tcBorders>
            <w:vAlign w:val="center"/>
            <w:hideMark/>
          </w:tcPr>
          <w:p w14:paraId="4EB20F84" w14:textId="681F7B7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1 207</w:t>
            </w:r>
          </w:p>
        </w:tc>
        <w:tc>
          <w:tcPr>
            <w:tcW w:w="1541" w:type="dxa"/>
            <w:tcBorders>
              <w:top w:val="nil"/>
              <w:left w:val="nil"/>
              <w:bottom w:val="single" w:sz="4" w:space="0" w:color="auto"/>
              <w:right w:val="single" w:sz="4" w:space="0" w:color="auto"/>
            </w:tcBorders>
            <w:vAlign w:val="center"/>
            <w:hideMark/>
          </w:tcPr>
          <w:p w14:paraId="200A0B47" w14:textId="53B094B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3C5F71D8"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17A1F270" w14:textId="77777777" w:rsidTr="00763246">
        <w:trPr>
          <w:trHeight w:val="264"/>
        </w:trPr>
        <w:tc>
          <w:tcPr>
            <w:tcW w:w="524" w:type="dxa"/>
            <w:tcBorders>
              <w:top w:val="nil"/>
              <w:left w:val="single" w:sz="4" w:space="0" w:color="auto"/>
              <w:bottom w:val="single" w:sz="4" w:space="0" w:color="auto"/>
              <w:right w:val="single" w:sz="4" w:space="0" w:color="auto"/>
            </w:tcBorders>
            <w:vAlign w:val="center"/>
            <w:hideMark/>
          </w:tcPr>
          <w:p w14:paraId="5B1371D0" w14:textId="6B2D4C5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7</w:t>
            </w:r>
          </w:p>
        </w:tc>
        <w:tc>
          <w:tcPr>
            <w:tcW w:w="3056" w:type="dxa"/>
            <w:tcBorders>
              <w:top w:val="nil"/>
              <w:left w:val="nil"/>
              <w:bottom w:val="single" w:sz="4" w:space="0" w:color="auto"/>
              <w:right w:val="single" w:sz="4" w:space="0" w:color="auto"/>
            </w:tcBorders>
            <w:vAlign w:val="center"/>
            <w:hideMark/>
          </w:tcPr>
          <w:p w14:paraId="14021D92" w14:textId="255A6397"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registrácia - zoznam komponentov</w:t>
            </w:r>
          </w:p>
        </w:tc>
        <w:tc>
          <w:tcPr>
            <w:tcW w:w="1242" w:type="dxa"/>
            <w:tcBorders>
              <w:top w:val="nil"/>
              <w:left w:val="nil"/>
              <w:bottom w:val="single" w:sz="4" w:space="0" w:color="auto"/>
              <w:right w:val="single" w:sz="4" w:space="0" w:color="auto"/>
            </w:tcBorders>
            <w:vAlign w:val="center"/>
            <w:hideMark/>
          </w:tcPr>
          <w:p w14:paraId="303517D2" w14:textId="261EB7E2"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7FDFAC73" w14:textId="0B25206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 11d ods. 12 písm. a) </w:t>
            </w:r>
          </w:p>
        </w:tc>
        <w:tc>
          <w:tcPr>
            <w:tcW w:w="1200" w:type="dxa"/>
            <w:tcBorders>
              <w:top w:val="nil"/>
              <w:left w:val="nil"/>
              <w:bottom w:val="single" w:sz="4" w:space="0" w:color="auto"/>
              <w:right w:val="single" w:sz="4" w:space="0" w:color="auto"/>
            </w:tcBorders>
            <w:vAlign w:val="center"/>
            <w:hideMark/>
          </w:tcPr>
          <w:p w14:paraId="42E7BDD3" w14:textId="38CF94DF"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4F6A1FD8" w14:textId="1D25E978"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3554734B" w14:textId="3C340E7A"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podnikatelia, ktorí žiadajú o registráciu ako zhotovitelia požiarnotechnických zariadení.</w:t>
            </w:r>
          </w:p>
        </w:tc>
        <w:tc>
          <w:tcPr>
            <w:tcW w:w="859" w:type="dxa"/>
            <w:tcBorders>
              <w:top w:val="nil"/>
              <w:left w:val="nil"/>
              <w:bottom w:val="single" w:sz="4" w:space="0" w:color="auto"/>
              <w:right w:val="single" w:sz="4" w:space="0" w:color="auto"/>
            </w:tcBorders>
            <w:vAlign w:val="center"/>
            <w:hideMark/>
          </w:tcPr>
          <w:p w14:paraId="03D7C537" w14:textId="3767484E"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700 </w:t>
            </w:r>
          </w:p>
        </w:tc>
        <w:tc>
          <w:tcPr>
            <w:tcW w:w="1050" w:type="dxa"/>
            <w:tcBorders>
              <w:top w:val="nil"/>
              <w:left w:val="nil"/>
              <w:bottom w:val="single" w:sz="4" w:space="0" w:color="auto"/>
              <w:right w:val="single" w:sz="4" w:space="0" w:color="auto"/>
            </w:tcBorders>
            <w:vAlign w:val="center"/>
            <w:hideMark/>
          </w:tcPr>
          <w:p w14:paraId="07B56E9B" w14:textId="0C13040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1,72378125</w:t>
            </w:r>
          </w:p>
        </w:tc>
        <w:tc>
          <w:tcPr>
            <w:tcW w:w="935" w:type="dxa"/>
            <w:tcBorders>
              <w:top w:val="nil"/>
              <w:left w:val="nil"/>
              <w:bottom w:val="single" w:sz="4" w:space="0" w:color="auto"/>
              <w:right w:val="single" w:sz="4" w:space="0" w:color="auto"/>
            </w:tcBorders>
            <w:vAlign w:val="center"/>
            <w:hideMark/>
          </w:tcPr>
          <w:p w14:paraId="5660D672" w14:textId="221A0C9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1206,646875</w:t>
            </w:r>
          </w:p>
        </w:tc>
        <w:tc>
          <w:tcPr>
            <w:tcW w:w="1541" w:type="dxa"/>
            <w:tcBorders>
              <w:top w:val="nil"/>
              <w:left w:val="nil"/>
              <w:bottom w:val="single" w:sz="4" w:space="0" w:color="auto"/>
              <w:right w:val="single" w:sz="4" w:space="0" w:color="auto"/>
            </w:tcBorders>
            <w:vAlign w:val="center"/>
            <w:hideMark/>
          </w:tcPr>
          <w:p w14:paraId="5C0FBEB6" w14:textId="21E60413"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63142A26"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73B0BC5B" w14:textId="77777777" w:rsidTr="00763246">
        <w:trPr>
          <w:trHeight w:val="264"/>
        </w:trPr>
        <w:tc>
          <w:tcPr>
            <w:tcW w:w="524" w:type="dxa"/>
            <w:tcBorders>
              <w:top w:val="nil"/>
              <w:left w:val="single" w:sz="4" w:space="0" w:color="auto"/>
              <w:bottom w:val="single" w:sz="4" w:space="0" w:color="auto"/>
              <w:right w:val="single" w:sz="4" w:space="0" w:color="auto"/>
            </w:tcBorders>
            <w:vAlign w:val="center"/>
            <w:hideMark/>
          </w:tcPr>
          <w:p w14:paraId="3ADE651D" w14:textId="2AE52617"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8</w:t>
            </w:r>
          </w:p>
        </w:tc>
        <w:tc>
          <w:tcPr>
            <w:tcW w:w="3056" w:type="dxa"/>
            <w:tcBorders>
              <w:top w:val="nil"/>
              <w:left w:val="nil"/>
              <w:bottom w:val="single" w:sz="4" w:space="0" w:color="auto"/>
              <w:right w:val="single" w:sz="4" w:space="0" w:color="auto"/>
            </w:tcBorders>
            <w:vAlign w:val="center"/>
            <w:hideMark/>
          </w:tcPr>
          <w:p w14:paraId="00D9ECBF" w14:textId="0E7D762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registrácia - prevádzkový predpis požiarnotechnického zariadenia</w:t>
            </w:r>
          </w:p>
        </w:tc>
        <w:tc>
          <w:tcPr>
            <w:tcW w:w="1242" w:type="dxa"/>
            <w:tcBorders>
              <w:top w:val="nil"/>
              <w:left w:val="nil"/>
              <w:bottom w:val="single" w:sz="4" w:space="0" w:color="auto"/>
              <w:right w:val="single" w:sz="4" w:space="0" w:color="auto"/>
            </w:tcBorders>
            <w:vAlign w:val="center"/>
            <w:hideMark/>
          </w:tcPr>
          <w:p w14:paraId="435BFB62" w14:textId="2FCC9EB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3AC7A795" w14:textId="15EFC4DB"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 11d ods. 12 písm. b) </w:t>
            </w:r>
          </w:p>
        </w:tc>
        <w:tc>
          <w:tcPr>
            <w:tcW w:w="1200" w:type="dxa"/>
            <w:tcBorders>
              <w:top w:val="nil"/>
              <w:left w:val="nil"/>
              <w:bottom w:val="single" w:sz="4" w:space="0" w:color="auto"/>
              <w:right w:val="single" w:sz="4" w:space="0" w:color="auto"/>
            </w:tcBorders>
            <w:vAlign w:val="center"/>
            <w:hideMark/>
          </w:tcPr>
          <w:p w14:paraId="1874E14A" w14:textId="37A604C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56F38569" w14:textId="159FAB5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5751E975" w14:textId="54E3806E"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podnikatelia, ktorí žiadajú o registráciu ako zhotovitelia požiarnotechnických zariadení.</w:t>
            </w:r>
          </w:p>
        </w:tc>
        <w:tc>
          <w:tcPr>
            <w:tcW w:w="859" w:type="dxa"/>
            <w:tcBorders>
              <w:top w:val="nil"/>
              <w:left w:val="nil"/>
              <w:bottom w:val="single" w:sz="4" w:space="0" w:color="auto"/>
              <w:right w:val="single" w:sz="4" w:space="0" w:color="auto"/>
            </w:tcBorders>
            <w:vAlign w:val="center"/>
            <w:hideMark/>
          </w:tcPr>
          <w:p w14:paraId="7C75FEF3" w14:textId="6CD89C66"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700 </w:t>
            </w:r>
          </w:p>
        </w:tc>
        <w:tc>
          <w:tcPr>
            <w:tcW w:w="1050" w:type="dxa"/>
            <w:tcBorders>
              <w:top w:val="nil"/>
              <w:left w:val="nil"/>
              <w:bottom w:val="single" w:sz="4" w:space="0" w:color="auto"/>
              <w:right w:val="single" w:sz="4" w:space="0" w:color="auto"/>
            </w:tcBorders>
            <w:vAlign w:val="center"/>
            <w:hideMark/>
          </w:tcPr>
          <w:p w14:paraId="55C29B20" w14:textId="6AF647CB"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w:t>
            </w:r>
          </w:p>
        </w:tc>
        <w:tc>
          <w:tcPr>
            <w:tcW w:w="935" w:type="dxa"/>
            <w:tcBorders>
              <w:top w:val="nil"/>
              <w:left w:val="nil"/>
              <w:bottom w:val="single" w:sz="4" w:space="0" w:color="auto"/>
              <w:right w:val="single" w:sz="4" w:space="0" w:color="auto"/>
            </w:tcBorders>
            <w:vAlign w:val="center"/>
            <w:hideMark/>
          </w:tcPr>
          <w:p w14:paraId="25C5F55D" w14:textId="2EE4A52A"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2 413</w:t>
            </w:r>
          </w:p>
        </w:tc>
        <w:tc>
          <w:tcPr>
            <w:tcW w:w="1541" w:type="dxa"/>
            <w:tcBorders>
              <w:top w:val="nil"/>
              <w:left w:val="nil"/>
              <w:bottom w:val="single" w:sz="4" w:space="0" w:color="auto"/>
              <w:right w:val="single" w:sz="4" w:space="0" w:color="auto"/>
            </w:tcBorders>
            <w:vAlign w:val="center"/>
            <w:hideMark/>
          </w:tcPr>
          <w:p w14:paraId="3662C95A" w14:textId="038EA69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06D35000"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4D52CB71" w14:textId="77777777" w:rsidTr="00763246">
        <w:trPr>
          <w:trHeight w:val="279"/>
        </w:trPr>
        <w:tc>
          <w:tcPr>
            <w:tcW w:w="524" w:type="dxa"/>
            <w:tcBorders>
              <w:top w:val="nil"/>
              <w:left w:val="single" w:sz="4" w:space="0" w:color="auto"/>
              <w:bottom w:val="single" w:sz="4" w:space="0" w:color="auto"/>
              <w:right w:val="single" w:sz="4" w:space="0" w:color="auto"/>
            </w:tcBorders>
            <w:vAlign w:val="center"/>
            <w:hideMark/>
          </w:tcPr>
          <w:p w14:paraId="5E36DD47" w14:textId="48F8EED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9</w:t>
            </w:r>
          </w:p>
        </w:tc>
        <w:tc>
          <w:tcPr>
            <w:tcW w:w="3056" w:type="dxa"/>
            <w:tcBorders>
              <w:top w:val="nil"/>
              <w:left w:val="nil"/>
              <w:bottom w:val="single" w:sz="4" w:space="0" w:color="auto"/>
              <w:right w:val="single" w:sz="4" w:space="0" w:color="auto"/>
            </w:tcBorders>
            <w:vAlign w:val="center"/>
            <w:hideMark/>
          </w:tcPr>
          <w:p w14:paraId="79D3CE1F" w14:textId="71E03D41"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registrácia - poistenie</w:t>
            </w:r>
          </w:p>
        </w:tc>
        <w:tc>
          <w:tcPr>
            <w:tcW w:w="1242" w:type="dxa"/>
            <w:tcBorders>
              <w:top w:val="nil"/>
              <w:left w:val="nil"/>
              <w:bottom w:val="single" w:sz="4" w:space="0" w:color="auto"/>
              <w:right w:val="single" w:sz="4" w:space="0" w:color="auto"/>
            </w:tcBorders>
            <w:vAlign w:val="center"/>
            <w:hideMark/>
          </w:tcPr>
          <w:p w14:paraId="4D977997" w14:textId="4754429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47207949" w14:textId="4FCF48D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 11d ods. 12 písm. h) </w:t>
            </w:r>
          </w:p>
        </w:tc>
        <w:tc>
          <w:tcPr>
            <w:tcW w:w="1200" w:type="dxa"/>
            <w:tcBorders>
              <w:top w:val="nil"/>
              <w:left w:val="nil"/>
              <w:bottom w:val="single" w:sz="4" w:space="0" w:color="auto"/>
              <w:right w:val="single" w:sz="4" w:space="0" w:color="auto"/>
            </w:tcBorders>
            <w:vAlign w:val="center"/>
            <w:hideMark/>
          </w:tcPr>
          <w:p w14:paraId="43D9C0C8" w14:textId="0BEE12F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13C59BA4" w14:textId="5F2A99B1"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01.01.28</w:t>
            </w:r>
          </w:p>
        </w:tc>
        <w:tc>
          <w:tcPr>
            <w:tcW w:w="1386" w:type="dxa"/>
            <w:tcBorders>
              <w:top w:val="nil"/>
              <w:left w:val="nil"/>
              <w:bottom w:val="single" w:sz="4" w:space="0" w:color="auto"/>
              <w:right w:val="single" w:sz="4" w:space="0" w:color="auto"/>
            </w:tcBorders>
            <w:vAlign w:val="center"/>
            <w:hideMark/>
          </w:tcPr>
          <w:p w14:paraId="1EF09408" w14:textId="2720688C"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podnikatelia, ktorí žiadajú o registráciu ako zhotovitelia požiarnotechnických zariadení.</w:t>
            </w:r>
          </w:p>
        </w:tc>
        <w:tc>
          <w:tcPr>
            <w:tcW w:w="859" w:type="dxa"/>
            <w:tcBorders>
              <w:top w:val="nil"/>
              <w:left w:val="nil"/>
              <w:bottom w:val="single" w:sz="4" w:space="0" w:color="auto"/>
              <w:right w:val="single" w:sz="4" w:space="0" w:color="auto"/>
            </w:tcBorders>
            <w:vAlign w:val="center"/>
            <w:hideMark/>
          </w:tcPr>
          <w:p w14:paraId="0E6BCC41" w14:textId="37DE8DB3"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700 </w:t>
            </w:r>
          </w:p>
        </w:tc>
        <w:tc>
          <w:tcPr>
            <w:tcW w:w="1050" w:type="dxa"/>
            <w:tcBorders>
              <w:top w:val="nil"/>
              <w:left w:val="nil"/>
              <w:bottom w:val="single" w:sz="4" w:space="0" w:color="auto"/>
              <w:right w:val="single" w:sz="4" w:space="0" w:color="auto"/>
            </w:tcBorders>
            <w:vAlign w:val="center"/>
            <w:hideMark/>
          </w:tcPr>
          <w:p w14:paraId="588788D1" w14:textId="3AF82731"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3 000</w:t>
            </w:r>
          </w:p>
        </w:tc>
        <w:tc>
          <w:tcPr>
            <w:tcW w:w="935" w:type="dxa"/>
            <w:tcBorders>
              <w:top w:val="nil"/>
              <w:left w:val="nil"/>
              <w:bottom w:val="single" w:sz="4" w:space="0" w:color="auto"/>
              <w:right w:val="single" w:sz="4" w:space="0" w:color="auto"/>
            </w:tcBorders>
            <w:vAlign w:val="center"/>
            <w:hideMark/>
          </w:tcPr>
          <w:p w14:paraId="6298A466" w14:textId="0AB65903"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2 100 000</w:t>
            </w:r>
          </w:p>
        </w:tc>
        <w:tc>
          <w:tcPr>
            <w:tcW w:w="1541" w:type="dxa"/>
            <w:tcBorders>
              <w:top w:val="nil"/>
              <w:left w:val="nil"/>
              <w:bottom w:val="single" w:sz="4" w:space="0" w:color="auto"/>
              <w:right w:val="single" w:sz="4" w:space="0" w:color="auto"/>
            </w:tcBorders>
            <w:vAlign w:val="center"/>
            <w:hideMark/>
          </w:tcPr>
          <w:p w14:paraId="14E7BB2B" w14:textId="54EC5EA3"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160" w:type="dxa"/>
            <w:vAlign w:val="center"/>
            <w:hideMark/>
          </w:tcPr>
          <w:p w14:paraId="1904197F"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r w:rsidR="00694FEA" w:rsidRPr="00763246" w14:paraId="77427854" w14:textId="77777777" w:rsidTr="00763246">
        <w:trPr>
          <w:trHeight w:val="279"/>
        </w:trPr>
        <w:tc>
          <w:tcPr>
            <w:tcW w:w="524" w:type="dxa"/>
            <w:tcBorders>
              <w:top w:val="nil"/>
              <w:left w:val="single" w:sz="4" w:space="0" w:color="auto"/>
              <w:bottom w:val="single" w:sz="4" w:space="0" w:color="auto"/>
              <w:right w:val="single" w:sz="4" w:space="0" w:color="auto"/>
            </w:tcBorders>
            <w:vAlign w:val="center"/>
            <w:hideMark/>
          </w:tcPr>
          <w:p w14:paraId="7C5391A1" w14:textId="51EE7A72"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10</w:t>
            </w:r>
          </w:p>
        </w:tc>
        <w:tc>
          <w:tcPr>
            <w:tcW w:w="3056" w:type="dxa"/>
            <w:tcBorders>
              <w:top w:val="nil"/>
              <w:left w:val="nil"/>
              <w:bottom w:val="single" w:sz="4" w:space="0" w:color="auto"/>
              <w:right w:val="single" w:sz="4" w:space="0" w:color="auto"/>
            </w:tcBorders>
            <w:vAlign w:val="center"/>
            <w:hideMark/>
          </w:tcPr>
          <w:p w14:paraId="2D06B6B0" w14:textId="5235DB7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osobitné oprávnenia - zjednodušenie</w:t>
            </w:r>
          </w:p>
        </w:tc>
        <w:tc>
          <w:tcPr>
            <w:tcW w:w="1242" w:type="dxa"/>
            <w:tcBorders>
              <w:top w:val="nil"/>
              <w:left w:val="nil"/>
              <w:bottom w:val="single" w:sz="4" w:space="0" w:color="auto"/>
              <w:right w:val="single" w:sz="4" w:space="0" w:color="auto"/>
            </w:tcBorders>
            <w:vAlign w:val="center"/>
            <w:hideMark/>
          </w:tcPr>
          <w:p w14:paraId="759B58AC" w14:textId="42C9043B"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314/2001</w:t>
            </w:r>
          </w:p>
        </w:tc>
        <w:tc>
          <w:tcPr>
            <w:tcW w:w="1226" w:type="dxa"/>
            <w:tcBorders>
              <w:top w:val="nil"/>
              <w:left w:val="nil"/>
              <w:bottom w:val="single" w:sz="4" w:space="0" w:color="auto"/>
              <w:right w:val="single" w:sz="4" w:space="0" w:color="auto"/>
            </w:tcBorders>
            <w:vAlign w:val="center"/>
            <w:hideMark/>
          </w:tcPr>
          <w:p w14:paraId="63A5BD69" w14:textId="7C51D3C1"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11c</w:t>
            </w:r>
          </w:p>
        </w:tc>
        <w:tc>
          <w:tcPr>
            <w:tcW w:w="1200" w:type="dxa"/>
            <w:tcBorders>
              <w:top w:val="nil"/>
              <w:left w:val="nil"/>
              <w:bottom w:val="single" w:sz="4" w:space="0" w:color="auto"/>
              <w:right w:val="single" w:sz="4" w:space="0" w:color="auto"/>
            </w:tcBorders>
            <w:vAlign w:val="center"/>
            <w:hideMark/>
          </w:tcPr>
          <w:p w14:paraId="686059F5" w14:textId="26330739"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1.SK</w:t>
            </w:r>
          </w:p>
        </w:tc>
        <w:tc>
          <w:tcPr>
            <w:tcW w:w="1000" w:type="dxa"/>
            <w:tcBorders>
              <w:top w:val="nil"/>
              <w:left w:val="nil"/>
              <w:bottom w:val="single" w:sz="4" w:space="0" w:color="auto"/>
              <w:right w:val="single" w:sz="4" w:space="0" w:color="auto"/>
            </w:tcBorders>
            <w:vAlign w:val="center"/>
            <w:hideMark/>
          </w:tcPr>
          <w:p w14:paraId="5367ECA9" w14:textId="00A48EED"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01.06.27</w:t>
            </w:r>
          </w:p>
        </w:tc>
        <w:tc>
          <w:tcPr>
            <w:tcW w:w="1386" w:type="dxa"/>
            <w:tcBorders>
              <w:top w:val="nil"/>
              <w:left w:val="nil"/>
              <w:bottom w:val="single" w:sz="4" w:space="0" w:color="auto"/>
              <w:right w:val="single" w:sz="4" w:space="0" w:color="auto"/>
            </w:tcBorders>
            <w:vAlign w:val="center"/>
            <w:hideMark/>
          </w:tcPr>
          <w:p w14:paraId="54EEF55F" w14:textId="128A0136"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podnikateľské subjekty v oblasti hasiacich prístrojov</w:t>
            </w:r>
          </w:p>
        </w:tc>
        <w:tc>
          <w:tcPr>
            <w:tcW w:w="859" w:type="dxa"/>
            <w:tcBorders>
              <w:top w:val="nil"/>
              <w:left w:val="nil"/>
              <w:bottom w:val="single" w:sz="4" w:space="0" w:color="auto"/>
              <w:right w:val="single" w:sz="4" w:space="0" w:color="auto"/>
            </w:tcBorders>
            <w:vAlign w:val="center"/>
            <w:hideMark/>
          </w:tcPr>
          <w:p w14:paraId="6E481F84" w14:textId="37033BF6" w:rsidR="00694FEA" w:rsidRPr="00763246" w:rsidRDefault="00694FEA" w:rsidP="00694FEA">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700 </w:t>
            </w:r>
          </w:p>
        </w:tc>
        <w:tc>
          <w:tcPr>
            <w:tcW w:w="1050" w:type="dxa"/>
            <w:tcBorders>
              <w:top w:val="nil"/>
              <w:left w:val="nil"/>
              <w:bottom w:val="single" w:sz="4" w:space="0" w:color="auto"/>
              <w:right w:val="single" w:sz="4" w:space="0" w:color="auto"/>
            </w:tcBorders>
            <w:vAlign w:val="center"/>
            <w:hideMark/>
          </w:tcPr>
          <w:p w14:paraId="5FEDFB45" w14:textId="760A9510"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2 660</w:t>
            </w:r>
          </w:p>
        </w:tc>
        <w:tc>
          <w:tcPr>
            <w:tcW w:w="935" w:type="dxa"/>
            <w:tcBorders>
              <w:top w:val="nil"/>
              <w:left w:val="nil"/>
              <w:bottom w:val="single" w:sz="4" w:space="0" w:color="auto"/>
              <w:right w:val="single" w:sz="4" w:space="0" w:color="auto"/>
            </w:tcBorders>
            <w:vAlign w:val="center"/>
            <w:hideMark/>
          </w:tcPr>
          <w:p w14:paraId="47CD6AB2" w14:textId="5ECC5C38"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1 862 000</w:t>
            </w:r>
          </w:p>
        </w:tc>
        <w:tc>
          <w:tcPr>
            <w:tcW w:w="1541" w:type="dxa"/>
            <w:tcBorders>
              <w:top w:val="nil"/>
              <w:left w:val="nil"/>
              <w:bottom w:val="single" w:sz="4" w:space="0" w:color="auto"/>
              <w:right w:val="single" w:sz="4" w:space="0" w:color="auto"/>
            </w:tcBorders>
            <w:vAlign w:val="center"/>
            <w:hideMark/>
          </w:tcPr>
          <w:p w14:paraId="2E830655" w14:textId="0FB24CF5" w:rsidR="00694FEA" w:rsidRPr="00763246" w:rsidRDefault="00694FEA" w:rsidP="00694FEA">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Out (znižuje náklady)</w:t>
            </w:r>
          </w:p>
        </w:tc>
        <w:tc>
          <w:tcPr>
            <w:tcW w:w="160" w:type="dxa"/>
            <w:vAlign w:val="center"/>
            <w:hideMark/>
          </w:tcPr>
          <w:p w14:paraId="7396B248" w14:textId="77777777" w:rsidR="00694FEA" w:rsidRPr="00763246" w:rsidRDefault="00694FEA" w:rsidP="00694FEA">
            <w:pPr>
              <w:spacing w:after="0" w:line="240" w:lineRule="auto"/>
              <w:rPr>
                <w:rFonts w:ascii="Times New Roman" w:eastAsia="Times New Roman" w:hAnsi="Times New Roman" w:cs="Times New Roman"/>
                <w:sz w:val="20"/>
                <w:szCs w:val="20"/>
                <w:lang w:eastAsia="sk-SK"/>
              </w:rPr>
            </w:pPr>
          </w:p>
        </w:tc>
      </w:tr>
    </w:tbl>
    <w:p w14:paraId="046D027D" w14:textId="77777777" w:rsidR="00DC4969" w:rsidRDefault="00DC4969" w:rsidP="00054C41">
      <w:pPr>
        <w:jc w:val="both"/>
        <w:rPr>
          <w:rFonts w:ascii="Times New Roman" w:eastAsia="Calibri" w:hAnsi="Times New Roman" w:cs="Times New Roman"/>
          <w:i/>
          <w:sz w:val="24"/>
          <w:szCs w:val="24"/>
        </w:rPr>
      </w:pPr>
    </w:p>
    <w:p w14:paraId="02B8FFA4" w14:textId="77777777" w:rsidR="00A505DF" w:rsidRDefault="00A505DF" w:rsidP="00054C41">
      <w:pPr>
        <w:jc w:val="both"/>
        <w:rPr>
          <w:rFonts w:ascii="Times New Roman" w:eastAsia="Calibri" w:hAnsi="Times New Roman" w:cs="Times New Roman"/>
          <w:b/>
          <w:bCs/>
          <w:i/>
          <w:sz w:val="24"/>
          <w:szCs w:val="24"/>
        </w:rPr>
      </w:pPr>
    </w:p>
    <w:p w14:paraId="798179FB" w14:textId="77777777" w:rsidR="00E500AD" w:rsidRPr="00895898" w:rsidRDefault="00E500AD" w:rsidP="00054C41">
      <w:pPr>
        <w:jc w:val="both"/>
        <w:rPr>
          <w:rFonts w:ascii="Times New Roman" w:eastAsia="Calibri" w:hAnsi="Times New Roman" w:cs="Times New Roman"/>
          <w:b/>
          <w:bCs/>
          <w:i/>
          <w:sz w:val="24"/>
          <w:szCs w:val="24"/>
        </w:rPr>
        <w:sectPr w:rsidR="00E500AD" w:rsidRPr="00895898" w:rsidSect="00142154">
          <w:pgSz w:w="16838" w:h="11906" w:orient="landscape"/>
          <w:pgMar w:top="1417" w:right="1417" w:bottom="1417" w:left="1417" w:header="708" w:footer="708" w:gutter="0"/>
          <w:cols w:space="708"/>
          <w:docGrid w:linePitch="360"/>
        </w:sectPr>
      </w:pPr>
    </w:p>
    <w:p w14:paraId="77318665" w14:textId="77777777" w:rsidR="00054C41"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7B284DDC"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Administratívne náklady). Rozčleňte ich a vypočítajte v súlade s metodickým postupom.</w:t>
      </w:r>
    </w:p>
    <w:p w14:paraId="3542DCAA" w14:textId="3F392770" w:rsidR="004C7DC3" w:rsidRPr="00622BAC" w:rsidRDefault="008B32D1" w:rsidP="004C7DC3">
      <w:pPr>
        <w:pStyle w:val="Odsekzoznamu"/>
        <w:numPr>
          <w:ilvl w:val="0"/>
          <w:numId w:val="15"/>
        </w:numPr>
        <w:ind w:left="284" w:hanging="284"/>
        <w:jc w:val="both"/>
        <w:rPr>
          <w:rFonts w:ascii="Times New Roman" w:eastAsia="Calibri" w:hAnsi="Times New Roman" w:cs="Times New Roman"/>
          <w:b/>
          <w:color w:val="000000"/>
          <w:sz w:val="24"/>
          <w:szCs w:val="24"/>
        </w:rPr>
      </w:pPr>
      <w:r w:rsidRPr="00C123F1">
        <w:rPr>
          <w:rFonts w:ascii="Times New Roman" w:eastAsia="Calibri" w:hAnsi="Times New Roman" w:cs="Times New Roman"/>
          <w:b/>
          <w:bCs/>
          <w:i/>
          <w:sz w:val="24"/>
          <w:szCs w:val="24"/>
        </w:rPr>
        <w:t>Minimálny počet technikov požiarnej ochrany – bod 10</w:t>
      </w:r>
      <w:r>
        <w:rPr>
          <w:rFonts w:ascii="Times New Roman" w:eastAsia="Calibri" w:hAnsi="Times New Roman" w:cs="Times New Roman"/>
          <w:b/>
          <w:bCs/>
          <w:i/>
          <w:sz w:val="24"/>
          <w:szCs w:val="24"/>
        </w:rPr>
        <w:t>, § 4 písm. p)</w:t>
      </w:r>
      <w:r w:rsidRPr="00C123F1">
        <w:rPr>
          <w:rFonts w:ascii="Times New Roman" w:eastAsia="Calibri" w:hAnsi="Times New Roman" w:cs="Times New Roman"/>
          <w:b/>
          <w:bCs/>
          <w:i/>
          <w:sz w:val="24"/>
          <w:szCs w:val="24"/>
        </w:rPr>
        <w:t xml:space="preserve"> a príloha č. 1</w:t>
      </w:r>
      <w:r w:rsidR="003E0432">
        <w:rPr>
          <w:rFonts w:ascii="Times New Roman" w:eastAsia="Calibri" w:hAnsi="Times New Roman" w:cs="Times New Roman"/>
          <w:b/>
          <w:bCs/>
          <w:i/>
          <w:sz w:val="24"/>
          <w:szCs w:val="24"/>
        </w:rPr>
        <w:t>, riadok 1</w:t>
      </w:r>
      <w:r w:rsidR="00DE2F1C">
        <w:rPr>
          <w:rFonts w:ascii="Times New Roman" w:eastAsia="Calibri" w:hAnsi="Times New Roman" w:cs="Times New Roman"/>
          <w:b/>
          <w:bCs/>
          <w:i/>
          <w:sz w:val="24"/>
          <w:szCs w:val="24"/>
        </w:rPr>
        <w:t>, 2 a</w:t>
      </w:r>
      <w:r w:rsidR="003E0432">
        <w:rPr>
          <w:rFonts w:ascii="Times New Roman" w:eastAsia="Calibri" w:hAnsi="Times New Roman" w:cs="Times New Roman"/>
          <w:b/>
          <w:bCs/>
          <w:i/>
          <w:sz w:val="24"/>
          <w:szCs w:val="24"/>
        </w:rPr>
        <w:t xml:space="preserve"> 3 Tabuľky č. 2 časti 3.1.2</w:t>
      </w:r>
    </w:p>
    <w:p w14:paraId="246E6259" w14:textId="55C39183" w:rsidR="00622BAC" w:rsidRDefault="00622BAC"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Vo výpočtoch sa vychádzalo zo skutočnosti, že v súčasnosti každý podnikateľský subjekt musí mať zabezpečeného najmenej jedného </w:t>
      </w:r>
      <w:r w:rsidR="00862078">
        <w:rPr>
          <w:rFonts w:ascii="Times New Roman" w:eastAsia="Calibri" w:hAnsi="Times New Roman" w:cs="Times New Roman"/>
          <w:bCs/>
          <w:color w:val="000000"/>
          <w:sz w:val="24"/>
          <w:szCs w:val="24"/>
        </w:rPr>
        <w:t>TPO</w:t>
      </w:r>
      <w:r>
        <w:rPr>
          <w:rFonts w:ascii="Times New Roman" w:eastAsia="Calibri" w:hAnsi="Times New Roman" w:cs="Times New Roman"/>
          <w:bCs/>
          <w:color w:val="000000"/>
          <w:sz w:val="24"/>
          <w:szCs w:val="24"/>
        </w:rPr>
        <w:t>.</w:t>
      </w:r>
    </w:p>
    <w:p w14:paraId="3EE54ED6" w14:textId="42636252" w:rsidR="00622BAC" w:rsidRDefault="00622BAC"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Pri subjektoch, ktoré majú počet zamestnancov v rozmedzí 501 – 1000, tak subjekty si musia zabezpečiť ešte jedného </w:t>
      </w:r>
      <w:r w:rsidR="00862078">
        <w:rPr>
          <w:rFonts w:ascii="Times New Roman" w:eastAsia="Calibri" w:hAnsi="Times New Roman" w:cs="Times New Roman"/>
          <w:bCs/>
          <w:color w:val="000000"/>
          <w:sz w:val="24"/>
          <w:szCs w:val="24"/>
        </w:rPr>
        <w:t>TPO</w:t>
      </w:r>
      <w:r>
        <w:rPr>
          <w:rFonts w:ascii="Times New Roman" w:eastAsia="Calibri" w:hAnsi="Times New Roman" w:cs="Times New Roman"/>
          <w:bCs/>
          <w:color w:val="000000"/>
          <w:sz w:val="24"/>
          <w:szCs w:val="24"/>
        </w:rPr>
        <w:t>.</w:t>
      </w:r>
    </w:p>
    <w:p w14:paraId="7D669382" w14:textId="77D351A9" w:rsidR="00622BAC" w:rsidRDefault="00622BAC"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Pri subjektoch, ktoré majú počet zamestnancov v rozmedzí 1001 – 5000, tak subjekty si musia zabezpečiť ešte dvoch </w:t>
      </w:r>
      <w:r w:rsidR="00862078">
        <w:rPr>
          <w:rFonts w:ascii="Times New Roman" w:eastAsia="Calibri" w:hAnsi="Times New Roman" w:cs="Times New Roman"/>
          <w:bCs/>
          <w:color w:val="000000"/>
          <w:sz w:val="24"/>
          <w:szCs w:val="24"/>
        </w:rPr>
        <w:t>TPO</w:t>
      </w:r>
      <w:r>
        <w:rPr>
          <w:rFonts w:ascii="Times New Roman" w:eastAsia="Calibri" w:hAnsi="Times New Roman" w:cs="Times New Roman"/>
          <w:bCs/>
          <w:color w:val="000000"/>
          <w:sz w:val="24"/>
          <w:szCs w:val="24"/>
        </w:rPr>
        <w:t>.</w:t>
      </w:r>
    </w:p>
    <w:p w14:paraId="3A15A3DD" w14:textId="3E1F9C50" w:rsidR="00622BAC" w:rsidRDefault="00622BAC"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Pri subjektoch, ktoré majú počet zamestnancov viac ako 5001, tak si musia zabezpečiť ešte troch </w:t>
      </w:r>
      <w:r w:rsidR="00862078">
        <w:rPr>
          <w:rFonts w:ascii="Times New Roman" w:eastAsia="Calibri" w:hAnsi="Times New Roman" w:cs="Times New Roman"/>
          <w:bCs/>
          <w:color w:val="000000"/>
          <w:sz w:val="24"/>
          <w:szCs w:val="24"/>
        </w:rPr>
        <w:t>TPO</w:t>
      </w:r>
      <w:r>
        <w:rPr>
          <w:rFonts w:ascii="Times New Roman" w:eastAsia="Calibri" w:hAnsi="Times New Roman" w:cs="Times New Roman"/>
          <w:bCs/>
          <w:color w:val="000000"/>
          <w:sz w:val="24"/>
          <w:szCs w:val="24"/>
        </w:rPr>
        <w:t>.</w:t>
      </w:r>
    </w:p>
    <w:p w14:paraId="4A67C5C8" w14:textId="1E0D6371" w:rsidR="00622BAC" w:rsidRDefault="00622BAC"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Prostredníctvom internetu bolo zistené, že </w:t>
      </w:r>
      <w:r w:rsidR="00862078">
        <w:rPr>
          <w:rFonts w:ascii="Times New Roman" w:eastAsia="Calibri" w:hAnsi="Times New Roman" w:cs="Times New Roman"/>
          <w:bCs/>
          <w:color w:val="000000"/>
          <w:sz w:val="24"/>
          <w:szCs w:val="24"/>
        </w:rPr>
        <w:t>v SR je nasledovný počet subjektov:</w:t>
      </w:r>
    </w:p>
    <w:p w14:paraId="5692C5F7" w14:textId="77777777"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nad 500 zamestnancov – 400 subjektov,</w:t>
      </w:r>
    </w:p>
    <w:p w14:paraId="5325DD84" w14:textId="77777777"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nad 1000 zamestnancov – 100 subjektov,</w:t>
      </w:r>
    </w:p>
    <w:p w14:paraId="109E3C72" w14:textId="77777777"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nad 5000 zamestnancov – 40 subjektov.</w:t>
      </w:r>
    </w:p>
    <w:p w14:paraId="361418FA" w14:textId="3407C855"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Spôsob zabezpečenia technika požiarnej ochrany z pohľadu pracovno-právnych vzťahov:</w:t>
      </w:r>
    </w:p>
    <w:p w14:paraId="0F7C1607" w14:textId="630964F9"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zamestnanec v trvalom pracovnom pomere, alebo</w:t>
      </w:r>
    </w:p>
    <w:p w14:paraId="3D986612" w14:textId="54299D39"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prostredníctvom iných subjektov, ktoré poskytujú služby v oblasti ochrany pred požiarmi.</w:t>
      </w:r>
    </w:p>
    <w:p w14:paraId="11820C72" w14:textId="706119E4"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Z praxe orgánov štátneho požiarneho dozoru subjekty v drvivej väčšine si túto oblasť zabezpečujú iným subjektom poskytujúcim služby v oblasti ochrany pred požiarmi.</w:t>
      </w:r>
    </w:p>
    <w:p w14:paraId="099E3A33" w14:textId="5DBC7D21"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Prostredníctvom internetu bolo zistené, že tieto služby stoja 1000,- €/mesiac/jeden TPO.</w:t>
      </w:r>
    </w:p>
    <w:p w14:paraId="1DA705AB" w14:textId="1BB077E3" w:rsidR="00862078" w:rsidRDefault="00862078"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Z uvedeného vyplýva, že regulácia </w:t>
      </w:r>
      <w:r w:rsidR="00586649">
        <w:rPr>
          <w:rFonts w:ascii="Times New Roman" w:eastAsia="Calibri" w:hAnsi="Times New Roman" w:cs="Times New Roman"/>
          <w:bCs/>
          <w:color w:val="000000"/>
          <w:sz w:val="24"/>
          <w:szCs w:val="24"/>
        </w:rPr>
        <w:t>sa dotkne celkovo asi 540 subjektov nasledovne</w:t>
      </w:r>
    </w:p>
    <w:p w14:paraId="385CFD7E" w14:textId="5ED74DC8" w:rsidR="00586649" w:rsidRDefault="00586649"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- 400 subjektov + 1 TPO</w:t>
      </w:r>
    </w:p>
    <w:p w14:paraId="32F81639" w14:textId="1897B550" w:rsidR="00586649" w:rsidRDefault="00586649"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- 100 subjektov + 2 TPO</w:t>
      </w:r>
    </w:p>
    <w:p w14:paraId="7A2DD353" w14:textId="2C270211" w:rsidR="00586649" w:rsidRDefault="00586649" w:rsidP="00622BAC">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- 40 subjektov + 3 TP</w:t>
      </w:r>
      <w:r w:rsidR="00322129">
        <w:rPr>
          <w:rFonts w:ascii="Times New Roman" w:eastAsia="Calibri" w:hAnsi="Times New Roman" w:cs="Times New Roman"/>
          <w:bCs/>
          <w:color w:val="000000"/>
          <w:sz w:val="24"/>
          <w:szCs w:val="24"/>
        </w:rPr>
        <w:t>O</w:t>
      </w:r>
    </w:p>
    <w:p w14:paraId="3AF5F22B" w14:textId="215A0CD0" w:rsidR="008B32D1" w:rsidRDefault="00586649" w:rsidP="008B32D1">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Predmetná regulácia</w:t>
      </w:r>
      <w:r w:rsidR="00C14A56">
        <w:rPr>
          <w:rFonts w:ascii="Times New Roman" w:eastAsia="Calibri" w:hAnsi="Times New Roman" w:cs="Times New Roman"/>
          <w:bCs/>
          <w:color w:val="000000"/>
          <w:sz w:val="24"/>
          <w:szCs w:val="24"/>
        </w:rPr>
        <w:t xml:space="preserve"> bude mať negatívny aj pozitívny vplyv na podnikateľské prostredie </w:t>
      </w:r>
      <w:r>
        <w:rPr>
          <w:rFonts w:ascii="Times New Roman" w:eastAsia="Calibri" w:hAnsi="Times New Roman" w:cs="Times New Roman"/>
          <w:bCs/>
          <w:color w:val="000000"/>
          <w:sz w:val="24"/>
          <w:szCs w:val="24"/>
        </w:rPr>
        <w:t xml:space="preserve"> zároveň</w:t>
      </w:r>
      <w:r w:rsidR="00C14A56">
        <w:rPr>
          <w:rFonts w:ascii="Times New Roman" w:eastAsia="Calibri" w:hAnsi="Times New Roman" w:cs="Times New Roman"/>
          <w:bCs/>
          <w:color w:val="000000"/>
          <w:sz w:val="24"/>
          <w:szCs w:val="24"/>
        </w:rPr>
        <w:t>, nakoľko na jednej strane určité množstvo subjektov (prijímatelia poskytovaných služieb) bude vynakladať finančné prostriedky na zabezpečenie uvedenej povinnosti, ale na druhej strane prijímateľom týchto finančných prostriedkov nebude štát, ale druhá strana podnikateľských subjektov (poskytovatelia služby).</w:t>
      </w:r>
      <w:r>
        <w:rPr>
          <w:rFonts w:ascii="Times New Roman" w:eastAsia="Calibri" w:hAnsi="Times New Roman" w:cs="Times New Roman"/>
          <w:bCs/>
          <w:color w:val="000000"/>
          <w:sz w:val="24"/>
          <w:szCs w:val="24"/>
        </w:rPr>
        <w:t xml:space="preserve"> </w:t>
      </w:r>
      <w:r w:rsidR="00C14A56">
        <w:rPr>
          <w:rFonts w:ascii="Times New Roman" w:eastAsia="Calibri" w:hAnsi="Times New Roman" w:cs="Times New Roman"/>
          <w:bCs/>
          <w:color w:val="000000"/>
          <w:sz w:val="24"/>
          <w:szCs w:val="24"/>
        </w:rPr>
        <w:t xml:space="preserve">Ďalej táto regulácia </w:t>
      </w:r>
      <w:r>
        <w:rPr>
          <w:rFonts w:ascii="Times New Roman" w:eastAsia="Calibri" w:hAnsi="Times New Roman" w:cs="Times New Roman"/>
          <w:bCs/>
          <w:color w:val="000000"/>
          <w:sz w:val="24"/>
          <w:szCs w:val="24"/>
        </w:rPr>
        <w:t>bude mať okrem oblasti ochrany pred požiarmi pozitívny vplyv aj na zamestnanosť a ekonomiku subjektov poskytujúcich služby v oblasti ochrany pred požiarmi.</w:t>
      </w:r>
    </w:p>
    <w:p w14:paraId="0C44DF75" w14:textId="210C67C1" w:rsidR="00A233E3" w:rsidRDefault="00A233E3" w:rsidP="00A233E3">
      <w:pPr>
        <w:pStyle w:val="Odsekzoznamu"/>
        <w:numPr>
          <w:ilvl w:val="0"/>
          <w:numId w:val="15"/>
        </w:numPr>
        <w:ind w:left="284" w:hanging="284"/>
        <w:jc w:val="both"/>
        <w:rPr>
          <w:rFonts w:ascii="Times New Roman" w:eastAsia="Calibri" w:hAnsi="Times New Roman" w:cs="Times New Roman"/>
          <w:b/>
          <w:color w:val="000000"/>
          <w:sz w:val="24"/>
          <w:szCs w:val="24"/>
        </w:rPr>
      </w:pPr>
      <w:r w:rsidRPr="00C123F1">
        <w:rPr>
          <w:rFonts w:ascii="Times New Roman" w:eastAsia="Calibri" w:hAnsi="Times New Roman" w:cs="Times New Roman"/>
          <w:b/>
          <w:bCs/>
          <w:i/>
          <w:sz w:val="24"/>
          <w:szCs w:val="24"/>
        </w:rPr>
        <w:t>Registrácia zhotoviteľa požiarnotechnických zariadení – bod 46, § 11d (žiadosť, certifikát manažérstva kvality, poistenie, správny poplatok, zoznam podstatných komponentov, prevádzkový predpis)</w:t>
      </w:r>
      <w:r w:rsidR="00DE2F1C">
        <w:rPr>
          <w:rFonts w:ascii="Times New Roman" w:eastAsia="Calibri" w:hAnsi="Times New Roman" w:cs="Times New Roman"/>
          <w:b/>
          <w:bCs/>
          <w:i/>
          <w:sz w:val="24"/>
          <w:szCs w:val="24"/>
        </w:rPr>
        <w:t>, , riadok 4, 5, 6, 7, 8 a 9 Tabuľky č. 2 časti 3.1.2</w:t>
      </w:r>
    </w:p>
    <w:p w14:paraId="493D5336" w14:textId="77777777"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Pri výpočtoch uvedených sa vychádzalo z nasledovných údajov:</w:t>
      </w:r>
    </w:p>
    <w:p w14:paraId="50AE11F0" w14:textId="77777777"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počet subjektov, ktoré pôsobia v oblasti požiarnotechnických zariadení – 700 subjektov,</w:t>
      </w:r>
    </w:p>
    <w:p w14:paraId="40F2FD6D" w14:textId="77777777"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lastRenderedPageBreak/>
        <w:t>- priemerné ročné náklady spojené s certifikáciou manažérstva kvality (napr. ISO 9001) – 10000,- €,</w:t>
      </w:r>
    </w:p>
    <w:p w14:paraId="44F12540" w14:textId="77777777"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priemerné ročné náklady na poistenie o zodpovednosti za škodu spôsobenú svojou podnikateľskou činnosťou – 3000,- €</w:t>
      </w:r>
    </w:p>
    <w:p w14:paraId="722EDC3E" w14:textId="73F5275C"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správny poplatok jednorazový – 500,- €</w:t>
      </w:r>
      <w:r w:rsidR="00DE2F1C">
        <w:rPr>
          <w:rFonts w:ascii="Times New Roman" w:eastAsia="Calibri" w:hAnsi="Times New Roman" w:cs="Times New Roman"/>
          <w:bCs/>
          <w:color w:val="000000"/>
          <w:sz w:val="24"/>
          <w:szCs w:val="24"/>
        </w:rPr>
        <w:t>.</w:t>
      </w:r>
    </w:p>
    <w:p w14:paraId="0D532E9A" w14:textId="70C3B1C3" w:rsidR="00DE2F1C" w:rsidRPr="003108DD" w:rsidRDefault="00DE2F1C" w:rsidP="00A233E3">
      <w:pPr>
        <w:pStyle w:val="Odsekzoznamu"/>
        <w:ind w:left="284"/>
        <w:jc w:val="both"/>
        <w:rPr>
          <w:rFonts w:ascii="Times New Roman" w:eastAsia="Calibri" w:hAnsi="Times New Roman" w:cs="Times New Roman"/>
          <w:bCs/>
          <w:color w:val="FF0000"/>
          <w:sz w:val="24"/>
          <w:szCs w:val="24"/>
        </w:rPr>
      </w:pPr>
      <w:r>
        <w:rPr>
          <w:rFonts w:ascii="Times New Roman" w:eastAsia="Calibri" w:hAnsi="Times New Roman" w:cs="Times New Roman"/>
          <w:bCs/>
          <w:color w:val="000000"/>
          <w:sz w:val="24"/>
          <w:szCs w:val="24"/>
        </w:rPr>
        <w:t xml:space="preserve">Žiadosť o registráciu zhotoviteľa požiarnotechnického zariadenia ako aj </w:t>
      </w:r>
      <w:r w:rsidR="001537D8">
        <w:rPr>
          <w:rFonts w:ascii="Times New Roman" w:eastAsia="Calibri" w:hAnsi="Times New Roman" w:cs="Times New Roman"/>
          <w:bCs/>
          <w:color w:val="000000"/>
          <w:sz w:val="24"/>
          <w:szCs w:val="24"/>
        </w:rPr>
        <w:t>všetky prílohy k žiadosti (zoznam podstatných komponentov a prevádzkový predpis) sú štandardnými dokumentami, ktoré žiadateľ predloží iba jednorazovo a v elektronickej podobe.</w:t>
      </w:r>
      <w:r w:rsidR="0008496F">
        <w:rPr>
          <w:rFonts w:ascii="Times New Roman" w:eastAsia="Calibri" w:hAnsi="Times New Roman" w:cs="Times New Roman"/>
          <w:bCs/>
          <w:color w:val="000000"/>
          <w:sz w:val="24"/>
          <w:szCs w:val="24"/>
        </w:rPr>
        <w:t xml:space="preserve"> Tieto dokumenty predstavujú pre podnikateľské prostredie náklady administratívneho charakteru.</w:t>
      </w:r>
    </w:p>
    <w:p w14:paraId="0AC4281E" w14:textId="77777777"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Táto regulácia ma negatívny, ale aj pozitívny vplyv na podnikateľské prostredie, nakoľko subjekty poskytujúcich služby v oblasti požiarnotechnických zariadení budú mať priame náklady na samotnú registráciu. Z hľadiska adresnosti týchto nákladov, tak náklady spojené s poistením a zavedením certifikácie manažérstva kvality smerujú k iným podnikateľských subjektov (ostávajú v obehu podnikateľského prostredia) a adresátom správneho poplatku (jednorazovo 500,- €) je štát. Vzhľadom k tomu, že sa jedná o jednorazový správny poplatok a relatívne malý počet subjektov (cca 700), tak predpokladaný príjem do štátneho rozpočtu marginálne pozitívny (500 x 700 = 350 000,- €).</w:t>
      </w:r>
    </w:p>
    <w:p w14:paraId="2243C876" w14:textId="77777777" w:rsidR="00A233E3" w:rsidRDefault="00A233E3" w:rsidP="00A233E3">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Predmetná regulácia je aj požiadavkou AZZZ SR z dôvodu súčasného monopolného postavenia zhotoviteľov požiarnotechnických zariadení v oblasti vykonávania kontrol a opráv nimi inštalovaných požiarnotechnických zariadení. Odstránením monopolného postavenia zhotoviteľov požiarnotechnických zariadení budú môcť do určitej miery podnikateľské subjekty vykonávať obchodnú súťaž pre vykonávanie pravidelných kontrol požiarnotechnických zariadení, čo bude na druhej strane tlačiť ceny za poskytované služby smerom dole. Z uvedeného vyplýva, že uvedená regulácia bude mať v konečnom dôsledku pozitívny efekt, nakoľko subjektov, v ktorých sú inštalované požiarnotechnické zariadenia je určite viac ako subjektov pôsobiacich v oblasti požiarnotechnických zariadení.</w:t>
      </w:r>
    </w:p>
    <w:p w14:paraId="161259AE" w14:textId="2218C37A" w:rsidR="00622BAC" w:rsidRDefault="008B32D1" w:rsidP="004C7DC3">
      <w:pPr>
        <w:pStyle w:val="Odsekzoznamu"/>
        <w:numPr>
          <w:ilvl w:val="0"/>
          <w:numId w:val="15"/>
        </w:numPr>
        <w:ind w:left="284" w:hanging="284"/>
        <w:jc w:val="both"/>
        <w:rPr>
          <w:rFonts w:ascii="Times New Roman" w:eastAsia="Calibri" w:hAnsi="Times New Roman" w:cs="Times New Roman"/>
          <w:b/>
          <w:color w:val="000000"/>
          <w:sz w:val="24"/>
          <w:szCs w:val="24"/>
        </w:rPr>
      </w:pPr>
      <w:r>
        <w:rPr>
          <w:rFonts w:ascii="Times New Roman" w:eastAsia="Calibri" w:hAnsi="Times New Roman" w:cs="Times New Roman"/>
          <w:b/>
          <w:bCs/>
          <w:i/>
          <w:sz w:val="24"/>
          <w:szCs w:val="24"/>
        </w:rPr>
        <w:t>Osobitné oprávnenia na opravu a plnenie hasiacich prístrojov – bod 46, § 11c</w:t>
      </w:r>
      <w:r w:rsidR="00B571AB">
        <w:rPr>
          <w:rFonts w:ascii="Times New Roman" w:eastAsia="Calibri" w:hAnsi="Times New Roman" w:cs="Times New Roman"/>
          <w:b/>
          <w:bCs/>
          <w:i/>
          <w:sz w:val="24"/>
          <w:szCs w:val="24"/>
        </w:rPr>
        <w:t>, riadok 10 Tabuľky č. 2 časti 3.1.2</w:t>
      </w:r>
      <w:r w:rsidR="00B571AB" w:rsidRPr="00C123F1">
        <w:rPr>
          <w:rFonts w:ascii="Times New Roman" w:eastAsia="Calibri" w:hAnsi="Times New Roman" w:cs="Times New Roman"/>
          <w:b/>
          <w:bCs/>
          <w:i/>
          <w:sz w:val="24"/>
          <w:szCs w:val="24"/>
        </w:rPr>
        <w:t>.</w:t>
      </w:r>
    </w:p>
    <w:p w14:paraId="262F740D" w14:textId="14B9D1B5" w:rsidR="004A3D26" w:rsidRDefault="004A3D26" w:rsidP="004A3D26">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Pri výpočtoch sa </w:t>
      </w:r>
      <w:r w:rsidR="00A62D85">
        <w:rPr>
          <w:rFonts w:ascii="Times New Roman" w:eastAsia="Calibri" w:hAnsi="Times New Roman" w:cs="Times New Roman"/>
          <w:bCs/>
          <w:color w:val="000000"/>
          <w:sz w:val="24"/>
          <w:szCs w:val="24"/>
        </w:rPr>
        <w:t xml:space="preserve">vychádzalo z približného počtu fyzických osôb, ktoré vykonávajú opravu a plnenie hasiacich prístrojov (cca 500 - 700 osôb), približného počtu rôznych výrobcov hasiacich prístrojov (15 – 30) a približnej ceny jednej odbornej prípravy na opravu a plnenie hasiacich prístrojov (jedného výrobcu je cca </w:t>
      </w:r>
      <w:r w:rsidR="007F50D6">
        <w:rPr>
          <w:rFonts w:ascii="Times New Roman" w:eastAsia="Calibri" w:hAnsi="Times New Roman" w:cs="Times New Roman"/>
          <w:bCs/>
          <w:color w:val="000000"/>
          <w:sz w:val="24"/>
          <w:szCs w:val="24"/>
        </w:rPr>
        <w:t>7</w:t>
      </w:r>
      <w:r w:rsidR="00A62D85">
        <w:rPr>
          <w:rFonts w:ascii="Times New Roman" w:eastAsia="Calibri" w:hAnsi="Times New Roman" w:cs="Times New Roman"/>
          <w:bCs/>
          <w:color w:val="000000"/>
          <w:sz w:val="24"/>
          <w:szCs w:val="24"/>
        </w:rPr>
        <w:t>00,- €/osobu).</w:t>
      </w:r>
    </w:p>
    <w:p w14:paraId="49B4BF34" w14:textId="5E8AF1AC" w:rsidR="007F50D6" w:rsidRPr="004A3D26" w:rsidRDefault="007F50D6" w:rsidP="004A3D26">
      <w:pPr>
        <w:pStyle w:val="Odsekzoznamu"/>
        <w:ind w:left="284"/>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Týmto návrhom sa docieli to, že zruší sa monopolné postavenie výrobcov hasiacich prístrojov </w:t>
      </w:r>
      <w:r w:rsidR="00C14A56">
        <w:rPr>
          <w:rFonts w:ascii="Times New Roman" w:eastAsia="Calibri" w:hAnsi="Times New Roman" w:cs="Times New Roman"/>
          <w:bCs/>
          <w:color w:val="000000"/>
          <w:sz w:val="24"/>
          <w:szCs w:val="24"/>
        </w:rPr>
        <w:t xml:space="preserve">v oblasti opravy a plnenia hasiacich prístrojov </w:t>
      </w:r>
      <w:r>
        <w:rPr>
          <w:rFonts w:ascii="Times New Roman" w:eastAsia="Calibri" w:hAnsi="Times New Roman" w:cs="Times New Roman"/>
          <w:bCs/>
          <w:color w:val="000000"/>
          <w:sz w:val="24"/>
          <w:szCs w:val="24"/>
        </w:rPr>
        <w:t>a zväčší sa konkurencia na trhu</w:t>
      </w:r>
      <w:r w:rsidR="00C14A56">
        <w:rPr>
          <w:rFonts w:ascii="Times New Roman" w:eastAsia="Calibri" w:hAnsi="Times New Roman" w:cs="Times New Roman"/>
          <w:bCs/>
          <w:color w:val="000000"/>
          <w:sz w:val="24"/>
          <w:szCs w:val="24"/>
        </w:rPr>
        <w:t>. Primárnym vplyvom bude, že poskytovateľom tejto služby sa znížia náklady, čo by následne (sekundárne) mohlo mať vplyv na ceny poskytovanej služby.</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lastRenderedPageBreak/>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Cs/>
          <w:sz w:val="24"/>
          <w:szCs w:val="24"/>
        </w:rPr>
      </w:pPr>
    </w:p>
    <w:p w14:paraId="4AF6D539" w14:textId="1A23AE4C" w:rsidR="00C9197D" w:rsidRDefault="00C9197D"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Konzultácie s pripomienkujúcimi subjektami (v rámci zverejnenia predbežnej informácie) boli vykonané prezenčnou formou v dňoch 29.06.2026 a 13.08.2026. Pripomienkujúce subjekty sa prihlási o konzultáciu na webovom portály </w:t>
      </w:r>
      <w:hyperlink r:id="rId12" w:history="1">
        <w:r w:rsidR="006A79AA" w:rsidRPr="006A79AA">
          <w:rPr>
            <w:rStyle w:val="Hypertextovprepojenie"/>
            <w:rFonts w:ascii="Times New Roman" w:eastAsia="Calibri" w:hAnsi="Times New Roman" w:cs="Times New Roman"/>
            <w:iCs/>
            <w:sz w:val="24"/>
            <w:szCs w:val="24"/>
          </w:rPr>
          <w:t>Legislatívny proces - PI/2026/135</w:t>
        </w:r>
      </w:hyperlink>
      <w:r w:rsidR="006A79AA">
        <w:rPr>
          <w:rFonts w:ascii="Times New Roman" w:eastAsia="Calibri" w:hAnsi="Times New Roman" w:cs="Times New Roman"/>
          <w:iCs/>
          <w:sz w:val="24"/>
          <w:szCs w:val="24"/>
        </w:rPr>
        <w:t>, alebo prostredníctvom mailu.</w:t>
      </w:r>
    </w:p>
    <w:p w14:paraId="3A15243A" w14:textId="120D576E" w:rsidR="006A79AA" w:rsidRDefault="006A79AA"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Pripomienkujúcimi subjektami boli:</w:t>
      </w:r>
    </w:p>
    <w:p w14:paraId="5C779573" w14:textId="06818998" w:rsidR="006A79AA" w:rsidRDefault="006A79AA" w:rsidP="006A79AA">
      <w:pPr>
        <w:pStyle w:val="Odsekzoznamu"/>
        <w:numPr>
          <w:ilvl w:val="0"/>
          <w:numId w:val="16"/>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Asociácia priemyselných zväzov a dopravy,</w:t>
      </w:r>
    </w:p>
    <w:p w14:paraId="5582C17B" w14:textId="32884338" w:rsidR="006A79AA" w:rsidRDefault="006A79AA" w:rsidP="006A79AA">
      <w:pPr>
        <w:pStyle w:val="Odsekzoznamu"/>
        <w:numPr>
          <w:ilvl w:val="0"/>
          <w:numId w:val="16"/>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Asociácia zamestnávateľských zväzov a združení Slovenskej republiky,</w:t>
      </w:r>
    </w:p>
    <w:p w14:paraId="629A49AF" w14:textId="30877B42" w:rsidR="006A79AA" w:rsidRDefault="006A79AA" w:rsidP="006A79AA">
      <w:pPr>
        <w:pStyle w:val="Odsekzoznamu"/>
        <w:numPr>
          <w:ilvl w:val="0"/>
          <w:numId w:val="16"/>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Republiková únia zamestnávateľov Slovenskej republiky,</w:t>
      </w:r>
    </w:p>
    <w:p w14:paraId="62691EAD" w14:textId="58906A7E" w:rsidR="006A79AA" w:rsidRDefault="006A79AA" w:rsidP="006A79AA">
      <w:pPr>
        <w:pStyle w:val="Odsekzoznamu"/>
        <w:numPr>
          <w:ilvl w:val="0"/>
          <w:numId w:val="16"/>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Klub 500,</w:t>
      </w:r>
    </w:p>
    <w:p w14:paraId="020B014A" w14:textId="3752439C" w:rsidR="006A79AA" w:rsidRDefault="006A79AA" w:rsidP="006A79AA">
      <w:pPr>
        <w:pStyle w:val="Odsekzoznamu"/>
        <w:numPr>
          <w:ilvl w:val="0"/>
          <w:numId w:val="16"/>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Červený anjel, o.z.,</w:t>
      </w:r>
    </w:p>
    <w:p w14:paraId="37616A48" w14:textId="1F978897" w:rsidR="006A79AA" w:rsidRDefault="006A79AA" w:rsidP="006A79AA">
      <w:pPr>
        <w:pStyle w:val="Odsekzoznamu"/>
        <w:numPr>
          <w:ilvl w:val="0"/>
          <w:numId w:val="16"/>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Ministerstvo obrany SR.</w:t>
      </w:r>
    </w:p>
    <w:p w14:paraId="5B2A9627" w14:textId="77777777" w:rsidR="006A79AA" w:rsidRPr="006A79AA" w:rsidRDefault="006A79AA" w:rsidP="006A79AA">
      <w:pPr>
        <w:spacing w:after="0"/>
        <w:jc w:val="both"/>
        <w:rPr>
          <w:rFonts w:ascii="Times New Roman" w:eastAsia="Calibri" w:hAnsi="Times New Roman" w:cs="Times New Roman"/>
          <w:iCs/>
          <w:sz w:val="24"/>
          <w:szCs w:val="24"/>
        </w:rPr>
      </w:pPr>
    </w:p>
    <w:p w14:paraId="5450FA77" w14:textId="4DF83176" w:rsidR="006A79AA" w:rsidRPr="006A0D71" w:rsidRDefault="006A79AA"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lastRenderedPageBreak/>
        <w:t xml:space="preserve">Pre úplnosť tohto bodu 3.2 tvoria zápisy z týchto konzultácií, ktoré sú </w:t>
      </w:r>
      <w:r w:rsidR="000C1A0D">
        <w:rPr>
          <w:rFonts w:ascii="Times New Roman" w:eastAsia="Calibri" w:hAnsi="Times New Roman" w:cs="Times New Roman"/>
          <w:iCs/>
          <w:sz w:val="24"/>
          <w:szCs w:val="24"/>
        </w:rPr>
        <w:t>prílohou tohto dokumentov</w:t>
      </w:r>
      <w:r>
        <w:rPr>
          <w:rFonts w:ascii="Times New Roman" w:eastAsia="Calibri" w:hAnsi="Times New Roman" w:cs="Times New Roman"/>
          <w:iCs/>
          <w:sz w:val="24"/>
          <w:szCs w:val="24"/>
        </w:rPr>
        <w:t>.</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Default="00054C41" w:rsidP="00054C41">
      <w:pPr>
        <w:spacing w:after="0"/>
        <w:jc w:val="both"/>
        <w:rPr>
          <w:rFonts w:ascii="Times New Roman" w:eastAsia="Calibri" w:hAnsi="Times New Roman" w:cs="Times New Roman"/>
          <w:iCs/>
          <w:sz w:val="24"/>
          <w:szCs w:val="24"/>
        </w:rPr>
      </w:pPr>
    </w:p>
    <w:p w14:paraId="566574AE" w14:textId="31EFDFEC" w:rsidR="00584C36" w:rsidRDefault="00584C36"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V časti 3.1.3. Doplňujúce informácie k spôsobu výpočtu vplyvov jednotlivých regulácií na zmenu nákladov tejto Analýzy vplyvov na podnikateľské prostredie sú uvedené regulácie pod bodmi 2. a 3., ktoré okrem negatívneho vplyvu na podnikateľské prostredie majú zároveň aj </w:t>
      </w:r>
      <w:r w:rsidR="00897DCE">
        <w:rPr>
          <w:rFonts w:ascii="Times New Roman" w:eastAsia="Calibri" w:hAnsi="Times New Roman" w:cs="Times New Roman"/>
          <w:iCs/>
          <w:sz w:val="24"/>
          <w:szCs w:val="24"/>
        </w:rPr>
        <w:t>pozitívny vplyv na podnikateľské prostredie nasledovným spôsobom:</w:t>
      </w:r>
    </w:p>
    <w:p w14:paraId="6C1841AF" w14:textId="77777777" w:rsidR="00B46190" w:rsidRDefault="00B46190" w:rsidP="00054C41">
      <w:pPr>
        <w:spacing w:after="0"/>
        <w:jc w:val="both"/>
        <w:rPr>
          <w:rFonts w:ascii="Times New Roman" w:eastAsia="Calibri" w:hAnsi="Times New Roman" w:cs="Times New Roman"/>
          <w:iCs/>
          <w:sz w:val="24"/>
          <w:szCs w:val="24"/>
        </w:rPr>
      </w:pPr>
    </w:p>
    <w:p w14:paraId="192B9579" w14:textId="6A290016" w:rsidR="00897DCE" w:rsidRDefault="00B46190"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Ad 1) </w:t>
      </w:r>
      <w:r>
        <w:rPr>
          <w:rFonts w:ascii="Times New Roman" w:eastAsia="Calibri" w:hAnsi="Times New Roman" w:cs="Times New Roman"/>
          <w:bCs/>
          <w:color w:val="000000"/>
          <w:sz w:val="24"/>
          <w:szCs w:val="24"/>
        </w:rPr>
        <w:t>Predmetná regulácia bude mať negatívny aj pozitívny vplyv na podnikateľské prostredie  zároveň, nakoľko na jednej strane určité množstvo subjektov (prijímatelia poskytovaných služieb) bude vynakladať finančné prostriedky na zabezpečenie uvedenej povinnosti, ale na druhej strane prijímateľom týchto finančných prostriedkov nebude štát, ale druhá strana podnikateľských subjektov (poskytovatelia služby). Z uvedeného jednoznačne vyplýva, že všetky finančné prostriedky ostanú v podnikateľskom prostredí a nejdú do štátneho rozpočtu. Ďalej táto regulácia bude mať okrem oblasti ochrany pred požiarmi pozitívny vplyv aj na zamestnanosť a ekonomiku subjektov poskytujúcich služby v oblasti ochrany pred požiarmi.</w:t>
      </w:r>
    </w:p>
    <w:p w14:paraId="4E601264" w14:textId="35E16F67" w:rsidR="00897DCE" w:rsidRDefault="00897DCE"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Ad 2) </w:t>
      </w:r>
      <w:r>
        <w:rPr>
          <w:rFonts w:ascii="Times New Roman" w:eastAsia="Calibri" w:hAnsi="Times New Roman" w:cs="Times New Roman"/>
          <w:bCs/>
          <w:color w:val="000000"/>
          <w:sz w:val="24"/>
          <w:szCs w:val="24"/>
        </w:rPr>
        <w:t>Týmto návrhom sa docieli to, že zruší sa monopolné postavenie výrobcov hasiacich prístrojov a zväčší sa konkurencia na trhu a zároveň sa znížia náklady pre vydávané osobitné oprávnenia. Touto zmenou sa odbúrajú bariéry, ktoré dnes stoja na potrebe vlastniť osobitné oprávnenia na opravy a plnenie hasiacich prístrojov od každého jedného výrobcu hasiacich prístrojov, pričom samotné úkony opravy a plnenia hasiacich prístrojov rôznych výrobcov sú do značnej miery totožné a rozdiel tvoria iba detaily vyhotovenia jednotlivých komponentov hasiaceho prístroja,</w:t>
      </w:r>
    </w:p>
    <w:p w14:paraId="3928CAA6" w14:textId="7A480E08" w:rsidR="00897DCE" w:rsidRDefault="00897DCE"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Ad 3) </w:t>
      </w:r>
      <w:r>
        <w:rPr>
          <w:rFonts w:ascii="Times New Roman" w:eastAsia="Calibri" w:hAnsi="Times New Roman" w:cs="Times New Roman"/>
          <w:bCs/>
          <w:color w:val="000000"/>
          <w:sz w:val="24"/>
          <w:szCs w:val="24"/>
        </w:rPr>
        <w:t>Predmetná regulácia je aj požiad</w:t>
      </w:r>
      <w:r w:rsidR="00B46190">
        <w:rPr>
          <w:rFonts w:ascii="Times New Roman" w:eastAsia="Calibri" w:hAnsi="Times New Roman" w:cs="Times New Roman"/>
          <w:bCs/>
          <w:color w:val="000000"/>
          <w:sz w:val="24"/>
          <w:szCs w:val="24"/>
        </w:rPr>
        <w:t>a</w:t>
      </w:r>
      <w:r>
        <w:rPr>
          <w:rFonts w:ascii="Times New Roman" w:eastAsia="Calibri" w:hAnsi="Times New Roman" w:cs="Times New Roman"/>
          <w:bCs/>
          <w:color w:val="000000"/>
          <w:sz w:val="24"/>
          <w:szCs w:val="24"/>
        </w:rPr>
        <w:t xml:space="preserve">vkou AZZZ SR z dôvodu súčasného monopolného postavenia zhotoviteľov požiarnotechnických zariadení. Odstránením monopolného postavenia zhotoviteľov požiarnotechnických zariadení budú môcť do určitej miery podnikateľské subjekty vykonávať obchodnú súťaž pre vykonávanie pravidelných kontrol požiarnotechnických zariadení, čo bude na druhej strane tlačiť ceny za poskytované služby smerom dole. Z uvedeného vyplýva, že uvedená regulácia bude mať v konečnom dôsledku </w:t>
      </w:r>
      <w:r w:rsidR="00E730CF">
        <w:rPr>
          <w:rFonts w:ascii="Times New Roman" w:eastAsia="Calibri" w:hAnsi="Times New Roman" w:cs="Times New Roman"/>
          <w:bCs/>
          <w:color w:val="000000"/>
          <w:sz w:val="24"/>
          <w:szCs w:val="24"/>
        </w:rPr>
        <w:t>pozitívny</w:t>
      </w:r>
      <w:r>
        <w:rPr>
          <w:rFonts w:ascii="Times New Roman" w:eastAsia="Calibri" w:hAnsi="Times New Roman" w:cs="Times New Roman"/>
          <w:bCs/>
          <w:color w:val="000000"/>
          <w:sz w:val="24"/>
          <w:szCs w:val="24"/>
        </w:rPr>
        <w:t xml:space="preserve"> efekt, nakoľko subjektov, v ktorých sú inštalované požiarnotechnické zariadenia je určite viac ako subjektov pôsobiacich v oblasti požiarnotechnických zariadení.</w:t>
      </w:r>
      <w:r w:rsidR="00E730CF">
        <w:rPr>
          <w:rFonts w:ascii="Times New Roman" w:eastAsia="Calibri" w:hAnsi="Times New Roman" w:cs="Times New Roman"/>
          <w:bCs/>
          <w:color w:val="000000"/>
          <w:sz w:val="24"/>
          <w:szCs w:val="24"/>
        </w:rPr>
        <w:t xml:space="preserve"> Týmto návrhom sa do značnej miery odstráni neopodstatnená prekážka obchodnej súťaže a konkurencie na trhu.</w:t>
      </w:r>
    </w:p>
    <w:p w14:paraId="7CF1EE58" w14:textId="77777777" w:rsidR="00584C36" w:rsidRPr="00584C36" w:rsidRDefault="00584C36" w:rsidP="00054C41">
      <w:pPr>
        <w:spacing w:after="0"/>
        <w:jc w:val="both"/>
        <w:rPr>
          <w:rFonts w:ascii="Times New Roman" w:eastAsia="Calibri" w:hAnsi="Times New Roman" w:cs="Times New Roman"/>
          <w:iCs/>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3FD1F20F" w:rsidR="00054C41" w:rsidRPr="00E730CF" w:rsidRDefault="00000000" w:rsidP="00054C41">
      <w:pPr>
        <w:spacing w:after="0"/>
        <w:jc w:val="both"/>
        <w:rPr>
          <w:rFonts w:ascii="Times New Roman" w:eastAsia="Calibri" w:hAnsi="Times New Roman" w:cs="Times New Roman"/>
          <w:i/>
          <w:color w:val="FF0000"/>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305B2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53BC3EF"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305B2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04547B8F" w14:textId="77777777" w:rsidR="00054C41" w:rsidRDefault="00054C41"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228EC7F" w14:textId="77777777" w:rsidR="00305B26" w:rsidRDefault="00305B26" w:rsidP="00E730CF">
      <w:pPr>
        <w:spacing w:after="0" w:line="254" w:lineRule="auto"/>
        <w:jc w:val="both"/>
        <w:rPr>
          <w:rFonts w:ascii="Times New Roman" w:eastAsia="Calibri" w:hAnsi="Times New Roman" w:cs="Times New Roman"/>
          <w:iCs/>
          <w:sz w:val="24"/>
          <w:szCs w:val="24"/>
        </w:rPr>
      </w:pPr>
    </w:p>
    <w:p w14:paraId="60BE5143" w14:textId="77777777" w:rsidR="00F95E11" w:rsidRPr="00A84880" w:rsidRDefault="00F95E11" w:rsidP="00F95E11">
      <w:pPr>
        <w:pStyle w:val="Odsekzoznamu"/>
        <w:numPr>
          <w:ilvl w:val="0"/>
          <w:numId w:val="21"/>
        </w:numPr>
        <w:ind w:left="284" w:hanging="284"/>
        <w:jc w:val="both"/>
        <w:rPr>
          <w:rFonts w:ascii="Times New Roman" w:eastAsia="Calibri" w:hAnsi="Times New Roman" w:cs="Times New Roman"/>
          <w:bCs/>
          <w:color w:val="000000"/>
          <w:sz w:val="24"/>
          <w:szCs w:val="24"/>
        </w:rPr>
      </w:pPr>
      <w:r w:rsidRPr="00C123F1">
        <w:rPr>
          <w:rFonts w:ascii="Times New Roman" w:eastAsia="Calibri" w:hAnsi="Times New Roman" w:cs="Times New Roman"/>
          <w:b/>
          <w:bCs/>
          <w:i/>
          <w:sz w:val="24"/>
          <w:szCs w:val="24"/>
        </w:rPr>
        <w:t>Povinnosti pri stavebných úpravách a užívaní stavieb – body 29, 117 a</w:t>
      </w:r>
      <w:r>
        <w:rPr>
          <w:rFonts w:ascii="Times New Roman" w:eastAsia="Calibri" w:hAnsi="Times New Roman" w:cs="Times New Roman"/>
          <w:b/>
          <w:bCs/>
          <w:i/>
          <w:sz w:val="24"/>
          <w:szCs w:val="24"/>
        </w:rPr>
        <w:t> </w:t>
      </w:r>
      <w:r w:rsidRPr="00C123F1">
        <w:rPr>
          <w:rFonts w:ascii="Times New Roman" w:eastAsia="Calibri" w:hAnsi="Times New Roman" w:cs="Times New Roman"/>
          <w:b/>
          <w:bCs/>
          <w:i/>
          <w:sz w:val="24"/>
          <w:szCs w:val="24"/>
        </w:rPr>
        <w:t>123</w:t>
      </w:r>
    </w:p>
    <w:p w14:paraId="004063FD" w14:textId="59F59F29" w:rsidR="00F95E11" w:rsidRPr="00A84880" w:rsidRDefault="00F95E11" w:rsidP="00F95E11">
      <w:pPr>
        <w:pStyle w:val="Odsekzoznamu"/>
        <w:ind w:left="284"/>
        <w:jc w:val="both"/>
        <w:rPr>
          <w:rFonts w:ascii="Times New Roman" w:eastAsia="Calibri" w:hAnsi="Times New Roman" w:cs="Times New Roman"/>
          <w:iCs/>
          <w:color w:val="000000"/>
          <w:sz w:val="24"/>
          <w:szCs w:val="24"/>
        </w:rPr>
      </w:pPr>
      <w:r>
        <w:rPr>
          <w:rFonts w:ascii="Times New Roman" w:eastAsia="Calibri" w:hAnsi="Times New Roman" w:cs="Times New Roman"/>
          <w:iCs/>
          <w:sz w:val="24"/>
          <w:szCs w:val="24"/>
        </w:rPr>
        <w:t>Uvedená regulácia je zavedená za preverenie splnenia požiadaviek protipožiarnej bezpečnosti stavieb pri povolených a realizovaných stavieb na ohlásenie a stavebných úpravách, ktoré si orgány štátneho požiarneho dozoru. V rámci tejto regulácie je povinnosť právnickej osoby, fyzickej osoby – podnikateľa alebo fyzickej osoby požiadať orgán o vydanie osvedčenia o splnení požiadaviek protipožiarnej bezpečnosti stavieb. Dotknuté subjekty majú iba administratívnu záťaž súvisiaca s prípravou a zaslaním žiadosti orgánu štátneho požiarneho dozoru. V súčasnosti sa nedá kvantifikovať koľko bude zo strán dotknutých subjektov podaných žiadostí, čo znamená, že nedá sa relevantne vyčísliť aká záťaž to bude predstavovať pre podnikateľské prostredie.</w:t>
      </w:r>
    </w:p>
    <w:p w14:paraId="4148A2EC" w14:textId="77777777" w:rsidR="00F95E11" w:rsidRPr="0005092D" w:rsidRDefault="00F95E11" w:rsidP="00F95E11">
      <w:pPr>
        <w:pStyle w:val="Odsekzoznamu"/>
        <w:numPr>
          <w:ilvl w:val="0"/>
          <w:numId w:val="21"/>
        </w:numPr>
        <w:ind w:left="284" w:hanging="284"/>
        <w:jc w:val="both"/>
        <w:rPr>
          <w:rFonts w:ascii="Times New Roman" w:eastAsia="Calibri" w:hAnsi="Times New Roman" w:cs="Times New Roman"/>
          <w:bCs/>
          <w:color w:val="000000"/>
          <w:sz w:val="24"/>
          <w:szCs w:val="24"/>
        </w:rPr>
      </w:pPr>
      <w:r w:rsidRPr="00C123F1">
        <w:rPr>
          <w:rFonts w:ascii="Times New Roman" w:eastAsia="Calibri" w:hAnsi="Times New Roman" w:cs="Times New Roman"/>
          <w:b/>
          <w:bCs/>
          <w:i/>
          <w:sz w:val="24"/>
          <w:szCs w:val="24"/>
        </w:rPr>
        <w:t>Zriadenie protipožiarnej hliadky právnickej osoby v prevádzkach právnický osôb a fyzických osôb – podnikateľov s viac ako 20 zamestnancami (na prevádzke) – bod 54, § 13 ods. 1 ods. 1 písm. d)</w:t>
      </w:r>
    </w:p>
    <w:p w14:paraId="1A9F128D" w14:textId="60582D61" w:rsidR="00F95E11" w:rsidRPr="0005092D" w:rsidRDefault="00F95E11" w:rsidP="00F95E11">
      <w:pPr>
        <w:pStyle w:val="Odsekzoznamu"/>
        <w:ind w:left="284"/>
        <w:jc w:val="both"/>
        <w:rPr>
          <w:rFonts w:ascii="Times New Roman" w:eastAsia="Calibri" w:hAnsi="Times New Roman" w:cs="Times New Roman"/>
          <w:iCs/>
          <w:color w:val="000000"/>
          <w:sz w:val="24"/>
          <w:szCs w:val="24"/>
        </w:rPr>
      </w:pPr>
      <w:r>
        <w:rPr>
          <w:rFonts w:ascii="Times New Roman" w:eastAsia="Calibri" w:hAnsi="Times New Roman" w:cs="Times New Roman"/>
          <w:iCs/>
          <w:sz w:val="24"/>
          <w:szCs w:val="24"/>
        </w:rPr>
        <w:t xml:space="preserve">Zriadenie protipožiarnej hliadky právnickej osoby sa dotkne podnikateľských subjektov v minimálnej miere, nakoľko táto regulácia prinesie zmenu určitých procesov a miernu administratívnu záťaž. Zmena procesov spočíva v tom, že zo zamestnancov sa určí zloženie protipožiarnej hliadky právnickej osoby, ktorej členom technik požiarnej ochrany zabezpečí odbornú prípravu. Členovia protipožiarnej hliadky sú riadny zamestnanci podnikateľského subjektu, čo znamená, že neprináša to žiadne náklady spojené s prijatím nových zamestnancov a tým pádom náklady mzdy a odvody. Administratívne náklady spočívajú v príprave dokumentácie pre vykonanie odbornej prípravy členov protipožiarnej hliadky a vykonanie samotnej odbornej prípravy, pričom celková časová dotácia sa odhaduje na cca </w:t>
      </w:r>
      <w:r>
        <w:rPr>
          <w:rFonts w:ascii="Times New Roman" w:eastAsia="Calibri" w:hAnsi="Times New Roman" w:cs="Times New Roman"/>
          <w:iCs/>
          <w:sz w:val="24"/>
          <w:szCs w:val="24"/>
        </w:rPr>
        <w:lastRenderedPageBreak/>
        <w:t>240 minút. Hasičský a záchranný zbor nedisponuje relatívne presným počtom dotknutých subjektov a z tohto dôvodu vyčíslenie reálnych nákladov nie je realizovateľné.</w:t>
      </w:r>
    </w:p>
    <w:p w14:paraId="639772C7" w14:textId="77777777" w:rsidR="00F95E11" w:rsidRPr="00FE566D" w:rsidRDefault="00F95E11" w:rsidP="00F95E11">
      <w:pPr>
        <w:pStyle w:val="Odsekzoznamu"/>
        <w:numPr>
          <w:ilvl w:val="0"/>
          <w:numId w:val="21"/>
        </w:numPr>
        <w:ind w:left="284" w:hanging="284"/>
        <w:jc w:val="both"/>
        <w:rPr>
          <w:rFonts w:ascii="Times New Roman" w:eastAsia="Calibri" w:hAnsi="Times New Roman" w:cs="Times New Roman"/>
          <w:bCs/>
          <w:color w:val="000000"/>
          <w:sz w:val="24"/>
          <w:szCs w:val="24"/>
        </w:rPr>
      </w:pPr>
      <w:r w:rsidRPr="00C123F1">
        <w:rPr>
          <w:rFonts w:ascii="Times New Roman" w:eastAsia="Calibri" w:hAnsi="Times New Roman" w:cs="Times New Roman"/>
          <w:b/>
          <w:bCs/>
          <w:i/>
          <w:sz w:val="24"/>
          <w:szCs w:val="24"/>
        </w:rPr>
        <w:t>Sankcie – bod 158, § 59, 61 a</w:t>
      </w:r>
      <w:r>
        <w:rPr>
          <w:rFonts w:ascii="Times New Roman" w:eastAsia="Calibri" w:hAnsi="Times New Roman" w:cs="Times New Roman"/>
          <w:b/>
          <w:bCs/>
          <w:i/>
          <w:sz w:val="24"/>
          <w:szCs w:val="24"/>
        </w:rPr>
        <w:t> </w:t>
      </w:r>
      <w:r w:rsidRPr="00C123F1">
        <w:rPr>
          <w:rFonts w:ascii="Times New Roman" w:eastAsia="Calibri" w:hAnsi="Times New Roman" w:cs="Times New Roman"/>
          <w:b/>
          <w:bCs/>
          <w:i/>
          <w:sz w:val="24"/>
          <w:szCs w:val="24"/>
        </w:rPr>
        <w:t>62</w:t>
      </w:r>
    </w:p>
    <w:p w14:paraId="441B280A" w14:textId="77777777" w:rsidR="00F95E11" w:rsidRDefault="00F95E11" w:rsidP="00F95E11">
      <w:pPr>
        <w:pStyle w:val="Odsekzoznamu"/>
        <w:ind w:left="284"/>
        <w:jc w:val="both"/>
        <w:rPr>
          <w:rFonts w:ascii="Times New Roman" w:eastAsia="Calibri" w:hAnsi="Times New Roman" w:cs="Times New Roman"/>
          <w:iCs/>
          <w:sz w:val="24"/>
          <w:szCs w:val="24"/>
        </w:rPr>
      </w:pPr>
      <w:r>
        <w:rPr>
          <w:rFonts w:ascii="Times New Roman" w:eastAsia="Calibri" w:hAnsi="Times New Roman" w:cs="Times New Roman"/>
          <w:iCs/>
          <w:sz w:val="24"/>
          <w:szCs w:val="24"/>
        </w:rPr>
        <w:t>Zmena v časti sankcií neznamená automaticky zvýšené náklady pre podnikateľské prostredie. Je úplne prirodzené konať v súlade s právnym poriadok a neporušovať. Zmena tejto regulácia má práve podnikateľskému subjektu jasne povedať, že pri ktorom porušení mu bude orgánom štátneho požiarneho dozoru. Odstránením slova „môže“ nastane právna istota a bude to mať za následok vyvarovať sa porušovať zákon o ochrane pred požiarmi zo strany podnikateľských subjektov. Z hľadiska analýzy vplyvu na podnikateľské prostredie dnes nevieme predikovať mieru a závažnosť porušení predpisov na úseku ochrany pred požiarmi a z uvedeného dôvodu jediný náklad, ktorý vzniká s touto reguláciou je administratívny, ktorý spočíva v oboznámení sa s reguláciou.</w:t>
      </w:r>
    </w:p>
    <w:p w14:paraId="6EB01913" w14:textId="77777777" w:rsidR="00F95E11" w:rsidRPr="00412328" w:rsidRDefault="00F95E11" w:rsidP="00F95E11">
      <w:pPr>
        <w:spacing w:after="0" w:line="254" w:lineRule="auto"/>
        <w:jc w:val="both"/>
        <w:rPr>
          <w:rFonts w:ascii="Times New Roman" w:eastAsia="Calibri" w:hAnsi="Times New Roman" w:cs="Times New Roman"/>
          <w:iCs/>
          <w:sz w:val="24"/>
          <w:szCs w:val="24"/>
        </w:rPr>
      </w:pPr>
      <w:r w:rsidRPr="00412328">
        <w:rPr>
          <w:rFonts w:ascii="Times New Roman" w:eastAsia="Calibri" w:hAnsi="Times New Roman" w:cs="Times New Roman"/>
          <w:iCs/>
          <w:sz w:val="24"/>
          <w:szCs w:val="24"/>
        </w:rPr>
        <w:t>Zmeny oproti súčasnému stavu:</w:t>
      </w:r>
    </w:p>
    <w:p w14:paraId="74BEE0C4" w14:textId="77777777" w:rsidR="00F95E11" w:rsidRPr="00412328" w:rsidRDefault="00F95E11" w:rsidP="00F95E11">
      <w:pPr>
        <w:pStyle w:val="Odsekzoznamu"/>
        <w:numPr>
          <w:ilvl w:val="0"/>
          <w:numId w:val="17"/>
        </w:numPr>
        <w:spacing w:after="0" w:line="254" w:lineRule="auto"/>
        <w:jc w:val="both"/>
        <w:rPr>
          <w:rFonts w:ascii="Times New Roman" w:eastAsia="Calibri" w:hAnsi="Times New Roman" w:cs="Times New Roman"/>
          <w:iCs/>
          <w:sz w:val="24"/>
          <w:szCs w:val="24"/>
        </w:rPr>
      </w:pPr>
      <w:r w:rsidRPr="00412328">
        <w:rPr>
          <w:rFonts w:ascii="Times New Roman" w:hAnsi="Times New Roman" w:cs="Times New Roman"/>
          <w:sz w:val="24"/>
          <w:szCs w:val="24"/>
        </w:rPr>
        <w:t>V úvodných ustanoveniach § 59 ods. 1 až 6 sa odstráni slovné spojenie „môže“, čím dôjde k povinnosti orgánu štátnej správy na úseku ochrany pred požiarmi uložiť pokutu subjektu za neplnenie povinností na úseku ochrany pred požiarmi,</w:t>
      </w:r>
    </w:p>
    <w:p w14:paraId="59C1AA93" w14:textId="77777777" w:rsidR="00F95E11" w:rsidRPr="00412328" w:rsidRDefault="00F95E11" w:rsidP="00F95E11">
      <w:pPr>
        <w:pStyle w:val="Odsekzoznamu"/>
        <w:numPr>
          <w:ilvl w:val="0"/>
          <w:numId w:val="17"/>
        </w:numPr>
        <w:spacing w:after="0" w:line="254" w:lineRule="auto"/>
        <w:jc w:val="both"/>
        <w:rPr>
          <w:rFonts w:ascii="Times New Roman" w:eastAsia="Calibri" w:hAnsi="Times New Roman" w:cs="Times New Roman"/>
          <w:iCs/>
          <w:sz w:val="24"/>
          <w:szCs w:val="24"/>
        </w:rPr>
      </w:pPr>
      <w:r w:rsidRPr="00412328">
        <w:rPr>
          <w:rFonts w:ascii="Times New Roman" w:hAnsi="Times New Roman" w:cs="Times New Roman"/>
          <w:sz w:val="24"/>
          <w:szCs w:val="24"/>
        </w:rPr>
        <w:t>Zmeny vo výške pokút, pričom sa určuje dolná a horná hranica pokuty. V súčasnom stave nie je určené dolná hranica pokuty.</w:t>
      </w:r>
    </w:p>
    <w:p w14:paraId="6F677FCB" w14:textId="77777777" w:rsidR="00F95E11" w:rsidRDefault="00F95E11" w:rsidP="00F95E11">
      <w:pPr>
        <w:spacing w:after="0" w:line="254" w:lineRule="auto"/>
        <w:ind w:left="284"/>
        <w:jc w:val="both"/>
        <w:rPr>
          <w:rFonts w:ascii="Times New Roman" w:hAnsi="Times New Roman" w:cs="Times New Roman"/>
          <w:sz w:val="24"/>
          <w:szCs w:val="24"/>
          <w:lang w:eastAsia="sk-SK"/>
        </w:rPr>
      </w:pPr>
      <w:r w:rsidRPr="00412328">
        <w:rPr>
          <w:rFonts w:ascii="Times New Roman" w:eastAsia="Calibri" w:hAnsi="Times New Roman" w:cs="Times New Roman"/>
          <w:iCs/>
          <w:sz w:val="24"/>
          <w:szCs w:val="24"/>
        </w:rPr>
        <w:t>V súčasnosti nie je možné kvantifikovať vplyv na počet a výšku uložených pokút a z uvedeného dôvodu bola v „Doložke vybraných vplyvov“ uvedená požiadavka na preskúmanie účelnosti za 5 rokov od účinnosti tejto zmeny zákona (v roku 2032), ktorá bude vyhodnotená v p</w:t>
      </w:r>
      <w:r w:rsidRPr="00412328">
        <w:rPr>
          <w:rFonts w:ascii="Times New Roman" w:hAnsi="Times New Roman" w:cs="Times New Roman"/>
          <w:sz w:val="24"/>
          <w:szCs w:val="24"/>
          <w:lang w:eastAsia="sk-SK"/>
        </w:rPr>
        <w:t>očte uložených pokút a ich priemernej výške v porovnaní s obdobím pred účinnosťou novely zákona.</w:t>
      </w:r>
    </w:p>
    <w:p w14:paraId="709E8A26" w14:textId="77777777" w:rsidR="00F95E11" w:rsidRDefault="00F95E11" w:rsidP="00F95E11">
      <w:pPr>
        <w:spacing w:after="0" w:line="254" w:lineRule="auto"/>
        <w:ind w:left="284"/>
        <w:jc w:val="both"/>
        <w:rPr>
          <w:rFonts w:ascii="Times New Roman" w:hAnsi="Times New Roman" w:cs="Times New Roman"/>
          <w:sz w:val="24"/>
          <w:szCs w:val="24"/>
          <w:lang w:eastAsia="sk-SK"/>
        </w:rPr>
      </w:pPr>
      <w:r>
        <w:rPr>
          <w:rFonts w:ascii="Times New Roman" w:hAnsi="Times New Roman" w:cs="Times New Roman"/>
          <w:sz w:val="24"/>
          <w:szCs w:val="24"/>
          <w:lang w:eastAsia="sk-SK"/>
        </w:rPr>
        <w:t>Pri tejto regulácii je nutné uviesť, že výška pokút sa od nadobudnutia účinnosti zákona</w:t>
      </w:r>
      <w:r>
        <w:rPr>
          <w:rFonts w:ascii="Times New Roman" w:hAnsi="Times New Roman" w:cs="Times New Roman"/>
          <w:sz w:val="24"/>
          <w:szCs w:val="24"/>
          <w:lang w:eastAsia="sk-SK"/>
        </w:rPr>
        <w:br/>
        <w:t>č. 314/2001 Z. z. o ochrane pred požiarmi v znení neskorších predpisov nemenila a je pôvodná. Pri stanovení výšky pokút bol vykonaný aj prieskum výšky pokút v okolitých štátoch, pri ktorom bolo zistené, že stanovená v tejto novele zákona je približne na rovnakej úrovni ako v okolitých štátoch, pričom výška je závislá od závažnosti porušenia predpisov na úseku ochrany pred požiarmi.</w:t>
      </w:r>
    </w:p>
    <w:p w14:paraId="1D5B7EF5" w14:textId="77777777" w:rsidR="00F95E11" w:rsidRPr="00D73BE6" w:rsidRDefault="00F95E11" w:rsidP="00F95E11">
      <w:pPr>
        <w:pStyle w:val="Odsekzoznamu"/>
        <w:ind w:left="284"/>
        <w:jc w:val="both"/>
        <w:rPr>
          <w:rFonts w:ascii="Times New Roman" w:eastAsia="Calibri" w:hAnsi="Times New Roman" w:cs="Times New Roman"/>
          <w:iCs/>
          <w:sz w:val="24"/>
          <w:szCs w:val="24"/>
        </w:rPr>
      </w:pPr>
    </w:p>
    <w:p w14:paraId="60DBE91D" w14:textId="77777777" w:rsidR="00F95E11" w:rsidRPr="00D73BE6" w:rsidRDefault="00F95E11" w:rsidP="00F95E11">
      <w:pPr>
        <w:pStyle w:val="Odsekzoznamu"/>
        <w:numPr>
          <w:ilvl w:val="0"/>
          <w:numId w:val="21"/>
        </w:numPr>
        <w:ind w:left="284" w:hanging="284"/>
        <w:jc w:val="both"/>
        <w:rPr>
          <w:rFonts w:ascii="Times New Roman" w:eastAsia="Calibri" w:hAnsi="Times New Roman" w:cs="Times New Roman"/>
          <w:bCs/>
          <w:color w:val="000000"/>
          <w:sz w:val="24"/>
          <w:szCs w:val="24"/>
        </w:rPr>
      </w:pPr>
      <w:r w:rsidRPr="00D73BE6">
        <w:rPr>
          <w:rFonts w:ascii="Times New Roman" w:eastAsia="Calibri" w:hAnsi="Times New Roman" w:cs="Times New Roman"/>
          <w:b/>
          <w:bCs/>
          <w:i/>
          <w:sz w:val="24"/>
          <w:szCs w:val="24"/>
        </w:rPr>
        <w:t>Zaslanie operatívnej karty na príslušné okresné riaditeľstvo – bod 11, § 4 písm. q)</w:t>
      </w:r>
    </w:p>
    <w:p w14:paraId="7B762232" w14:textId="35AAAD14" w:rsidR="00F95E11" w:rsidRDefault="00F95E11" w:rsidP="001E2B82">
      <w:pPr>
        <w:pStyle w:val="Odsekzoznamu"/>
        <w:ind w:left="284"/>
        <w:jc w:val="both"/>
        <w:rPr>
          <w:rFonts w:ascii="Times New Roman" w:eastAsia="Calibri" w:hAnsi="Times New Roman" w:cs="Times New Roman"/>
          <w:bCs/>
          <w:color w:val="000000"/>
          <w:sz w:val="24"/>
          <w:szCs w:val="24"/>
        </w:rPr>
      </w:pPr>
      <w:r w:rsidRPr="00D73BE6">
        <w:rPr>
          <w:rFonts w:ascii="Times New Roman" w:eastAsia="Calibri" w:hAnsi="Times New Roman" w:cs="Times New Roman"/>
          <w:bCs/>
          <w:color w:val="000000"/>
          <w:sz w:val="24"/>
          <w:szCs w:val="24"/>
        </w:rPr>
        <w:t>Nová povinnosť právnických osôb a fyzických osôb – podnikateľov neprináša žiadne enormné finančné náklady pre podnikateľské subjekty, nakoľko tento druh dokumentácie ochrany pred požiarmi bude spracovávať technik požiarnej ochrany, ktorý pôsobí v podnikateľských subjektoch. Zasielanie bude realizované elektronicky (e-schránka a mail).</w:t>
      </w:r>
      <w:r>
        <w:rPr>
          <w:rFonts w:ascii="Times New Roman" w:eastAsia="Calibri" w:hAnsi="Times New Roman" w:cs="Times New Roman"/>
          <w:bCs/>
          <w:color w:val="000000"/>
          <w:sz w:val="24"/>
          <w:szCs w:val="24"/>
        </w:rPr>
        <w:t xml:space="preserve"> Počet dotknutých subjektov (prevádzok) nie je možné identifikovať a z uvedeného dôvodu je vyčíslenie nákladov pre podnikateľské subjekty nerealizovateľné.</w:t>
      </w:r>
    </w:p>
    <w:p w14:paraId="1A7C39B3" w14:textId="77777777" w:rsidR="00545B52" w:rsidRDefault="00545B52" w:rsidP="001E2B82">
      <w:pPr>
        <w:pStyle w:val="Odsekzoznamu"/>
        <w:ind w:left="284"/>
        <w:jc w:val="both"/>
        <w:rPr>
          <w:rFonts w:ascii="Times New Roman" w:eastAsia="Calibri" w:hAnsi="Times New Roman" w:cs="Times New Roman"/>
          <w:bCs/>
          <w:color w:val="000000"/>
          <w:sz w:val="24"/>
          <w:szCs w:val="24"/>
        </w:rPr>
      </w:pPr>
    </w:p>
    <w:p w14:paraId="5F8230EE" w14:textId="2CFB1157" w:rsidR="00545B52" w:rsidRPr="00545B52" w:rsidRDefault="00545B52" w:rsidP="00545B52">
      <w:pPr>
        <w:pStyle w:val="Odsekzoznamu"/>
        <w:numPr>
          <w:ilvl w:val="0"/>
          <w:numId w:val="21"/>
        </w:numPr>
        <w:ind w:left="284" w:hanging="284"/>
        <w:jc w:val="both"/>
        <w:rPr>
          <w:rFonts w:ascii="Times New Roman" w:eastAsia="Calibri" w:hAnsi="Times New Roman" w:cs="Times New Roman"/>
          <w:bCs/>
          <w:color w:val="000000"/>
          <w:sz w:val="24"/>
          <w:szCs w:val="24"/>
        </w:rPr>
      </w:pPr>
      <w:r>
        <w:rPr>
          <w:rFonts w:ascii="Times New Roman" w:eastAsia="Calibri" w:hAnsi="Times New Roman" w:cs="Times New Roman"/>
          <w:b/>
          <w:bCs/>
          <w:i/>
          <w:sz w:val="24"/>
          <w:szCs w:val="24"/>
        </w:rPr>
        <w:t>Cvičný požiarny poplach</w:t>
      </w:r>
      <w:r w:rsidRPr="00D73BE6">
        <w:rPr>
          <w:rFonts w:ascii="Times New Roman" w:eastAsia="Calibri" w:hAnsi="Times New Roman" w:cs="Times New Roman"/>
          <w:b/>
          <w:bCs/>
          <w:i/>
          <w:sz w:val="24"/>
          <w:szCs w:val="24"/>
        </w:rPr>
        <w:t xml:space="preserve"> –</w:t>
      </w:r>
      <w:r>
        <w:rPr>
          <w:rFonts w:ascii="Times New Roman" w:eastAsia="Calibri" w:hAnsi="Times New Roman" w:cs="Times New Roman"/>
          <w:b/>
          <w:bCs/>
          <w:i/>
          <w:sz w:val="24"/>
          <w:szCs w:val="24"/>
        </w:rPr>
        <w:t xml:space="preserve"> </w:t>
      </w:r>
      <w:r w:rsidRPr="00D73BE6">
        <w:rPr>
          <w:rFonts w:ascii="Times New Roman" w:eastAsia="Calibri" w:hAnsi="Times New Roman" w:cs="Times New Roman"/>
          <w:b/>
          <w:bCs/>
          <w:i/>
          <w:sz w:val="24"/>
          <w:szCs w:val="24"/>
        </w:rPr>
        <w:t xml:space="preserve">§ </w:t>
      </w:r>
      <w:r>
        <w:rPr>
          <w:rFonts w:ascii="Times New Roman" w:eastAsia="Calibri" w:hAnsi="Times New Roman" w:cs="Times New Roman"/>
          <w:b/>
          <w:bCs/>
          <w:i/>
          <w:sz w:val="24"/>
          <w:szCs w:val="24"/>
        </w:rPr>
        <w:t>5</w:t>
      </w:r>
      <w:r w:rsidRPr="00D73BE6">
        <w:rPr>
          <w:rFonts w:ascii="Times New Roman" w:eastAsia="Calibri" w:hAnsi="Times New Roman" w:cs="Times New Roman"/>
          <w:b/>
          <w:bCs/>
          <w:i/>
          <w:sz w:val="24"/>
          <w:szCs w:val="24"/>
        </w:rPr>
        <w:t xml:space="preserve"> písm. </w:t>
      </w:r>
      <w:r>
        <w:rPr>
          <w:rFonts w:ascii="Times New Roman" w:eastAsia="Calibri" w:hAnsi="Times New Roman" w:cs="Times New Roman"/>
          <w:b/>
          <w:bCs/>
          <w:i/>
          <w:sz w:val="24"/>
          <w:szCs w:val="24"/>
        </w:rPr>
        <w:t>e</w:t>
      </w:r>
      <w:r w:rsidRPr="00D73BE6">
        <w:rPr>
          <w:rFonts w:ascii="Times New Roman" w:eastAsia="Calibri" w:hAnsi="Times New Roman" w:cs="Times New Roman"/>
          <w:b/>
          <w:bCs/>
          <w:i/>
          <w:sz w:val="24"/>
          <w:szCs w:val="24"/>
        </w:rPr>
        <w:t>)</w:t>
      </w:r>
    </w:p>
    <w:p w14:paraId="5FDDD222" w14:textId="2B750D3C" w:rsidR="00545B52" w:rsidRDefault="00545B52" w:rsidP="00545B52">
      <w:pPr>
        <w:pStyle w:val="Odsekzoznamu"/>
        <w:ind w:left="284"/>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Úmyslom danej kompetencie je </w:t>
      </w:r>
      <w:r w:rsidR="0003479D">
        <w:rPr>
          <w:rFonts w:ascii="Times New Roman" w:eastAsia="Calibri" w:hAnsi="Times New Roman" w:cs="Times New Roman"/>
          <w:iCs/>
          <w:sz w:val="24"/>
          <w:szCs w:val="24"/>
        </w:rPr>
        <w:t xml:space="preserve">nariaďovať cvičný požiarny poplach mimo lehoty raz za 12 mesiacov v tých prípadoch ak je zjavné, že podnikateľský subjekt opakovane porušuje povinnosti v oblasti zabezpečenia trvalej voľnosti únikových ciest a u subjektov, v ktorého objektoch sa nachádzajú osoby s obmedzenou schopnosťou pohybu alebo osoby neschopné samostatného pohybu. Cvičný požiarny poplach sa vykoná za plnej a plynulej prevádzky podnikateľského subjektu a za účasti prítomných zamestnancov. Tak ako samotný cvičný požiarny poplach v lehote raz za 12 mesiacov nepredstavuje pre podnikateľský subjekt </w:t>
      </w:r>
      <w:r w:rsidR="0003479D">
        <w:rPr>
          <w:rFonts w:ascii="Times New Roman" w:eastAsia="Calibri" w:hAnsi="Times New Roman" w:cs="Times New Roman"/>
          <w:iCs/>
          <w:sz w:val="24"/>
          <w:szCs w:val="24"/>
        </w:rPr>
        <w:lastRenderedPageBreak/>
        <w:t>priame a nepriame finančné náklady, tak ani kratšia lehota nebude predstavovať žiadne priame či nepriame finančné náklady.</w:t>
      </w:r>
    </w:p>
    <w:p w14:paraId="6BE9159C" w14:textId="77777777" w:rsidR="0003479D" w:rsidRPr="00545B52" w:rsidRDefault="0003479D" w:rsidP="00545B52">
      <w:pPr>
        <w:pStyle w:val="Odsekzoznamu"/>
        <w:ind w:left="284"/>
        <w:jc w:val="both"/>
        <w:rPr>
          <w:rFonts w:ascii="Times New Roman" w:eastAsia="Calibri" w:hAnsi="Times New Roman" w:cs="Times New Roman"/>
          <w:iCs/>
          <w:color w:val="000000"/>
          <w:sz w:val="24"/>
          <w:szCs w:val="24"/>
        </w:rPr>
      </w:pPr>
    </w:p>
    <w:p w14:paraId="239D5CDA" w14:textId="1DB49D64" w:rsidR="00545B52" w:rsidRPr="0003479D" w:rsidRDefault="00545B52" w:rsidP="00545B52">
      <w:pPr>
        <w:pStyle w:val="Odsekzoznamu"/>
        <w:numPr>
          <w:ilvl w:val="0"/>
          <w:numId w:val="21"/>
        </w:numPr>
        <w:ind w:left="284" w:hanging="284"/>
        <w:jc w:val="both"/>
        <w:rPr>
          <w:rFonts w:ascii="Times New Roman" w:eastAsia="Calibri" w:hAnsi="Times New Roman" w:cs="Times New Roman"/>
          <w:bCs/>
          <w:color w:val="000000"/>
          <w:sz w:val="24"/>
          <w:szCs w:val="24"/>
        </w:rPr>
      </w:pPr>
      <w:r>
        <w:rPr>
          <w:rFonts w:ascii="Times New Roman" w:eastAsia="Calibri" w:hAnsi="Times New Roman" w:cs="Times New Roman"/>
          <w:b/>
          <w:bCs/>
          <w:i/>
          <w:sz w:val="24"/>
          <w:szCs w:val="24"/>
        </w:rPr>
        <w:t>Obsluha evakuačného a požiarneho výťahu - § 5 písm. k)</w:t>
      </w:r>
    </w:p>
    <w:p w14:paraId="54B51C50" w14:textId="181F5863" w:rsidR="0003479D" w:rsidRPr="0003479D" w:rsidRDefault="0003479D" w:rsidP="0003479D">
      <w:pPr>
        <w:pStyle w:val="Odsekzoznamu"/>
        <w:ind w:left="284"/>
        <w:jc w:val="both"/>
        <w:rPr>
          <w:rFonts w:ascii="Times New Roman" w:eastAsia="Calibri" w:hAnsi="Times New Roman" w:cs="Times New Roman"/>
          <w:iCs/>
          <w:color w:val="000000"/>
          <w:sz w:val="24"/>
          <w:szCs w:val="24"/>
        </w:rPr>
      </w:pPr>
      <w:r>
        <w:rPr>
          <w:rFonts w:ascii="Times New Roman" w:eastAsia="Calibri" w:hAnsi="Times New Roman" w:cs="Times New Roman"/>
          <w:iCs/>
          <w:sz w:val="24"/>
          <w:szCs w:val="24"/>
        </w:rPr>
        <w:t xml:space="preserve">Obsluha týchto výťahov nemusí mať žiadnu odbornú spôsobilosť </w:t>
      </w:r>
      <w:r w:rsidR="002C5B40">
        <w:rPr>
          <w:rFonts w:ascii="Times New Roman" w:eastAsia="Calibri" w:hAnsi="Times New Roman" w:cs="Times New Roman"/>
          <w:iCs/>
          <w:sz w:val="24"/>
          <w:szCs w:val="24"/>
        </w:rPr>
        <w:t>z čoho je zrejmé, že ju môže vykonávať zamestnanec podnikateľského subjektu podľa návodu na obsluhu evakuačného resp. požiarneho výťahu. V tejto súvislosti zamestnávateľ nebude vynakladať žiadne finančné náklady pre prijatie nového zamestnanca, ktorý by poprípade mal nejakú odbornú spôsobilosť.</w:t>
      </w:r>
    </w:p>
    <w:p w14:paraId="2D5587F4" w14:textId="77777777" w:rsidR="00C84C08" w:rsidRDefault="00C84C08" w:rsidP="002C74A9">
      <w:pPr>
        <w:spacing w:line="254" w:lineRule="auto"/>
        <w:jc w:val="both"/>
        <w:rPr>
          <w:rFonts w:ascii="Times New Roman" w:hAnsi="Times New Roman" w:cs="Times New Roman"/>
          <w:color w:val="FF0000"/>
          <w:sz w:val="24"/>
          <w:szCs w:val="24"/>
          <w:lang w:eastAsia="sk-SK"/>
        </w:rPr>
      </w:pPr>
    </w:p>
    <w:p w14:paraId="0C75C1FD" w14:textId="77777777" w:rsidR="00C84C08" w:rsidRPr="002C74A9" w:rsidRDefault="00C84C08" w:rsidP="002C74A9">
      <w:pPr>
        <w:spacing w:line="254" w:lineRule="auto"/>
        <w:jc w:val="both"/>
        <w:rPr>
          <w:rFonts w:ascii="Times New Roman" w:hAnsi="Times New Roman" w:cs="Times New Roman"/>
          <w:sz w:val="24"/>
          <w:szCs w:val="24"/>
          <w:lang w:eastAsia="sk-SK"/>
        </w:rPr>
      </w:pPr>
    </w:p>
    <w:p w14:paraId="424DBDFC" w14:textId="3460A44B" w:rsidR="00B21D1F" w:rsidRDefault="00B21D1F" w:rsidP="002C74A9">
      <w:pPr>
        <w:spacing w:after="0" w:line="254" w:lineRule="auto"/>
        <w:jc w:val="both"/>
        <w:rPr>
          <w:rFonts w:ascii="Times New Roman" w:eastAsia="Times New Roman" w:hAnsi="Times New Roman" w:cs="Times New Roman"/>
          <w:b/>
          <w:sz w:val="28"/>
          <w:szCs w:val="28"/>
          <w:lang w:eastAsia="sk-SK"/>
        </w:rPr>
      </w:pPr>
    </w:p>
    <w:p w14:paraId="654A0374"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5DEC4EB2"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3C51149B"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73E34EDF"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5F77A600"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7EEB8DFA"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39B8F7B4"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0D098CE0"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15064758"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6C86CF6E"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03414B8F"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3CB3424D"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506C43A6"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1FEED4B8"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08BBC8B3"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0D6391EF"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64929CBF"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3A002CC2"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320E30AF"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59D720A6"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p w14:paraId="4CE29B03" w14:textId="77777777" w:rsidR="00412328" w:rsidRDefault="00412328" w:rsidP="00054C41">
      <w:pPr>
        <w:spacing w:after="0" w:line="240" w:lineRule="auto"/>
        <w:jc w:val="center"/>
        <w:rPr>
          <w:rFonts w:ascii="Times New Roman" w:eastAsia="Times New Roman" w:hAnsi="Times New Roman" w:cs="Times New Roman"/>
          <w:b/>
          <w:sz w:val="28"/>
          <w:szCs w:val="28"/>
          <w:lang w:eastAsia="sk-SK"/>
        </w:rPr>
      </w:pPr>
    </w:p>
    <w:sectPr w:rsidR="00412328"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80910" w14:textId="77777777" w:rsidR="00497804" w:rsidRDefault="00497804" w:rsidP="00054C41">
      <w:pPr>
        <w:spacing w:after="0" w:line="240" w:lineRule="auto"/>
      </w:pPr>
      <w:r>
        <w:separator/>
      </w:r>
    </w:p>
  </w:endnote>
  <w:endnote w:type="continuationSeparator" w:id="0">
    <w:p w14:paraId="649DDC34" w14:textId="77777777" w:rsidR="00497804" w:rsidRDefault="00497804"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5AEFA" w14:textId="77777777" w:rsidR="00497804" w:rsidRDefault="00497804" w:rsidP="00054C41">
      <w:pPr>
        <w:spacing w:after="0" w:line="240" w:lineRule="auto"/>
      </w:pPr>
      <w:r>
        <w:separator/>
      </w:r>
    </w:p>
  </w:footnote>
  <w:footnote w:type="continuationSeparator" w:id="0">
    <w:p w14:paraId="2311E4A8" w14:textId="77777777" w:rsidR="00497804" w:rsidRDefault="00497804"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7B3"/>
    <w:multiLevelType w:val="hybridMultilevel"/>
    <w:tmpl w:val="C658926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FD93AF2"/>
    <w:multiLevelType w:val="hybridMultilevel"/>
    <w:tmpl w:val="22649E0E"/>
    <w:lvl w:ilvl="0" w:tplc="4A2AB01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B984628"/>
    <w:multiLevelType w:val="hybridMultilevel"/>
    <w:tmpl w:val="243C737A"/>
    <w:lvl w:ilvl="0" w:tplc="7354E0DE">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D1C7B2C"/>
    <w:multiLevelType w:val="hybridMultilevel"/>
    <w:tmpl w:val="2CF6444A"/>
    <w:lvl w:ilvl="0" w:tplc="4A2AB01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22909B2"/>
    <w:multiLevelType w:val="hybridMultilevel"/>
    <w:tmpl w:val="22649E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42D6DFB"/>
    <w:multiLevelType w:val="hybridMultilevel"/>
    <w:tmpl w:val="EAAEAF3A"/>
    <w:lvl w:ilvl="0" w:tplc="8726505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FA45464"/>
    <w:multiLevelType w:val="hybridMultilevel"/>
    <w:tmpl w:val="FD009E7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18633923">
    <w:abstractNumId w:val="3"/>
  </w:num>
  <w:num w:numId="2" w16cid:durableId="1089159669">
    <w:abstractNumId w:val="16"/>
  </w:num>
  <w:num w:numId="3" w16cid:durableId="1300459605">
    <w:abstractNumId w:val="17"/>
  </w:num>
  <w:num w:numId="4" w16cid:durableId="409498112">
    <w:abstractNumId w:val="15"/>
  </w:num>
  <w:num w:numId="5" w16cid:durableId="845290686">
    <w:abstractNumId w:val="12"/>
  </w:num>
  <w:num w:numId="6" w16cid:durableId="609245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148362">
    <w:abstractNumId w:val="17"/>
  </w:num>
  <w:num w:numId="8" w16cid:durableId="20163050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683656">
    <w:abstractNumId w:val="14"/>
  </w:num>
  <w:num w:numId="10" w16cid:durableId="1884095752">
    <w:abstractNumId w:val="7"/>
  </w:num>
  <w:num w:numId="11" w16cid:durableId="1436247540">
    <w:abstractNumId w:val="10"/>
  </w:num>
  <w:num w:numId="12" w16cid:durableId="2037778119">
    <w:abstractNumId w:val="1"/>
  </w:num>
  <w:num w:numId="13" w16cid:durableId="365254330">
    <w:abstractNumId w:val="18"/>
  </w:num>
  <w:num w:numId="14" w16cid:durableId="2030328324">
    <w:abstractNumId w:val="11"/>
  </w:num>
  <w:num w:numId="15" w16cid:durableId="1398866078">
    <w:abstractNumId w:val="13"/>
  </w:num>
  <w:num w:numId="16" w16cid:durableId="811220045">
    <w:abstractNumId w:val="6"/>
  </w:num>
  <w:num w:numId="17" w16cid:durableId="674914400">
    <w:abstractNumId w:val="2"/>
  </w:num>
  <w:num w:numId="18" w16cid:durableId="847403293">
    <w:abstractNumId w:val="8"/>
  </w:num>
  <w:num w:numId="19" w16cid:durableId="914824587">
    <w:abstractNumId w:val="0"/>
  </w:num>
  <w:num w:numId="20" w16cid:durableId="1097674509">
    <w:abstractNumId w:val="5"/>
  </w:num>
  <w:num w:numId="21" w16cid:durableId="5630270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0E44"/>
    <w:rsid w:val="0002425A"/>
    <w:rsid w:val="00024EE4"/>
    <w:rsid w:val="0003479D"/>
    <w:rsid w:val="00047C70"/>
    <w:rsid w:val="0005092D"/>
    <w:rsid w:val="00050AAB"/>
    <w:rsid w:val="00054A53"/>
    <w:rsid w:val="00054C41"/>
    <w:rsid w:val="00060DA1"/>
    <w:rsid w:val="00061E85"/>
    <w:rsid w:val="000820E0"/>
    <w:rsid w:val="000840E7"/>
    <w:rsid w:val="0008496F"/>
    <w:rsid w:val="00091A43"/>
    <w:rsid w:val="0009490E"/>
    <w:rsid w:val="000A6B7F"/>
    <w:rsid w:val="000C1A0D"/>
    <w:rsid w:val="000C5419"/>
    <w:rsid w:val="000C59CF"/>
    <w:rsid w:val="000C5E9A"/>
    <w:rsid w:val="000D15F0"/>
    <w:rsid w:val="0011003B"/>
    <w:rsid w:val="001133DA"/>
    <w:rsid w:val="00126A2B"/>
    <w:rsid w:val="00142154"/>
    <w:rsid w:val="001476A4"/>
    <w:rsid w:val="001537D8"/>
    <w:rsid w:val="00162C6C"/>
    <w:rsid w:val="00163F10"/>
    <w:rsid w:val="0016512E"/>
    <w:rsid w:val="0018715C"/>
    <w:rsid w:val="001A1561"/>
    <w:rsid w:val="001A4A27"/>
    <w:rsid w:val="001B4C03"/>
    <w:rsid w:val="001C7B91"/>
    <w:rsid w:val="001D1083"/>
    <w:rsid w:val="001D3FA0"/>
    <w:rsid w:val="001E24E8"/>
    <w:rsid w:val="001E2B82"/>
    <w:rsid w:val="001E53CB"/>
    <w:rsid w:val="00202102"/>
    <w:rsid w:val="00207F43"/>
    <w:rsid w:val="002232D3"/>
    <w:rsid w:val="00225A83"/>
    <w:rsid w:val="00231B8F"/>
    <w:rsid w:val="002331C2"/>
    <w:rsid w:val="00250996"/>
    <w:rsid w:val="00270EA5"/>
    <w:rsid w:val="002712B9"/>
    <w:rsid w:val="00284B8C"/>
    <w:rsid w:val="0029483F"/>
    <w:rsid w:val="002C2FC0"/>
    <w:rsid w:val="002C5B40"/>
    <w:rsid w:val="002C74A9"/>
    <w:rsid w:val="002F2DB2"/>
    <w:rsid w:val="00302A17"/>
    <w:rsid w:val="00305B26"/>
    <w:rsid w:val="003108DD"/>
    <w:rsid w:val="00314D25"/>
    <w:rsid w:val="00315BE2"/>
    <w:rsid w:val="00322129"/>
    <w:rsid w:val="003322EE"/>
    <w:rsid w:val="00337630"/>
    <w:rsid w:val="00340CFD"/>
    <w:rsid w:val="003413D5"/>
    <w:rsid w:val="00342621"/>
    <w:rsid w:val="0034350F"/>
    <w:rsid w:val="00357F22"/>
    <w:rsid w:val="0036748D"/>
    <w:rsid w:val="00376039"/>
    <w:rsid w:val="0038255E"/>
    <w:rsid w:val="00391648"/>
    <w:rsid w:val="0039304E"/>
    <w:rsid w:val="0039334E"/>
    <w:rsid w:val="00394AD2"/>
    <w:rsid w:val="003A02AF"/>
    <w:rsid w:val="003A0EEC"/>
    <w:rsid w:val="003A3124"/>
    <w:rsid w:val="003A686F"/>
    <w:rsid w:val="003D7313"/>
    <w:rsid w:val="003E0432"/>
    <w:rsid w:val="003E58B8"/>
    <w:rsid w:val="003F06D7"/>
    <w:rsid w:val="003F32F7"/>
    <w:rsid w:val="00400224"/>
    <w:rsid w:val="00400BA5"/>
    <w:rsid w:val="00410E62"/>
    <w:rsid w:val="00412328"/>
    <w:rsid w:val="00414FA7"/>
    <w:rsid w:val="00420090"/>
    <w:rsid w:val="004239D1"/>
    <w:rsid w:val="0044236C"/>
    <w:rsid w:val="00445638"/>
    <w:rsid w:val="00446432"/>
    <w:rsid w:val="00446512"/>
    <w:rsid w:val="00466D7A"/>
    <w:rsid w:val="004774C5"/>
    <w:rsid w:val="0048237B"/>
    <w:rsid w:val="00484D16"/>
    <w:rsid w:val="00491853"/>
    <w:rsid w:val="00497804"/>
    <w:rsid w:val="004A14CD"/>
    <w:rsid w:val="004A2C6B"/>
    <w:rsid w:val="004A3D26"/>
    <w:rsid w:val="004C74D8"/>
    <w:rsid w:val="004C7DC3"/>
    <w:rsid w:val="004D20CB"/>
    <w:rsid w:val="004D65B2"/>
    <w:rsid w:val="004D681D"/>
    <w:rsid w:val="004E2324"/>
    <w:rsid w:val="004F63E6"/>
    <w:rsid w:val="005103DA"/>
    <w:rsid w:val="005112B7"/>
    <w:rsid w:val="00511F8F"/>
    <w:rsid w:val="00512BA7"/>
    <w:rsid w:val="00515726"/>
    <w:rsid w:val="005306A5"/>
    <w:rsid w:val="00545B52"/>
    <w:rsid w:val="00562527"/>
    <w:rsid w:val="00562A1E"/>
    <w:rsid w:val="00563427"/>
    <w:rsid w:val="00581EB9"/>
    <w:rsid w:val="00584C36"/>
    <w:rsid w:val="00586649"/>
    <w:rsid w:val="005B4E6E"/>
    <w:rsid w:val="005B56E4"/>
    <w:rsid w:val="005C795C"/>
    <w:rsid w:val="005D0E50"/>
    <w:rsid w:val="005D39D8"/>
    <w:rsid w:val="005D5380"/>
    <w:rsid w:val="0061097B"/>
    <w:rsid w:val="0061612F"/>
    <w:rsid w:val="006177C8"/>
    <w:rsid w:val="00622BAC"/>
    <w:rsid w:val="0062600A"/>
    <w:rsid w:val="0063777D"/>
    <w:rsid w:val="00643358"/>
    <w:rsid w:val="00646084"/>
    <w:rsid w:val="00651906"/>
    <w:rsid w:val="00652359"/>
    <w:rsid w:val="006564C3"/>
    <w:rsid w:val="006578CB"/>
    <w:rsid w:val="006776F1"/>
    <w:rsid w:val="00694FEA"/>
    <w:rsid w:val="006A0D71"/>
    <w:rsid w:val="006A4E85"/>
    <w:rsid w:val="006A60C0"/>
    <w:rsid w:val="006A712F"/>
    <w:rsid w:val="006A79AA"/>
    <w:rsid w:val="006B3227"/>
    <w:rsid w:val="006B5D74"/>
    <w:rsid w:val="006C25BE"/>
    <w:rsid w:val="006C2C99"/>
    <w:rsid w:val="006D7AD8"/>
    <w:rsid w:val="006F1D57"/>
    <w:rsid w:val="0070364C"/>
    <w:rsid w:val="00710EDF"/>
    <w:rsid w:val="0072221D"/>
    <w:rsid w:val="0072357C"/>
    <w:rsid w:val="007259CB"/>
    <w:rsid w:val="00726031"/>
    <w:rsid w:val="00751DA9"/>
    <w:rsid w:val="00755E69"/>
    <w:rsid w:val="00763246"/>
    <w:rsid w:val="00763B4A"/>
    <w:rsid w:val="007648EE"/>
    <w:rsid w:val="0077106D"/>
    <w:rsid w:val="00771B13"/>
    <w:rsid w:val="00780ACC"/>
    <w:rsid w:val="00787A11"/>
    <w:rsid w:val="00797B40"/>
    <w:rsid w:val="007A0C9D"/>
    <w:rsid w:val="007B40FB"/>
    <w:rsid w:val="007B62AF"/>
    <w:rsid w:val="007E24B2"/>
    <w:rsid w:val="007E2DA4"/>
    <w:rsid w:val="007E4E2F"/>
    <w:rsid w:val="007E6815"/>
    <w:rsid w:val="007E7632"/>
    <w:rsid w:val="007F1C84"/>
    <w:rsid w:val="007F4579"/>
    <w:rsid w:val="007F50D6"/>
    <w:rsid w:val="00801596"/>
    <w:rsid w:val="00804BC8"/>
    <w:rsid w:val="00806E23"/>
    <w:rsid w:val="00807981"/>
    <w:rsid w:val="00817F97"/>
    <w:rsid w:val="00823F5A"/>
    <w:rsid w:val="008444A1"/>
    <w:rsid w:val="00845D3B"/>
    <w:rsid w:val="00851CF6"/>
    <w:rsid w:val="00862078"/>
    <w:rsid w:val="008634E9"/>
    <w:rsid w:val="008801B5"/>
    <w:rsid w:val="00880578"/>
    <w:rsid w:val="00882407"/>
    <w:rsid w:val="008920C3"/>
    <w:rsid w:val="00894052"/>
    <w:rsid w:val="00897DCE"/>
    <w:rsid w:val="008A7B87"/>
    <w:rsid w:val="008B32D1"/>
    <w:rsid w:val="008B4AA1"/>
    <w:rsid w:val="008C1C71"/>
    <w:rsid w:val="008D7435"/>
    <w:rsid w:val="008E1AD0"/>
    <w:rsid w:val="008E315F"/>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C4301"/>
    <w:rsid w:val="009E09F7"/>
    <w:rsid w:val="009E2D5C"/>
    <w:rsid w:val="009E3E44"/>
    <w:rsid w:val="009F4175"/>
    <w:rsid w:val="009F66A4"/>
    <w:rsid w:val="009F6C80"/>
    <w:rsid w:val="00A000DA"/>
    <w:rsid w:val="00A1736E"/>
    <w:rsid w:val="00A216DF"/>
    <w:rsid w:val="00A233E3"/>
    <w:rsid w:val="00A313F2"/>
    <w:rsid w:val="00A32FDA"/>
    <w:rsid w:val="00A33F2C"/>
    <w:rsid w:val="00A418DD"/>
    <w:rsid w:val="00A505DF"/>
    <w:rsid w:val="00A50EE3"/>
    <w:rsid w:val="00A5358E"/>
    <w:rsid w:val="00A62D85"/>
    <w:rsid w:val="00A83E11"/>
    <w:rsid w:val="00A84880"/>
    <w:rsid w:val="00A94A0F"/>
    <w:rsid w:val="00AA3C6D"/>
    <w:rsid w:val="00AB0275"/>
    <w:rsid w:val="00AB57C4"/>
    <w:rsid w:val="00AD1E10"/>
    <w:rsid w:val="00B069D6"/>
    <w:rsid w:val="00B06FC3"/>
    <w:rsid w:val="00B11CF5"/>
    <w:rsid w:val="00B209FA"/>
    <w:rsid w:val="00B21D1F"/>
    <w:rsid w:val="00B410BA"/>
    <w:rsid w:val="00B43D68"/>
    <w:rsid w:val="00B44A3A"/>
    <w:rsid w:val="00B46190"/>
    <w:rsid w:val="00B5600C"/>
    <w:rsid w:val="00B571AB"/>
    <w:rsid w:val="00B66E33"/>
    <w:rsid w:val="00B72FB1"/>
    <w:rsid w:val="00B736DD"/>
    <w:rsid w:val="00B953DA"/>
    <w:rsid w:val="00BA19B0"/>
    <w:rsid w:val="00BB2420"/>
    <w:rsid w:val="00BB3870"/>
    <w:rsid w:val="00BB45A7"/>
    <w:rsid w:val="00BD0EF7"/>
    <w:rsid w:val="00BD36A7"/>
    <w:rsid w:val="00BD6778"/>
    <w:rsid w:val="00C01599"/>
    <w:rsid w:val="00C048D1"/>
    <w:rsid w:val="00C05563"/>
    <w:rsid w:val="00C11132"/>
    <w:rsid w:val="00C115B9"/>
    <w:rsid w:val="00C123F1"/>
    <w:rsid w:val="00C12FDD"/>
    <w:rsid w:val="00C145AA"/>
    <w:rsid w:val="00C14655"/>
    <w:rsid w:val="00C14A56"/>
    <w:rsid w:val="00C21399"/>
    <w:rsid w:val="00C446E2"/>
    <w:rsid w:val="00C535F5"/>
    <w:rsid w:val="00C560C4"/>
    <w:rsid w:val="00C6748F"/>
    <w:rsid w:val="00C74337"/>
    <w:rsid w:val="00C75DC8"/>
    <w:rsid w:val="00C83EB0"/>
    <w:rsid w:val="00C84C08"/>
    <w:rsid w:val="00C9197D"/>
    <w:rsid w:val="00C929AE"/>
    <w:rsid w:val="00CA4344"/>
    <w:rsid w:val="00CA6348"/>
    <w:rsid w:val="00CA778D"/>
    <w:rsid w:val="00CB1232"/>
    <w:rsid w:val="00CB17A0"/>
    <w:rsid w:val="00CC2992"/>
    <w:rsid w:val="00CC3B7D"/>
    <w:rsid w:val="00CD5AE4"/>
    <w:rsid w:val="00CD5E86"/>
    <w:rsid w:val="00CE3B21"/>
    <w:rsid w:val="00CF4D09"/>
    <w:rsid w:val="00D005F2"/>
    <w:rsid w:val="00D03A8E"/>
    <w:rsid w:val="00D114ED"/>
    <w:rsid w:val="00D229C2"/>
    <w:rsid w:val="00D26DFA"/>
    <w:rsid w:val="00D3032C"/>
    <w:rsid w:val="00D31A3B"/>
    <w:rsid w:val="00D404F1"/>
    <w:rsid w:val="00D5309D"/>
    <w:rsid w:val="00D631FA"/>
    <w:rsid w:val="00D71064"/>
    <w:rsid w:val="00D73BE6"/>
    <w:rsid w:val="00D811BB"/>
    <w:rsid w:val="00D82356"/>
    <w:rsid w:val="00D84EEE"/>
    <w:rsid w:val="00D90A61"/>
    <w:rsid w:val="00D946EF"/>
    <w:rsid w:val="00D95553"/>
    <w:rsid w:val="00DC355F"/>
    <w:rsid w:val="00DC4969"/>
    <w:rsid w:val="00DD1E4C"/>
    <w:rsid w:val="00DE2F1C"/>
    <w:rsid w:val="00DE331A"/>
    <w:rsid w:val="00DE6ACB"/>
    <w:rsid w:val="00DF02CE"/>
    <w:rsid w:val="00DF1462"/>
    <w:rsid w:val="00E030DA"/>
    <w:rsid w:val="00E214C0"/>
    <w:rsid w:val="00E30D85"/>
    <w:rsid w:val="00E444EB"/>
    <w:rsid w:val="00E500AD"/>
    <w:rsid w:val="00E67062"/>
    <w:rsid w:val="00E730CF"/>
    <w:rsid w:val="00E77A69"/>
    <w:rsid w:val="00E8069C"/>
    <w:rsid w:val="00E81A42"/>
    <w:rsid w:val="00E90BBD"/>
    <w:rsid w:val="00E961E8"/>
    <w:rsid w:val="00E96244"/>
    <w:rsid w:val="00E96DE0"/>
    <w:rsid w:val="00EB2BEC"/>
    <w:rsid w:val="00EB74BF"/>
    <w:rsid w:val="00EC0704"/>
    <w:rsid w:val="00EC508B"/>
    <w:rsid w:val="00ED6B5D"/>
    <w:rsid w:val="00EE4C99"/>
    <w:rsid w:val="00F0364F"/>
    <w:rsid w:val="00F052BA"/>
    <w:rsid w:val="00F153D7"/>
    <w:rsid w:val="00F1599C"/>
    <w:rsid w:val="00F2433F"/>
    <w:rsid w:val="00F244DC"/>
    <w:rsid w:val="00F25F4E"/>
    <w:rsid w:val="00F33FA3"/>
    <w:rsid w:val="00F378F4"/>
    <w:rsid w:val="00F403E5"/>
    <w:rsid w:val="00F47912"/>
    <w:rsid w:val="00F541B6"/>
    <w:rsid w:val="00F5635C"/>
    <w:rsid w:val="00F5647D"/>
    <w:rsid w:val="00F57702"/>
    <w:rsid w:val="00F61361"/>
    <w:rsid w:val="00F613E8"/>
    <w:rsid w:val="00F742FB"/>
    <w:rsid w:val="00F74D3C"/>
    <w:rsid w:val="00F74FC9"/>
    <w:rsid w:val="00F91F47"/>
    <w:rsid w:val="00F95E11"/>
    <w:rsid w:val="00FA4F36"/>
    <w:rsid w:val="00FA6FFE"/>
    <w:rsid w:val="00FC121B"/>
    <w:rsid w:val="00FD3DFB"/>
    <w:rsid w:val="00FE566D"/>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6A79AA"/>
    <w:rPr>
      <w:color w:val="0563C1" w:themeColor="hyperlink"/>
      <w:u w:val="single"/>
    </w:rPr>
  </w:style>
  <w:style w:type="character" w:styleId="Nevyrieenzmienka">
    <w:name w:val="Unresolved Mention"/>
    <w:basedOn w:val="Predvolenpsmoodseku"/>
    <w:uiPriority w:val="99"/>
    <w:semiHidden/>
    <w:unhideWhenUsed/>
    <w:rsid w:val="006A79AA"/>
    <w:rPr>
      <w:color w:val="605E5C"/>
      <w:shd w:val="clear" w:color="auto" w:fill="E1DFDD"/>
    </w:rPr>
  </w:style>
  <w:style w:type="paragraph" w:styleId="Zkladntext2">
    <w:name w:val="Body Text 2"/>
    <w:basedOn w:val="Normlny"/>
    <w:link w:val="Zkladntext2Char"/>
    <w:uiPriority w:val="99"/>
    <w:rsid w:val="008444A1"/>
    <w:pPr>
      <w:autoSpaceDE w:val="0"/>
      <w:autoSpaceDN w:val="0"/>
      <w:spacing w:after="0" w:line="240" w:lineRule="auto"/>
      <w:jc w:val="center"/>
    </w:pPr>
    <w:rPr>
      <w:rFonts w:ascii="Times New Roman" w:eastAsiaTheme="minorEastAsia" w:hAnsi="Times New Roman" w:cs="Times New Roman"/>
      <w:sz w:val="24"/>
      <w:szCs w:val="24"/>
    </w:rPr>
  </w:style>
  <w:style w:type="character" w:customStyle="1" w:styleId="Zkladntext2Char">
    <w:name w:val="Základný text 2 Char"/>
    <w:basedOn w:val="Predvolenpsmoodseku"/>
    <w:link w:val="Zkladntext2"/>
    <w:uiPriority w:val="99"/>
    <w:rsid w:val="008444A1"/>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06203140">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34442588">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53480596">
      <w:bodyDiv w:val="1"/>
      <w:marLeft w:val="0"/>
      <w:marRight w:val="0"/>
      <w:marTop w:val="0"/>
      <w:marBottom w:val="0"/>
      <w:divBdr>
        <w:top w:val="none" w:sz="0" w:space="0" w:color="auto"/>
        <w:left w:val="none" w:sz="0" w:space="0" w:color="auto"/>
        <w:bottom w:val="none" w:sz="0" w:space="0" w:color="auto"/>
        <w:right w:val="none" w:sz="0" w:space="0" w:color="auto"/>
      </w:divBdr>
    </w:div>
    <w:div w:id="861943954">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95161079">
      <w:bodyDiv w:val="1"/>
      <w:marLeft w:val="0"/>
      <w:marRight w:val="0"/>
      <w:marTop w:val="0"/>
      <w:marBottom w:val="0"/>
      <w:divBdr>
        <w:top w:val="none" w:sz="0" w:space="0" w:color="auto"/>
        <w:left w:val="none" w:sz="0" w:space="0" w:color="auto"/>
        <w:bottom w:val="none" w:sz="0" w:space="0" w:color="auto"/>
        <w:right w:val="none" w:sz="0" w:space="0" w:color="auto"/>
      </w:divBdr>
    </w:div>
    <w:div w:id="1430392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18104892">
      <w:bodyDiv w:val="1"/>
      <w:marLeft w:val="0"/>
      <w:marRight w:val="0"/>
      <w:marTop w:val="0"/>
      <w:marBottom w:val="0"/>
      <w:divBdr>
        <w:top w:val="none" w:sz="0" w:space="0" w:color="auto"/>
        <w:left w:val="none" w:sz="0" w:space="0" w:color="auto"/>
        <w:bottom w:val="none" w:sz="0" w:space="0" w:color="auto"/>
        <w:right w:val="none" w:sz="0" w:space="0" w:color="auto"/>
      </w:divBdr>
    </w:div>
    <w:div w:id="1952518332">
      <w:bodyDiv w:val="1"/>
      <w:marLeft w:val="0"/>
      <w:marRight w:val="0"/>
      <w:marTop w:val="0"/>
      <w:marBottom w:val="0"/>
      <w:divBdr>
        <w:top w:val="none" w:sz="0" w:space="0" w:color="auto"/>
        <w:left w:val="none" w:sz="0" w:space="0" w:color="auto"/>
        <w:bottom w:val="none" w:sz="0" w:space="0" w:color="auto"/>
        <w:right w:val="none" w:sz="0" w:space="0" w:color="auto"/>
      </w:divBdr>
    </w:div>
    <w:div w:id="2007710088">
      <w:bodyDiv w:val="1"/>
      <w:marLeft w:val="0"/>
      <w:marRight w:val="0"/>
      <w:marTop w:val="0"/>
      <w:marBottom w:val="0"/>
      <w:divBdr>
        <w:top w:val="none" w:sz="0" w:space="0" w:color="auto"/>
        <w:left w:val="none" w:sz="0" w:space="0" w:color="auto"/>
        <w:bottom w:val="none" w:sz="0" w:space="0" w:color="auto"/>
        <w:right w:val="none" w:sz="0" w:space="0" w:color="auto"/>
      </w:divBdr>
    </w:div>
    <w:div w:id="2065105476">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29932956">
      <w:bodyDiv w:val="1"/>
      <w:marLeft w:val="0"/>
      <w:marRight w:val="0"/>
      <w:marTop w:val="0"/>
      <w:marBottom w:val="0"/>
      <w:divBdr>
        <w:top w:val="none" w:sz="0" w:space="0" w:color="auto"/>
        <w:left w:val="none" w:sz="0" w:space="0" w:color="auto"/>
        <w:bottom w:val="none" w:sz="0" w:space="0" w:color="auto"/>
        <w:right w:val="none" w:sz="0" w:space="0" w:color="auto"/>
      </w:divBdr>
    </w:div>
    <w:div w:id="2142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elegislativa/legislativne-procesy/SK/PI/2026/13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lov-lex.sk/ezbierky/pravne-predpisy/SK/ZZ/1995/145/"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3431</Words>
  <Characters>19559</Characters>
  <Application>Microsoft Office Word</Application>
  <DocSecurity>0</DocSecurity>
  <Lines>162</Lines>
  <Paragraphs>45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Gabriel Megó</cp:lastModifiedBy>
  <cp:revision>5</cp:revision>
  <dcterms:created xsi:type="dcterms:W3CDTF">2026-10-26T09:32:00Z</dcterms:created>
  <dcterms:modified xsi:type="dcterms:W3CDTF">2026-10-26T11:39:00Z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