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nariadenia vlády Slovenskej republiky, ktorým sa mení a dopĺňa nariadenie vlády Slovenskej republiky č. 165/2023 Z. z., ktorým sa ustanovujú pravidlá poskytovania podpory na vykonávanie opatrení Strategického plánu spoločnej poľnohospodárskej politiky vo vybraných poľnohospodárskych sektoroch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LP/2026/453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18/0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44</w:t>
              <w:br/>
            </w:r>
            <w:r>
              <w:rPr>
                <w:b w:val="off"/>
                <w:color w:val="000000"/>
                <w:rFonts w:ascii="Times New Roman" w:hAnsi="Times New Roman" w:cs="Times New Roman" w:eastAsia="Times New Roman"/>
                <w:sz w:val="24"/>
              </w:rPr>
              <w:t>1.	V čl. I bode 44 odporúčame v úvodnej vete novelizačného bodu slovo „nie“ nahradiť slovom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sprievodným materiálom</w:t>
              <w:br/>
            </w:r>
            <w:r>
              <w:rPr>
                <w:b w:val="off"/>
                <w:color w:val="000000"/>
                <w:rFonts w:ascii="Times New Roman" w:hAnsi="Times New Roman" w:cs="Times New Roman" w:eastAsia="Times New Roman"/>
                <w:sz w:val="24"/>
              </w:rPr>
              <w:t xml:space="preserve">2.	K sprievodným materiálom: </w:t>
              <w:br/>
            </w:r>
            <w:r>
              <w:rPr>
                <w:b w:val="off"/>
                <w:color w:val="000000"/>
                <w:rFonts w:ascii="Times New Roman" w:hAnsi="Times New Roman" w:cs="Times New Roman" w:eastAsia="Times New Roman"/>
                <w:sz w:val="24"/>
              </w:rPr>
              <w:t>-	Na obale odporúčame doplniť zoznam dokumentov do časti obsah materiálu.</w:t>
              <w:br/>
            </w:r>
            <w:r>
              <w:rPr>
                <w:b w:val="off"/>
                <w:color w:val="000000"/>
                <w:rFonts w:ascii="Times New Roman" w:hAnsi="Times New Roman" w:cs="Times New Roman" w:eastAsia="Times New Roman"/>
                <w:sz w:val="24"/>
              </w:rPr>
              <w:t>-	V predkladacej správe odporúčame informáciu o pôsobnosti miestnej územnej samosprávy nahradiť informáciou o pôsobnosti Európskej charty miestnej samosprávy.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body 33 a 35 rozdeliť do dvoch novelizačných bodov a zosúladiť ich s bodom 35.2 prílohy LPV, v bode 38 slovo „tej“ nahradiť slovom „investície“, v bode 40 za slovo „pripraviť“ vložiť čiarku, bod 42 rozdeliť do dvoch novelizačných bodov a upraviť napríklad takto: „V prílohe č. 2 písm. a) treťom bode podbode 3z. sa slová „a to aj s ohľadom“ nahrádzajú slovami „vrátane konceptov zameraných“ a „V prílohe č. 2 písm. d) treťom bode sa slová „a to aj s ohľadom“ nahrádzajú slovami „vrátane konceptov zameraných“ a slovo „nemá“ sa nahrádza slovom „nemajú“, v bode 44 úvodnej vete slovo „nie“ nahradiť slovom „znie“, v bode 47 úvodnej vete a v bode 68 úvodnej vete za slovo „prvý“ vložiť slovo „bod“, bod 55 upraviť napríklad takto: „55. V prílohe č. 3 písm. d) treťom bode sa slová „a to aj s ohľadom“ nahrádzajú slovami „vrátane konceptov zameraných“ a slovo „nemá“ sa nahrádza slovom „nemajú“.“].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prílohe č. 2 písm. d) treťom bode na konci majú zostať slová „ktoré nemá povahu investície“, pretože slovo „nemá“ sa viaže k obstaraniu, nie ku konceptom.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9 (§ 6 ods. 12)</w:t>
              <w:br/>
            </w:r>
            <w:r>
              <w:rPr>
                <w:b w:val="off"/>
                <w:color w:val="000000"/>
                <w:rFonts w:ascii="Times New Roman" w:hAnsi="Times New Roman" w:cs="Times New Roman" w:eastAsia="Times New Roman"/>
                <w:sz w:val="24"/>
              </w:rPr>
              <w:t>V bode 9 § 6 ods. 12 odporúčame navrhované znenie preformulovať, pretože je nezrozumiteľné a v aplikačnej praxi by mohlo spôsobovať výkladové nejasnosti. Zároveň upozorňujeme, že v poznámke pod čiarou k odkazu 10 druhej citácii sa odkazuje na § 19 ods. 3 zákona č. 523/2004 Z. z. o rozpočtových pravidlách verejnej správy a o zmene a doplnení niektorých zákonov v znení zákona č. 323/2007 Z. z., ktorý však zásady hospodárnosti, efektívnosti a účinnosti neupravuje. Z uvedeného dôvodu je potrebné uvedenú citáciu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nahradil namietanú citáciu v poznámke pod čiarou k odkazu 10 a s nezrozumiteľnosťou navrhovaného znenia odseku 12 sa nestotožňuje a uvádza bližie: Tovar, služba alebo práca použitá na vykonávanie opatrení v sektore ovocia a zeleniny alebo v určitom sektore ďalších výrobkov je v tomto kontexte tovarom, službou alebo prácou, ktoré boli na vykonávanie daných opatrení naozaj použité konkrétnym prijímateľom alebo osobami, ktoré prijímateľ priamo či nepriamo združuje. Ide už o konkrétne zariadenie alebo pomôcku, ktoré sa v rámci daného opatrenia kúpili, alebo o konkrétne práce či služby, ktoré boli na vykonávanie daného opatrenia použité.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ustanovenie cieli na rozpočtovú alebo príspevkovú organizáciu zriadenú ministerstvom pôdohospodárstva, ktorá určila výdavky na obstaranie porovnateľného druhu tohto tovaru, služby alebo práce ako výdavky vynaložené v súlade so zásadami hospodárnosti, efektívnosti a účinnosti.</w:t>
              <w:br/>
            </w:r>
            <w:r>
              <w:rPr>
                <w:b w:val="off"/>
                <w:color w:val="000000"/>
                <w:rFonts w:ascii="Times New Roman" w:hAnsi="Times New Roman" w:cs="Times New Roman" w:eastAsia="Times New Roman"/>
                <w:sz w:val="24"/>
              </w:rPr>
              <w:t>Nie je teda nutné, aby išlo o ten istý tovar, službu alebo prácu, aké sa na vykonávanie daného opatrenia skutočne použili u príslušného prijímateľa, ale stačí, aby išlo o porovnateľný druh tovaru, služby alebo práce.</w:t>
              <w:br/>
            </w:r>
            <w:r>
              <w:rPr>
                <w:b w:val="off"/>
                <w:color w:val="000000"/>
                <w:rFonts w:ascii="Times New Roman" w:hAnsi="Times New Roman" w:cs="Times New Roman" w:eastAsia="Times New Roman"/>
                <w:sz w:val="24"/>
              </w:rPr>
              <w:t>V rámci vykonávania daného opatrenia by sa napríklad obstaral konkrétny rotavátor a vymedzená organizácia MPRV SR by už mala určenú výšku výdavkov na obstaranie porovnateľného druhu takéhoto rotavátora s porovnateľným výkonom ako výšku výdavkov vynaložených v súlade so zásadami hospodárnosti, efektívnosti, teda ako primerané výdavky na obstaranie takéhoto rotavátora.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Čiže skutočné výdavky na vykonávanie daného opatrenia, resp. skutočná prijímateľom deklarovaná cena vstupov, sa tu porovnáva s primeranou cenou porovnateľných vstupov, ktorú už v minulosti odborne určila organizácia MPRV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Ustanovuje sa, že v takom prípade sa najviac takto určené výdavky považujú za oprávnené výdavky vynaložené na obstaranie tohto tovaru, služby alebo práce použitej na vykonávanie daných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teda ustanovuje strop výdavkov/cien vstupov na vykonávanie daných opatrení, a to strop zodpovedajúci primeraným výdavkom na obstaranie porovnateľných vstupov tak, ako tieto primerané výdavky v minulosti určila organizácia MPRV SR.</w:t>
              <w:br/>
            </w:r>
            <w:r>
              <w:rPr>
                <w:b w:val="off"/>
                <w:color w:val="000000"/>
                <w:rFonts w:ascii="Times New Roman" w:hAnsi="Times New Roman" w:cs="Times New Roman" w:eastAsia="Times New Roman"/>
                <w:sz w:val="24"/>
              </w:rPr>
              <w:t>Čiže skutočne vynaložené výdavky na vykonávanie daného opatrenia u prijímateľa by sa týmto spôsobom stropovali do výšky takto určených primeraných cien, a podpora by sa poskytovala len na pokrytie príslušného podielu z takto stropovaných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tomu sa ďalej ustanovuje, že tento „cenový strop“ platí len vtedy, ak boli výdavky na porovnateľný druh tovarov, služieb alebo prác určené pred menej ako tromi rokmi od skutočného vynaloženia výdavkov na tovary, služby alebo práce použité navykonávanie daného opatrenia, keďže skutočné ceny týchto vstupov sa časom menia.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Posledou podmienkou je zverejnenie takto určených cien na webovom sídle platobnej agentúry ako limitov oprávnených výdavkov podľa § 10 ods. 2 písm. h) zákona č. 280/2017 Z. z. v znení zákona č. 316/2025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 5a navrhujeme za slová „a podľa osobitného predpisu,26c)“ doplniť slová: „alebo najmenej päť rokov, podľa toho, ktorá doba uplynie skôr“.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Zmeny trhových podmienok spojené aj s klimatickými zmenami v posledných rokoch výraznou mierou ovplyvňujú agropotravinársky sektor. Pri podporených investíciách zo Strategického plánu spoločnej poľnohospodárskej politiky môžu byť realizované investície, ktoré môžu byť zaradené do 2 – 4 odpisovej skupiny v zmysle § 26 a prílohy č. 1 zákona č. 595/2003 Z. z. o dani z príjmov, čo by znamenalo nutnosť využívania majetku v období 6 – 12 rokov podľa zaradenia investície do odpisovej skupiny. </w:t>
              <w:br/>
            </w:r>
            <w:r>
              <w:rPr>
                <w:b w:val="off"/>
                <w:color w:val="000000"/>
                <w:rFonts w:ascii="Times New Roman" w:hAnsi="Times New Roman" w:cs="Times New Roman" w:eastAsia="Times New Roman"/>
                <w:sz w:val="24"/>
              </w:rPr>
              <w:t>V zmysle čl. 11 ods. 1 písm. b delegovaného nariadenia (EÚ) 2022/126 v platnom znení je uvedené: „bez toho, aby bol dotknutý odsek 10, zostali nadobudnuté hmotné a nehmotné aktíva vo vlastníctve a držbe prijímateľa do konca obdobia odpisovania alebo počas obdobia najmenej päť rokov, ktoré stanovia členské štáty s ohľadom na povahu aktív. Každé z týchto období sa vypočíta od dátumu nadobudnutia aktív alebo od dátumu, keď boli tieto aktíva poskytnuté prijímateľovi. Členské štáty však môžu stanoviť kratšie obdobie, počas ktorého zostanú aktíva vo vlastníctve alebo držbe prijímateľa, pričom však toto obdobie nesmie byť kratšie ako tri roky na účely zachovania investícií alebo pracovných miest vytvorených mikropodnikmi, malými a strednými podnikmi v zmysle odporúčania Komisie 2003/361/ES.“</w:t>
              <w:br/>
            </w:r>
            <w:r>
              <w:rPr>
                <w:b w:val="off"/>
                <w:color w:val="000000"/>
                <w:rFonts w:ascii="Times New Roman" w:hAnsi="Times New Roman" w:cs="Times New Roman" w:eastAsia="Times New Roman"/>
                <w:sz w:val="24"/>
              </w:rPr>
              <w:t>Naviazanie využívania majetku výhradne na obdobie daňového odpisovania majetku môže subjektom podnikajúcim v sektore agropotravinárstva sťažiť postavenie na trhu a obmedziť ich ďalšiu možnú diverzifikáciu výroby na základe aktuálnych požiadaviek trhu a vplyvu klimatických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nemá za to, že by ustanovenie doby udržateľnosti investičných aktív na dobu ich daňového odpisovania mohlo mať za následok neprimerané obmedzenie výrobcov poľnohospodárskych výrobkov v sektore ovocia a zeleniny alebo v určitom sektore ďalších výrobkov, ktorí tieto aktíva využívajú, či organizácií výrobcov, ktoré tieto aktíva vlastnia. Samozrejme, pokiaľ ide o zariadenia patriace do odpisovej skupiny 4, budú sa podľa zákona o dani z príjmov odpisovať až 12 rokov, avšak článok 11 ods. 10 delegovaného nariadenia (EÚ) 2022/126 v platnom znení stále umožňuje reprodukciu aktív obstaraných investičnou sektorovou intervenciou pred uplynutím doby jej udržateľnosti. Toto aktívum skrátka možno pred uplynutím tejto doby legálne predať a kúpiť si namiesto neho iné aktívum oprávnené na podporu danej sektorovej intervencie. Na takéto reprodukované aktívum je dokonca možné opätovne čerpať podporu na sektorovú intervenciu, pokiaľ nejde o aktívum toho istého typu, hoci sa na tento účel jeho hodnota znižuje o zostatkovú hodnotu pôvodného aktíva.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Áno, členský štát EÚ môže podľa čl. 11 ods. 1 písm. b) delegovaného nariadenia (EÚ) 2022/126 ustanoviť aj iné obdobie udržateľnosti, než dobu odpisovania daného aktíva, avšak v tomto prípade sa takto MPRV SR nerozhodlo. Po kozultáciách s Pôdohospodárskou platobnou agentúrou naopak došlo k záveru, že doba udržateľnosti aktív nadobudnutých opatreniami v sektore ovocia a zeleniny alebo v určitom sektore ďalších výrobkov by mala zodpovedať dobe ich daňového odpisovania, aby sa tak ochránili finačného záujmy Európskej únie, a aby sa hlavne dosahovali plánované sektorové i špecifické ciele daných opatrení.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čl. I za bodom 18. je potrebné bod označený číslom „4.“ a nasledujúce body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44.</w:t>
              <w:br/>
            </w:r>
            <w:r>
              <w:rPr>
                <w:b w:val="off"/>
                <w:color w:val="000000"/>
                <w:rFonts w:ascii="Times New Roman" w:hAnsi="Times New Roman" w:cs="Times New Roman" w:eastAsia="Times New Roman"/>
                <w:sz w:val="24"/>
              </w:rPr>
              <w:t xml:space="preserve">V čl. I bode 44. je potrebné slovo „nie“ nahradiť slovom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 (§ 6 ods. 8)</w:t>
              <w:br/>
            </w:r>
            <w:r>
              <w:rPr>
                <w:b w:val="off"/>
                <w:color w:val="000000"/>
                <w:rFonts w:ascii="Times New Roman" w:hAnsi="Times New Roman" w:cs="Times New Roman" w:eastAsia="Times New Roman"/>
                <w:sz w:val="24"/>
              </w:rPr>
              <w:t>V § 6 ods. 8 slová „spolu s jej výrobným členmi“ nahradiť slovami „spolu s jej výrobnými členmi“.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44</w:t>
              <w:br/>
            </w:r>
            <w:r>
              <w:rPr>
                <w:b w:val="off"/>
                <w:color w:val="000000"/>
                <w:rFonts w:ascii="Times New Roman" w:hAnsi="Times New Roman" w:cs="Times New Roman" w:eastAsia="Times New Roman"/>
                <w:sz w:val="24"/>
              </w:rPr>
              <w:t>V Čl. I bode 44 slovo "nie" nahradiť slovom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Žiadame prehodnotiť tvrdenie o nulovom vplyve na životné prostredie, prípadne ho primerane odôvodniť. Návrh mení pravidlá poskytovania podpory investícií a opatrení v niektorých sektoroch poľnohospodárstva, ktoré môžu mať vplyv na využívanie prírodných zdrojov, pôdu, vodu, emisie skleníkových plynov a adaptáciu na zmenu klímy.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Vyššie uvedené v znení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nariadenie vlády nijako nezasahuje do agroenvironmentálno-klimatických cieľov opatrení v sektore ovocia a zeleniny alebo v určitom sektore ďalších výrobkov. To znamená, najmä do sektorových cieľov podľa čl. 46 písm. e) alebo písm. f) nariadenia (EÚ) 2021/2115.</w:t>
              <w:br/>
            </w:r>
            <w:r>
              <w:rPr>
                <w:b w:val="off"/>
                <w:color w:val="000000"/>
                <w:rFonts w:ascii="Times New Roman" w:hAnsi="Times New Roman" w:cs="Times New Roman" w:eastAsia="Times New Roman"/>
                <w:sz w:val="24"/>
              </w:rPr>
              <w:t xml:space="preserve">Dopĺňa sa ním síce jedno podopatrenie investície v sektore ovocia a zeleniny do hmotných alebo nehmotných aktív, </w:t>
              <w:br/>
            </w:r>
            <w:r>
              <w:rPr>
                <w:b w:val="off"/>
                <w:color w:val="000000"/>
                <w:rFonts w:ascii="Times New Roman" w:hAnsi="Times New Roman" w:cs="Times New Roman" w:eastAsia="Times New Roman"/>
                <w:sz w:val="24"/>
              </w:rPr>
              <w:t>ktoré spočíva v investícii do obstarania zariadenia na zapracovanie „štiepkovaného materálu“ do pôdy, avšak kľúčový efekt na zníženie množstva produkovaného odpadu má v tomto prípade samotný štiepkovač, nie zariadenie, ktoré štiepku len zapracuje do pôdy.</w:t>
              <w:br/>
            </w:r>
            <w:r>
              <w:rPr>
                <w:b w:val="off"/>
                <w:color w:val="000000"/>
                <w:rFonts w:ascii="Times New Roman" w:hAnsi="Times New Roman" w:cs="Times New Roman" w:eastAsia="Times New Roman"/>
                <w:sz w:val="24"/>
              </w:rPr>
              <w:t>Navrhované nariadenie vlády nie je zamerané na agroenvironmentálno-klimatické opatrenia, hoci samotné nariadenie vlády SR č. 165/2023 Z. z. v znení neskorších predpisov takého opatrenia a ciele nepochybne 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nariadenia</w:t>
              <w:br/>
            </w:r>
            <w:r>
              <w:rPr>
                <w:b w:val="off"/>
                <w:color w:val="000000"/>
                <w:rFonts w:ascii="Times New Roman" w:hAnsi="Times New Roman" w:cs="Times New Roman" w:eastAsia="Times New Roman"/>
                <w:sz w:val="24"/>
              </w:rPr>
              <w:t>V prílohe č. 6 nariadenia vlády Slovenskej republiky č. 165/2023 Z. z. v znení neskorších predpisov v zmysle bodu 62.14. prílohy č. 1 k Legislatívnym pravidlám vlády SR žiadame upraviť bod 6 nasledovne: „Delegované nariadenie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znení</w:t>
              <w:br/>
            </w:r>
            <w:r>
              <w:rPr>
                <w:b w:val="off"/>
                <w:color w:val="000000"/>
                <w:rFonts w:ascii="Times New Roman" w:hAnsi="Times New Roman" w:cs="Times New Roman" w:eastAsia="Times New Roman"/>
                <w:sz w:val="24"/>
              </w:rPr>
              <w:t>- delegovaného nariadenia Komisie (EÚ) 2023/330 z 22. novembra 2022 (Ú. v. EÚ L 44, 14. 2. 2023),</w:t>
              <w:br/>
            </w:r>
            <w:r>
              <w:rPr>
                <w:b w:val="off"/>
                <w:color w:val="000000"/>
                <w:rFonts w:ascii="Times New Roman" w:hAnsi="Times New Roman" w:cs="Times New Roman" w:eastAsia="Times New Roman"/>
                <w:sz w:val="24"/>
              </w:rPr>
              <w:t>- delegovaného nariadenia Komisie (EÚ) 2025/1159 z 31. marca 2025 (Ú. v. EÚ L, 2025/1159, 12.6.2025).“.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čase prijatia NV SR č. 165/2023 Z. z. bolo delegované nariadenie (EÚ) 2022/126 implementované v znení delegovaného nariadenia (EÚ) 2023/330. Z hľadiska pôsobnosti NV SR č. 165/2023 Z. z. nie je relevantná implementácia delegovaného nariadenia (EÚ) 2025/1159.  Predkladateľ má za to, že akceptovaním pripomienky by bol popretý bod 62.14. prílohy č. 1 LPV, pretože ak by sa po prijatí NV SR č. 165/2023 Z. z. implementovalo delegované nariadenie (EÚ) 2025/1159, muselo by byť uvedené v samostatnom bode v rámci transpozičnej prílohy.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1.	K Čl. I: Žiadame upraviť číslovanie novelizačných bodov v predkladanom návrhu nariadenia. Medzi bodom 18 a 19 predkladateľ uvádza bod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2.	K Čl. I bodu 40: V poznámke pod čiarou k odkazu 63a žiadame slovo „ods.“ nahradiť slovom „bod“. Čl. 3 nariadenia (EÚ) č. 178/2002 v platnom znení obsahuje definície pojmov a delí sa na body, nie na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3.	K Čl. I bodu 51: Slová „3aa. až 3c.“ v úvodnej vete pred poznámkami pod čiarou k odkazom 65 a 66 žiadame nahradiť slovami „65 a 66“.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4.	K Čl. I bodu 51: V poznámke pod čiarou k odkazu 66 žiadame slovo „ods.“ nahradiť slovom „bod“. Čl. 2 nariadenia (EÚ) 2016/1012 obsahuje definície pojmov a delí sa na body, nie na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Osobitnú časť dôvodovej správy k bodom 18 až 71 žiadame upraviť a rozšíriť. Novelizačné body 18 až 71 obsahujú zmeny v sektore ovocia a zeleniny, v sektore mlieka a mliečných výrobkov, v sektore bravčového mäsa a v sektore zemiakov. Predkladateľ na tomto mieste však uvádza vecné odôvodnenie k navrhovanému doplneniu nového opatrenia v sektore mlieka a mliečných výrobkov, pričom zmenám v sektore mlieka a mliečnych výrobkov sa venujú len novelizačné body 38 až 47 predkladaného návrhu nariadenia.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Dôvodová správa sa osobitne venuje doplneniu nového opatrenia v sektore mlieka a mliečnych výrobkov, ktorým je obnova chovu zvierat na produkciu mlieka a mliečnych výrobkov po ich povinnom usmrtení, ktoré sa vykonalo zo zdravotných dôvodov, alebo po ich strate v dôsledku prírodných katastrof, </w:t>
              <w:br/>
            </w:r>
            <w:r>
              <w:rPr>
                <w:b w:val="off"/>
                <w:color w:val="000000"/>
                <w:rFonts w:ascii="Times New Roman" w:hAnsi="Times New Roman" w:cs="Times New Roman" w:eastAsia="Times New Roman"/>
                <w:sz w:val="24"/>
              </w:rPr>
              <w:t>pretože ide o jediné opatrenie, resp. o jedinú intervenciu strategického plánu spoločnej poľnohospodárskej politiky Slovenskej republiky v sektore ovocia a zeleniny alebo v určitom sektore ďalších výrobkov, ktorá sa navrhovaným nariadením vlády pridáva.</w:t>
              <w:br/>
            </w:r>
            <w:r>
              <w:rPr>
                <w:b w:val="off"/>
                <w:color w:val="000000"/>
                <w:rFonts w:ascii="Times New Roman" w:hAnsi="Times New Roman" w:cs="Times New Roman" w:eastAsia="Times New Roman"/>
                <w:sz w:val="24"/>
              </w:rPr>
              <w:t>Konkrétne ide o intervenciu podľa čl. 47 ods. 2 písm. e) nariadenia (EÚ) 2021/2115.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sektoroch ovocia a zeleniny, bravčových výrobkov a zemiakov sa pridávajú len podopatrenia už existujúcich opatrení, prípadne nové sektorové ciele.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týmto ostatým zmenám v opatreniach v sektore ovocia a zeleniny, mlieka a mliečnych výrobkov, bravčových výrobkov a zemiakov, ktoré nespočívajú v doplnení alebo vypustení celého nového opatrenia, sa netvorilo špeciálne odôvodnenie, nakoľko už ich vymedzenie je „samovysvetľujúce“.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Napríklad pri nových podopatreniach </w:t>
              <w:br/>
            </w:r>
            <w:r>
              <w:rPr>
                <w:b w:val="off"/>
                <w:color w:val="000000"/>
                <w:rFonts w:ascii="Times New Roman" w:hAnsi="Times New Roman" w:cs="Times New Roman" w:eastAsia="Times New Roman"/>
                <w:sz w:val="24"/>
              </w:rPr>
              <w:t xml:space="preserve">„investície do oporej konštrukcie rastlín na produkciu ovocia a zeleniny“, </w:t>
              <w:br/>
            </w:r>
            <w:r>
              <w:rPr>
                <w:b w:val="off"/>
                <w:color w:val="000000"/>
                <w:rFonts w:ascii="Times New Roman" w:hAnsi="Times New Roman" w:cs="Times New Roman" w:eastAsia="Times New Roman"/>
                <w:sz w:val="24"/>
              </w:rPr>
              <w:t xml:space="preserve">„investície do dopravného prostriedku na prepravu vykonávanú na produkciu mlieka a mliečnych výrobkov, skladovanie tejto produkcie alebo jej umiestňovanie na trh“ či </w:t>
              <w:br/>
            </w:r>
            <w:r>
              <w:rPr>
                <w:b w:val="off"/>
                <w:color w:val="000000"/>
                <w:rFonts w:ascii="Times New Roman" w:hAnsi="Times New Roman" w:cs="Times New Roman" w:eastAsia="Times New Roman"/>
                <w:sz w:val="24"/>
              </w:rPr>
              <w:t xml:space="preserve">„investície do zariadenia na automatické váženie produkovaných bravčových výrobkov“ </w:t>
              <w:br/>
            </w:r>
            <w:r>
              <w:rPr>
                <w:b w:val="off"/>
                <w:color w:val="000000"/>
                <w:rFonts w:ascii="Times New Roman" w:hAnsi="Times New Roman" w:cs="Times New Roman" w:eastAsia="Times New Roman"/>
                <w:sz w:val="24"/>
              </w:rPr>
              <w:t>je už v samotnom normatívnom texte popisne ustanovené, do akej veci možno podporovanú investíciu uskutočniť a o čo sa jedná.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Práve z tohto vychádza a na toto poukazuje  časť osobitnej časti dôvodovej správy pri predmetnom odôvodnení, keď uvádza: „Navrhuje sa ... aktualizácia špecifikácie opatrení v sektore ovocia a zeleniny, opatrení v sektore mlieka a mliečnych výrobkov, opatrení v sektore bravčových výrobkov a opatrení v sektore zemiakov v nadväznosti na zmeny a doplnenia Strategického plánu spoločnej poľnohospodárskej politiky uskutočnené jeho 5. modifikáciou a jeho zmeny a doplnenia uskutočnené na základe oznámení zaslaných Európskej komisii v priebehu roka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spolu s príslušným gestorom uvádzať aj ďalšie relevantné sekundárne právne akty Európskej únie:</w:t>
              <w:br/>
            </w:r>
            <w:r>
              <w:rPr>
                <w:b w:val="off"/>
                <w:color w:val="000000"/>
                <w:rFonts w:ascii="Times New Roman" w:hAnsi="Times New Roman" w:cs="Times New Roman" w:eastAsia="Times New Roman"/>
                <w:sz w:val="24"/>
              </w:rPr>
              <w:t>-	nariadenie (ES) č. 178/2002 Európskeho parlamentu a Rady z 28. januára 2002, ktorým sa ustanovujú všeobecné zásady a požiadavky potravinového práva, zriaďuje Európsky úrad pre bezpečnosť potravín a stanovujú postupy v záležitostiach bezpečnosti potravín (Mimoriadne vydanie Ú. v. EÚ, kap. 15/zv. 6; Ú. v. ES L 31, 1. 2. 2002) v platnom znení;</w:t>
              <w:br/>
            </w:r>
            <w:r>
              <w:rPr>
                <w:b w:val="off"/>
                <w:color w:val="000000"/>
                <w:rFonts w:ascii="Times New Roman" w:hAnsi="Times New Roman" w:cs="Times New Roman" w:eastAsia="Times New Roman"/>
                <w:sz w:val="24"/>
              </w:rPr>
              <w:t>-	nariadenie Európskeho parlamentu a Rady (EÚ) 2016/1012 z 8. júna 2016 o zootechnických a genealogických podmienkach na plemenitbu čistokrvných plemenných zvierat, hybridných plemenných ošípaných a ich zárodočných produktov a na obchodovanie s nimi a ich vstup do Únie a ktorým sa mení nariadenie (EÚ) č. 652/2014, smernice Rady 89/608/EHS a 90/425/EHS a zrušujú určité akty v oblasti plemenitby zvierat („nariadenie o plemenitbe zvierat“) (Ú. v. EÚ L 171, 29.6.2016); a</w:t>
              <w:br/>
            </w:r>
            <w:r>
              <w:rPr>
                <w:b w:val="off"/>
                <w:color w:val="000000"/>
                <w:rFonts w:ascii="Times New Roman" w:hAnsi="Times New Roman" w:cs="Times New Roman" w:eastAsia="Times New Roman"/>
                <w:sz w:val="24"/>
              </w:rPr>
              <w:t>-	nariadenie Európskeho parlamentu a Rady (EÚ, Euratom) 2024/2509 z 23. septembra 2024 o rozpočtových pravidlách, ktoré sa vzťahujú na všeobecný rozpočet Únie (prepracované znenie) (Ú. v. EÚ L, 2024/2509, 26.9.2024).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Uvádzané právne akty Európskej únie neupravujú problematiku upravenú NV SR č. 165/2023 Z. z. a jeho novelami. Jediné prepojenie medzi uvádzanými právnymi aktami Európskej únie a problematikou upravenou NV SR č. 165/2023 Z. z. predstavujú odkazy predovšetkým na relevantné definície, avšak tie sa používajú výlučne z hľadiska ustanovenia možnosti poskytovania podpory na opatrenia SP SPP 2023 –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18 (18o,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17</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