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bookmarkStart w:id="0" w:name="_GoBack"/>
      <w:bookmarkEnd w:id="0"/>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3255CA05" w14:textId="77777777" w:rsidR="00CE6627" w:rsidRDefault="00054C41" w:rsidP="00CE6627">
      <w:pPr>
        <w:ind w:left="1843" w:hanging="1843"/>
      </w:pPr>
      <w:r w:rsidRPr="001F1B43">
        <w:rPr>
          <w:rFonts w:ascii="Times New Roman" w:eastAsia="Calibri" w:hAnsi="Times New Roman" w:cs="Times New Roman"/>
          <w:b/>
          <w:sz w:val="24"/>
          <w:szCs w:val="24"/>
        </w:rPr>
        <w:t>Názov materiálu:</w:t>
      </w:r>
      <w:r w:rsidR="00CE6627">
        <w:rPr>
          <w:rFonts w:ascii="Times New Roman" w:eastAsia="Calibri" w:hAnsi="Times New Roman" w:cs="Times New Roman"/>
          <w:b/>
          <w:sz w:val="24"/>
          <w:szCs w:val="24"/>
        </w:rPr>
        <w:t xml:space="preserve"> </w:t>
      </w:r>
      <w:r w:rsidR="00CE6627" w:rsidRPr="00CE6627">
        <w:rPr>
          <w:rFonts w:ascii="Times New Roman" w:eastAsia="Calibri" w:hAnsi="Times New Roman" w:cs="Times New Roman"/>
          <w:iCs/>
          <w:sz w:val="24"/>
          <w:szCs w:val="24"/>
        </w:rPr>
        <w:t>Oznámenie Komisie – Zjednodušenie pre udržateľnú konkurencieschopnosť (</w:t>
      </w:r>
      <w:proofErr w:type="spellStart"/>
      <w:r w:rsidR="00CE6627" w:rsidRPr="00CE6627">
        <w:rPr>
          <w:rFonts w:ascii="Times New Roman" w:eastAsia="Calibri" w:hAnsi="Times New Roman" w:cs="Times New Roman"/>
          <w:iCs/>
          <w:sz w:val="24"/>
          <w:szCs w:val="24"/>
        </w:rPr>
        <w:t>Omnibus</w:t>
      </w:r>
      <w:proofErr w:type="spellEnd"/>
      <w:r w:rsidR="00CE6627" w:rsidRPr="00CE6627">
        <w:rPr>
          <w:rFonts w:ascii="Times New Roman" w:eastAsia="Calibri" w:hAnsi="Times New Roman" w:cs="Times New Roman"/>
          <w:iCs/>
          <w:sz w:val="24"/>
          <w:szCs w:val="24"/>
        </w:rPr>
        <w:t xml:space="preserve"> VIII), COM(2025) 980 </w:t>
      </w:r>
      <w:proofErr w:type="spellStart"/>
      <w:r w:rsidR="00CE6627" w:rsidRPr="00CE6627">
        <w:rPr>
          <w:rFonts w:ascii="Times New Roman" w:eastAsia="Calibri" w:hAnsi="Times New Roman" w:cs="Times New Roman"/>
          <w:iCs/>
          <w:sz w:val="24"/>
          <w:szCs w:val="24"/>
        </w:rPr>
        <w:t>final</w:t>
      </w:r>
      <w:proofErr w:type="spellEnd"/>
      <w:r w:rsidR="00CE6627" w:rsidRPr="00CE6627">
        <w:rPr>
          <w:rFonts w:ascii="Times New Roman" w:eastAsia="Calibri" w:hAnsi="Times New Roman" w:cs="Times New Roman"/>
          <w:iCs/>
          <w:sz w:val="24"/>
          <w:szCs w:val="24"/>
        </w:rPr>
        <w:t>. Smernica INSPIRE – zjednodušenie oznamovania priestorových údajov.</w:t>
      </w:r>
    </w:p>
    <w:p w14:paraId="2711DC2C" w14:textId="6FBAC3CB"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CE6627">
        <w:rPr>
          <w:rFonts w:ascii="Times New Roman" w:eastAsia="Calibri" w:hAnsi="Times New Roman" w:cs="Times New Roman"/>
          <w:b/>
          <w:sz w:val="24"/>
          <w:szCs w:val="24"/>
        </w:rPr>
        <w:t xml:space="preserve"> </w:t>
      </w:r>
      <w:r w:rsidR="00CE6627" w:rsidRPr="00CE6627">
        <w:rPr>
          <w:rFonts w:ascii="Times New Roman" w:eastAsia="Calibri" w:hAnsi="Times New Roman" w:cs="Times New Roman"/>
          <w:bCs/>
          <w:sz w:val="24"/>
          <w:szCs w:val="24"/>
        </w:rPr>
        <w:t>Ministerstvo životného prostredia Slovenskej republiky</w:t>
      </w: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0F790483" w14:textId="77777777" w:rsidTr="00804BC8">
        <w:trPr>
          <w:gridAfter w:val="2"/>
          <w:wAfter w:w="583" w:type="dxa"/>
          <w:trHeight w:val="600"/>
        </w:trPr>
        <w:tc>
          <w:tcPr>
            <w:tcW w:w="146" w:type="dxa"/>
            <w:tcBorders>
              <w:top w:val="nil"/>
              <w:left w:val="nil"/>
              <w:bottom w:val="nil"/>
              <w:right w:val="nil"/>
            </w:tcBorders>
            <w:noWrap/>
            <w:vAlign w:val="bottom"/>
            <w:hideMark/>
          </w:tcPr>
          <w:p w14:paraId="2417CF7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407DD77A"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5E9A2E03"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F226C4">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5BE4222C" w:rsidR="00C929AE" w:rsidRPr="00C929AE" w:rsidRDefault="00F226C4"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37B64D12" w14:textId="77777777" w:rsidTr="00804BC8">
        <w:trPr>
          <w:gridAfter w:val="2"/>
          <w:wAfter w:w="583" w:type="dxa"/>
          <w:trHeight w:val="420"/>
        </w:trPr>
        <w:tc>
          <w:tcPr>
            <w:tcW w:w="146" w:type="dxa"/>
            <w:tcBorders>
              <w:top w:val="nil"/>
              <w:left w:val="nil"/>
              <w:bottom w:val="nil"/>
              <w:right w:val="nil"/>
            </w:tcBorders>
            <w:noWrap/>
            <w:vAlign w:val="bottom"/>
            <w:hideMark/>
          </w:tcPr>
          <w:p w14:paraId="30AED282"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3DCE928E" w14:textId="77777777" w:rsidR="00C929AE" w:rsidRPr="00C929AE" w:rsidRDefault="00C929AE" w:rsidP="00F378F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59FFE034"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F226C4">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20F9BDCD" w:rsidR="00C929AE" w:rsidRPr="00C929AE" w:rsidRDefault="00F226C4"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r>
      <w:tr w:rsidR="00C929AE" w:rsidRPr="00C929AE" w14:paraId="21231540" w14:textId="77777777" w:rsidTr="00804BC8">
        <w:trPr>
          <w:gridAfter w:val="2"/>
          <w:wAfter w:w="583" w:type="dxa"/>
          <w:trHeight w:val="435"/>
        </w:trPr>
        <w:tc>
          <w:tcPr>
            <w:tcW w:w="146" w:type="dxa"/>
            <w:tcBorders>
              <w:top w:val="nil"/>
              <w:left w:val="nil"/>
              <w:bottom w:val="nil"/>
              <w:right w:val="nil"/>
            </w:tcBorders>
            <w:noWrap/>
            <w:vAlign w:val="bottom"/>
            <w:hideMark/>
          </w:tcPr>
          <w:p w14:paraId="67B7840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0650EE3E" w14:textId="52C52C9B"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sidR="00CA4344">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48490C26"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F226C4">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3563DECE" w:rsidR="00C929AE" w:rsidRPr="00C929AE" w:rsidRDefault="00F226C4"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280383DA" w14:textId="77777777" w:rsidTr="00804BC8">
        <w:trPr>
          <w:gridAfter w:val="2"/>
          <w:wAfter w:w="583" w:type="dxa"/>
          <w:trHeight w:val="480"/>
        </w:trPr>
        <w:tc>
          <w:tcPr>
            <w:tcW w:w="146" w:type="dxa"/>
            <w:tcBorders>
              <w:top w:val="nil"/>
              <w:left w:val="nil"/>
              <w:bottom w:val="nil"/>
              <w:right w:val="nil"/>
            </w:tcBorders>
            <w:noWrap/>
            <w:vAlign w:val="bottom"/>
            <w:hideMark/>
          </w:tcPr>
          <w:p w14:paraId="59F2F7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59103BCF" w14:textId="0543F070" w:rsidR="00C929AE" w:rsidRPr="00C929AE" w:rsidRDefault="00C929AE" w:rsidP="006A4E85">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sidR="00024EE4">
              <w:rPr>
                <w:rFonts w:ascii="Times New Roman" w:eastAsia="Times New Roman" w:hAnsi="Times New Roman" w:cs="Times New Roman"/>
                <w:b/>
                <w:bCs/>
                <w:i/>
                <w:iCs/>
                <w:color w:val="000000"/>
                <w:sz w:val="20"/>
                <w:szCs w:val="20"/>
                <w:lang w:eastAsia="sk-SK"/>
              </w:rPr>
              <w:t>Nepriame finančné náklady</w:t>
            </w:r>
            <w:r w:rsidR="006A4E85">
              <w:rPr>
                <w:rFonts w:ascii="Times New Roman" w:eastAsia="Times New Roman" w:hAnsi="Times New Roman" w:cs="Times New Roman"/>
                <w:b/>
                <w:bCs/>
                <w:i/>
                <w:iCs/>
                <w:color w:val="000000"/>
                <w:sz w:val="20"/>
                <w:szCs w:val="20"/>
                <w:lang w:eastAsia="sk-SK"/>
              </w:rPr>
              <w:t xml:space="preserve">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3BF06F54"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F226C4">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12FB267A" w:rsidR="00C929AE" w:rsidRPr="00C929AE" w:rsidRDefault="00F226C4" w:rsidP="00C929AE">
            <w:pPr>
              <w:spacing w:after="0" w:line="240" w:lineRule="auto"/>
              <w:jc w:val="center"/>
              <w:rPr>
                <w:rFonts w:ascii="Times New Roman" w:eastAsia="Times New Roman" w:hAnsi="Times New Roman" w:cs="Times New Roman"/>
                <w:b/>
                <w:bCs/>
                <w:color w:val="000000"/>
                <w:sz w:val="20"/>
                <w:szCs w:val="20"/>
                <w:lang w:eastAsia="sk-SK"/>
              </w:rPr>
            </w:pPr>
            <w:r>
              <w:t>Nekvantifikované</w:t>
            </w:r>
            <w:r w:rsidR="00C929AE" w:rsidRPr="00C929AE">
              <w:rPr>
                <w:rFonts w:ascii="Times New Roman" w:eastAsia="Times New Roman" w:hAnsi="Times New Roman" w:cs="Times New Roman"/>
                <w:b/>
                <w:bCs/>
                <w:color w:val="000000"/>
                <w:sz w:val="20"/>
                <w:szCs w:val="20"/>
                <w:lang w:eastAsia="sk-SK"/>
              </w:rPr>
              <w:t> </w:t>
            </w:r>
          </w:p>
        </w:tc>
      </w:tr>
      <w:tr w:rsidR="006A4E85" w:rsidRPr="00C929AE" w14:paraId="547BC8DA" w14:textId="77777777" w:rsidTr="00804BC8">
        <w:trPr>
          <w:gridAfter w:val="2"/>
          <w:wAfter w:w="583" w:type="dxa"/>
          <w:trHeight w:val="480"/>
        </w:trPr>
        <w:tc>
          <w:tcPr>
            <w:tcW w:w="146" w:type="dxa"/>
            <w:tcBorders>
              <w:top w:val="nil"/>
              <w:left w:val="nil"/>
              <w:bottom w:val="nil"/>
              <w:right w:val="nil"/>
            </w:tcBorders>
            <w:noWrap/>
            <w:vAlign w:val="bottom"/>
          </w:tcPr>
          <w:p w14:paraId="29E6137F" w14:textId="77777777" w:rsidR="006A4E85" w:rsidRPr="00C929AE" w:rsidRDefault="006A4E85"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tcPr>
          <w:p w14:paraId="7A86A5AE" w14:textId="77777777" w:rsidR="006A4E85"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11EBB1E6" w:rsidR="006A4E85" w:rsidRPr="00C929AE" w:rsidRDefault="00F226C4"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39FC262F" w:rsidR="006A4E85" w:rsidRPr="00C929AE" w:rsidRDefault="00F226C4" w:rsidP="00C929AE">
            <w:pPr>
              <w:spacing w:after="0" w:line="240" w:lineRule="auto"/>
              <w:jc w:val="center"/>
              <w:rPr>
                <w:rFonts w:ascii="Times New Roman" w:eastAsia="Times New Roman" w:hAnsi="Times New Roman" w:cs="Times New Roman"/>
                <w:b/>
                <w:bCs/>
                <w:color w:val="000000"/>
                <w:sz w:val="20"/>
                <w:szCs w:val="20"/>
                <w:lang w:eastAsia="sk-SK"/>
              </w:rPr>
            </w:pPr>
            <w:r>
              <w:t>Nekvantifikované</w:t>
            </w:r>
          </w:p>
        </w:tc>
      </w:tr>
      <w:tr w:rsidR="00C929AE" w:rsidRPr="00C929AE" w14:paraId="10B7BDC5" w14:textId="77777777" w:rsidTr="00804BC8">
        <w:trPr>
          <w:gridAfter w:val="2"/>
          <w:wAfter w:w="583" w:type="dxa"/>
          <w:trHeight w:val="600"/>
        </w:trPr>
        <w:tc>
          <w:tcPr>
            <w:tcW w:w="146" w:type="dxa"/>
            <w:tcBorders>
              <w:top w:val="nil"/>
              <w:left w:val="nil"/>
              <w:bottom w:val="nil"/>
              <w:right w:val="nil"/>
            </w:tcBorders>
            <w:noWrap/>
            <w:vAlign w:val="bottom"/>
            <w:hideMark/>
          </w:tcPr>
          <w:p w14:paraId="2BD5240B"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2AD49376"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006A4E85"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1A1489DE"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F226C4">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31CB2395" w:rsidR="00C929AE" w:rsidRPr="00C929AE" w:rsidRDefault="00F226C4"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bl>
    <w:p w14:paraId="707B1A31" w14:textId="77777777" w:rsidR="005D3BC0" w:rsidRDefault="005D3BC0" w:rsidP="008F1B49">
      <w:pPr>
        <w:rPr>
          <w:rFonts w:ascii="Times New Roman" w:eastAsia="Calibri" w:hAnsi="Times New Roman" w:cs="Times New Roman"/>
          <w:bCs/>
          <w:sz w:val="24"/>
          <w:szCs w:val="24"/>
        </w:rPr>
      </w:pPr>
    </w:p>
    <w:p w14:paraId="5AE8912B" w14:textId="43500921" w:rsidR="008F1B49" w:rsidRPr="008F1B49" w:rsidRDefault="008F1B49" w:rsidP="008F1B49">
      <w:pPr>
        <w:rPr>
          <w:rFonts w:ascii="Times New Roman" w:eastAsia="Calibri" w:hAnsi="Times New Roman" w:cs="Times New Roman"/>
          <w:bCs/>
          <w:sz w:val="24"/>
          <w:szCs w:val="24"/>
        </w:rPr>
      </w:pPr>
      <w:r w:rsidRPr="008F1B49">
        <w:rPr>
          <w:rFonts w:ascii="Times New Roman" w:eastAsia="Calibri" w:hAnsi="Times New Roman" w:cs="Times New Roman"/>
          <w:bCs/>
          <w:sz w:val="24"/>
          <w:szCs w:val="24"/>
        </w:rPr>
        <w:t>Predkladaný materiál neustanovuje nové priame finančné ani administratívne povinnosti pre podnikateľské subjekty. Ide o stanovisko SR k návrhu smernice EÚ. Kvantifikácia nákladov alebo úspor nie je v tejto fáze možná. Návrh smernice však sleduje zjednodušenie prístupu k priestorovým údajom a znižovanie administratívnej záťaže pri ich poskytovaní a využívaní.</w:t>
      </w: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lastRenderedPageBreak/>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77777777" w:rsidR="00054C41" w:rsidRDefault="00054C41" w:rsidP="00054C41">
      <w:pPr>
        <w:spacing w:after="0"/>
        <w:jc w:val="both"/>
        <w:rPr>
          <w:rFonts w:ascii="Times New Roman" w:eastAsia="Calibri" w:hAnsi="Times New Roman" w:cs="Times New Roman"/>
          <w:i/>
          <w:sz w:val="24"/>
          <w:szCs w:val="24"/>
        </w:rPr>
      </w:pPr>
    </w:p>
    <w:p w14:paraId="44A68FBF" w14:textId="677727A1" w:rsidR="008F1B49" w:rsidRPr="008F1B49" w:rsidRDefault="008F1B49" w:rsidP="005D3BC0">
      <w:pPr>
        <w:spacing w:after="0"/>
        <w:jc w:val="both"/>
        <w:rPr>
          <w:rFonts w:ascii="Times New Roman" w:eastAsia="Calibri" w:hAnsi="Times New Roman" w:cs="Times New Roman"/>
          <w:iCs/>
          <w:sz w:val="24"/>
          <w:szCs w:val="24"/>
        </w:rPr>
      </w:pPr>
      <w:r w:rsidRPr="008F1B49">
        <w:rPr>
          <w:rFonts w:ascii="Times New Roman" w:eastAsia="Calibri" w:hAnsi="Times New Roman" w:cs="Times New Roman"/>
          <w:iCs/>
          <w:sz w:val="24"/>
          <w:szCs w:val="24"/>
        </w:rPr>
        <w:t xml:space="preserve">Pri spracovaní materiálu boli využité podklady Európskej komisie, odborné konzultácie s dotknutými subjektmi v rámci implementácie INSPIRE a skúsenosti z prevádzky národnej infraštruktúry pre priestorové informácie. </w:t>
      </w:r>
      <w:r w:rsidR="005D3BC0" w:rsidRPr="005D3BC0">
        <w:rPr>
          <w:rFonts w:ascii="Times New Roman" w:eastAsia="Calibri" w:hAnsi="Times New Roman" w:cs="Times New Roman"/>
          <w:iCs/>
          <w:sz w:val="24"/>
          <w:szCs w:val="24"/>
        </w:rPr>
        <w:t>Pri príprave stanoviska boli zohľadnené výsledky verejnej konzultácie Európskej komisie k iniciatíve GreenData4All a zjednodušeniu smernice INSPIRE, do ktorej sa zapojili aj podnikateľské subjekty a profesijné združenia. Konzultácie potvrdili podporu opatreniam smerujúcim k lepšej dostupnosti údajov, využívaniu otvorených rozhraní (API), znižovaniu administratívnej záťaže a zosúladeniu pravidiel s legislatívou EÚ v oblasti otvorených údajov. Neboli identifikované požiadavky na zavedenie nových regulačných povinností pre podnikateľské subjekty.</w:t>
      </w:r>
      <w:r w:rsidR="005D3BC0">
        <w:rPr>
          <w:rFonts w:ascii="Times New Roman" w:eastAsia="Calibri" w:hAnsi="Times New Roman" w:cs="Times New Roman"/>
          <w:iCs/>
          <w:sz w:val="24"/>
          <w:szCs w:val="24"/>
        </w:rPr>
        <w:t xml:space="preserve"> </w:t>
      </w:r>
    </w:p>
    <w:p w14:paraId="08FCAD96" w14:textId="77777777" w:rsidR="00054C41" w:rsidRPr="00D8247C" w:rsidRDefault="00054C41"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5CAF52B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4D049DE7"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452A90F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Default="00054C41" w:rsidP="00054C41">
      <w:pPr>
        <w:spacing w:after="0"/>
        <w:jc w:val="both"/>
        <w:rPr>
          <w:rFonts w:ascii="Times New Roman" w:eastAsia="Calibri" w:hAnsi="Times New Roman" w:cs="Times New Roman"/>
          <w:i/>
          <w:sz w:val="24"/>
          <w:szCs w:val="24"/>
        </w:rPr>
      </w:pPr>
    </w:p>
    <w:p w14:paraId="4D1C0872" w14:textId="2D8375B7" w:rsidR="008F1B49" w:rsidRDefault="005D3BC0" w:rsidP="00054C41">
      <w:pPr>
        <w:spacing w:after="0"/>
        <w:jc w:val="both"/>
        <w:rPr>
          <w:rFonts w:ascii="Times New Roman" w:eastAsia="Calibri" w:hAnsi="Times New Roman" w:cs="Times New Roman"/>
          <w:i/>
          <w:sz w:val="24"/>
          <w:szCs w:val="24"/>
        </w:rPr>
      </w:pPr>
      <w:r w:rsidRPr="005D3BC0">
        <w:rPr>
          <w:rFonts w:ascii="Times New Roman" w:eastAsia="Calibri" w:hAnsi="Times New Roman" w:cs="Times New Roman"/>
          <w:iCs/>
          <w:sz w:val="24"/>
          <w:szCs w:val="24"/>
        </w:rPr>
        <w:t>Návrh nevytvára nové bariéry na trhu ani rozdielne podmienky pre jednotlivé kategórie podnikov.</w:t>
      </w:r>
      <w:r>
        <w:rPr>
          <w:rFonts w:ascii="Times New Roman" w:eastAsia="Calibri" w:hAnsi="Times New Roman" w:cs="Times New Roman"/>
          <w:iCs/>
          <w:sz w:val="24"/>
          <w:szCs w:val="24"/>
        </w:rPr>
        <w:t xml:space="preserve"> Materiál nevytvára podmienky pre rozličné zaobchádzanie s podnikmi a produktmi a môže pozitívne vplývať na cezhraničné </w:t>
      </w:r>
      <w:proofErr w:type="spellStart"/>
      <w:r>
        <w:rPr>
          <w:rFonts w:ascii="Times New Roman" w:eastAsia="Calibri" w:hAnsi="Times New Roman" w:cs="Times New Roman"/>
          <w:iCs/>
          <w:sz w:val="24"/>
          <w:szCs w:val="24"/>
        </w:rPr>
        <w:t>investácie</w:t>
      </w:r>
      <w:proofErr w:type="spellEnd"/>
      <w:r>
        <w:rPr>
          <w:rFonts w:ascii="Times New Roman" w:eastAsia="Calibri" w:hAnsi="Times New Roman" w:cs="Times New Roman"/>
          <w:iCs/>
          <w:sz w:val="24"/>
          <w:szCs w:val="24"/>
        </w:rPr>
        <w:t xml:space="preserve"> z dôvodu zjednotenia podmienok zdieľania a využívania priestorových údajov. </w:t>
      </w:r>
      <w:r w:rsidRPr="005D3BC0">
        <w:rPr>
          <w:rFonts w:ascii="Times New Roman" w:eastAsia="Calibri" w:hAnsi="Times New Roman" w:cs="Times New Roman"/>
          <w:iCs/>
          <w:sz w:val="24"/>
          <w:szCs w:val="24"/>
        </w:rPr>
        <w:t>Návrh môže pozitívne prispieť ku konkurencieschopnosti podnikov využívajúcich priestorové a environmentálne údaje tým, že zjednodušuje prístup k údajom, odstraňuje duplicitné požiadavky a podporuje ich opakované využitie prostredníctvom otvorených štandardov a</w:t>
      </w:r>
      <w:r>
        <w:rPr>
          <w:rFonts w:ascii="Times New Roman" w:eastAsia="Calibri" w:hAnsi="Times New Roman" w:cs="Times New Roman"/>
          <w:iCs/>
          <w:sz w:val="24"/>
          <w:szCs w:val="24"/>
        </w:rPr>
        <w:t> </w:t>
      </w:r>
      <w:proofErr w:type="spellStart"/>
      <w:r>
        <w:rPr>
          <w:rFonts w:ascii="Times New Roman" w:eastAsia="Calibri" w:hAnsi="Times New Roman" w:cs="Times New Roman"/>
          <w:iCs/>
          <w:sz w:val="24"/>
          <w:szCs w:val="24"/>
        </w:rPr>
        <w:t>aplikačno</w:t>
      </w:r>
      <w:proofErr w:type="spellEnd"/>
      <w:r>
        <w:rPr>
          <w:rFonts w:ascii="Times New Roman" w:eastAsia="Calibri" w:hAnsi="Times New Roman" w:cs="Times New Roman"/>
          <w:iCs/>
          <w:sz w:val="24"/>
          <w:szCs w:val="24"/>
        </w:rPr>
        <w:t xml:space="preserve"> programových rozhraní (</w:t>
      </w:r>
      <w:r w:rsidRPr="005D3BC0">
        <w:rPr>
          <w:rFonts w:ascii="Times New Roman" w:eastAsia="Calibri" w:hAnsi="Times New Roman" w:cs="Times New Roman"/>
          <w:iCs/>
          <w:sz w:val="24"/>
          <w:szCs w:val="24"/>
        </w:rPr>
        <w:t>API</w:t>
      </w:r>
      <w:r>
        <w:rPr>
          <w:rFonts w:ascii="Times New Roman" w:eastAsia="Calibri" w:hAnsi="Times New Roman" w:cs="Times New Roman"/>
          <w:iCs/>
          <w:sz w:val="24"/>
          <w:szCs w:val="24"/>
        </w:rPr>
        <w:t>)</w:t>
      </w:r>
      <w:r w:rsidRPr="005D3BC0">
        <w:rPr>
          <w:rFonts w:ascii="Times New Roman" w:eastAsia="Calibri" w:hAnsi="Times New Roman" w:cs="Times New Roman"/>
          <w:iCs/>
          <w:sz w:val="24"/>
          <w:szCs w:val="24"/>
        </w:rPr>
        <w:t xml:space="preserve">. Očakáva sa zníženie administratívnych nákladov spojených so sprístupňovaním a využívaním údajov, čo môže podporiť inovácie, vývoj digitálnych služieb a využívanie umelej inteligencie. </w:t>
      </w:r>
      <w:proofErr w:type="spellStart"/>
      <w:r>
        <w:rPr>
          <w:rFonts w:ascii="Times New Roman" w:eastAsia="Calibri" w:hAnsi="Times New Roman" w:cs="Times New Roman"/>
          <w:iCs/>
          <w:sz w:val="24"/>
          <w:szCs w:val="24"/>
        </w:rPr>
        <w:t>Vneposlednom</w:t>
      </w:r>
      <w:proofErr w:type="spellEnd"/>
      <w:r>
        <w:rPr>
          <w:rFonts w:ascii="Times New Roman" w:eastAsia="Calibri" w:hAnsi="Times New Roman" w:cs="Times New Roman"/>
          <w:iCs/>
          <w:sz w:val="24"/>
          <w:szCs w:val="24"/>
        </w:rPr>
        <w:t xml:space="preserve"> rade návrh </w:t>
      </w:r>
      <w:proofErr w:type="spellStart"/>
      <w:r>
        <w:rPr>
          <w:rFonts w:ascii="Times New Roman" w:eastAsia="Calibri" w:hAnsi="Times New Roman" w:cs="Times New Roman"/>
          <w:iCs/>
          <w:sz w:val="24"/>
          <w:szCs w:val="24"/>
        </w:rPr>
        <w:t>napmôže</w:t>
      </w:r>
      <w:proofErr w:type="spellEnd"/>
      <w:r>
        <w:rPr>
          <w:rFonts w:ascii="Times New Roman" w:eastAsia="Calibri" w:hAnsi="Times New Roman" w:cs="Times New Roman"/>
          <w:iCs/>
          <w:sz w:val="24"/>
          <w:szCs w:val="24"/>
        </w:rPr>
        <w:t xml:space="preserve"> zvýšeniu produktivity z dôvodu dostupnosti priestorových údajov, ktoré v súčasnosti absentujú a môžu </w:t>
      </w:r>
      <w:proofErr w:type="spellStart"/>
      <w:r>
        <w:rPr>
          <w:rFonts w:ascii="Times New Roman" w:eastAsia="Calibri" w:hAnsi="Times New Roman" w:cs="Times New Roman"/>
          <w:iCs/>
          <w:sz w:val="24"/>
          <w:szCs w:val="24"/>
        </w:rPr>
        <w:t>p,ocť</w:t>
      </w:r>
      <w:proofErr w:type="spellEnd"/>
      <w:r>
        <w:rPr>
          <w:rFonts w:ascii="Times New Roman" w:eastAsia="Calibri" w:hAnsi="Times New Roman" w:cs="Times New Roman"/>
          <w:iCs/>
          <w:sz w:val="24"/>
          <w:szCs w:val="24"/>
        </w:rPr>
        <w:t xml:space="preserve"> v </w:t>
      </w:r>
      <w:proofErr w:type="spellStart"/>
      <w:r>
        <w:rPr>
          <w:rFonts w:ascii="Times New Roman" w:eastAsia="Calibri" w:hAnsi="Times New Roman" w:cs="Times New Roman"/>
          <w:iCs/>
          <w:sz w:val="24"/>
          <w:szCs w:val="24"/>
        </w:rPr>
        <w:t>efektivizácii</w:t>
      </w:r>
      <w:proofErr w:type="spellEnd"/>
      <w:r>
        <w:rPr>
          <w:rFonts w:ascii="Times New Roman" w:eastAsia="Calibri" w:hAnsi="Times New Roman" w:cs="Times New Roman"/>
          <w:iCs/>
          <w:sz w:val="24"/>
          <w:szCs w:val="24"/>
        </w:rPr>
        <w:t xml:space="preserve"> </w:t>
      </w:r>
      <w:proofErr w:type="spellStart"/>
      <w:r>
        <w:rPr>
          <w:rFonts w:ascii="Times New Roman" w:eastAsia="Calibri" w:hAnsi="Times New Roman" w:cs="Times New Roman"/>
          <w:iCs/>
          <w:sz w:val="24"/>
          <w:szCs w:val="24"/>
        </w:rPr>
        <w:t>podnikateĺského</w:t>
      </w:r>
      <w:proofErr w:type="spellEnd"/>
      <w:r>
        <w:rPr>
          <w:rFonts w:ascii="Times New Roman" w:eastAsia="Calibri" w:hAnsi="Times New Roman" w:cs="Times New Roman"/>
          <w:iCs/>
          <w:sz w:val="24"/>
          <w:szCs w:val="24"/>
        </w:rPr>
        <w:t xml:space="preserve"> prostredia. </w:t>
      </w:r>
    </w:p>
    <w:p w14:paraId="1D46342C" w14:textId="77777777" w:rsidR="008F1B49" w:rsidRPr="00D8247C" w:rsidRDefault="008F1B49"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0F7AF8E2" w:rsidR="00054C41" w:rsidRDefault="0064750F"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9263A5" w:rsidRPr="009263A5">
                <w:rPr>
                  <w:rFonts w:ascii="Times New Roman" w:eastAsia="Calibri" w:hAnsi="Times New Roman" w:cs="Times New Roman"/>
                  <w:i/>
                  <w:sz w:val="24"/>
                  <w:szCs w:val="24"/>
                </w:rPr>
                <w:t>X</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273C79B7" w14:textId="77777777" w:rsidR="009263A5" w:rsidRDefault="009263A5" w:rsidP="00054C41">
      <w:pPr>
        <w:spacing w:after="0"/>
        <w:jc w:val="both"/>
        <w:rPr>
          <w:rFonts w:ascii="Times New Roman" w:eastAsia="Calibri" w:hAnsi="Times New Roman" w:cs="Times New Roman"/>
          <w:b/>
          <w:i/>
          <w:sz w:val="24"/>
          <w:szCs w:val="24"/>
        </w:rPr>
      </w:pPr>
    </w:p>
    <w:p w14:paraId="5861187D" w14:textId="0DE863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796F28AC" w:rsidR="00054C41" w:rsidRPr="00D8247C" w:rsidRDefault="0064750F"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9263A5">
                <w:rPr>
                  <w:rFonts w:ascii="Times New Roman" w:eastAsia="Calibri" w:hAnsi="Times New Roman" w:cs="Times New Roman"/>
                  <w:i/>
                  <w:sz w:val="24"/>
                  <w:szCs w:val="24"/>
                </w:rPr>
                <w:t>X</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28475083" w14:textId="77777777" w:rsidR="008F1B49" w:rsidRDefault="008F1B49" w:rsidP="008F1B49">
      <w:pPr>
        <w:spacing w:after="0" w:line="254" w:lineRule="auto"/>
        <w:jc w:val="both"/>
        <w:rPr>
          <w:rFonts w:ascii="Times New Roman" w:eastAsia="Calibri" w:hAnsi="Times New Roman" w:cs="Times New Roman"/>
          <w:i/>
          <w:sz w:val="24"/>
          <w:szCs w:val="24"/>
        </w:rPr>
      </w:pPr>
    </w:p>
    <w:p w14:paraId="249EA467" w14:textId="1B57A321" w:rsidR="008F1B49" w:rsidRDefault="008F1B49" w:rsidP="008F1B49">
      <w:pPr>
        <w:rPr>
          <w:rFonts w:ascii="Times New Roman" w:eastAsia="Calibri" w:hAnsi="Times New Roman" w:cs="Times New Roman"/>
          <w:iCs/>
          <w:sz w:val="24"/>
          <w:szCs w:val="24"/>
        </w:rPr>
      </w:pPr>
      <w:r w:rsidRPr="008F1B49">
        <w:rPr>
          <w:rFonts w:ascii="Times New Roman" w:eastAsia="Calibri" w:hAnsi="Times New Roman" w:cs="Times New Roman"/>
          <w:iCs/>
          <w:sz w:val="24"/>
          <w:szCs w:val="24"/>
        </w:rPr>
        <w:t>Materiál nepredpokladá vznik nových regulačných povinností, poplatkov, sankcií ani administratívnych zaťažení pre podnikateľské subjekty. Potenciálne pozitívne vplyvy vyplývajú zo zjednodušenia prístupu k údajom, podpory opakovaného použitia údajov a znižovania bariér pri poskytovaní a využívaní priestorových údajov.</w:t>
      </w:r>
      <w:r w:rsidR="00E17DFF">
        <w:rPr>
          <w:rFonts w:ascii="Times New Roman" w:eastAsia="Calibri" w:hAnsi="Times New Roman" w:cs="Times New Roman"/>
          <w:iCs/>
          <w:sz w:val="24"/>
          <w:szCs w:val="24"/>
        </w:rPr>
        <w:t xml:space="preserve"> </w:t>
      </w:r>
      <w:r w:rsidR="00E17DFF" w:rsidRPr="00E17DFF">
        <w:rPr>
          <w:rFonts w:ascii="Times New Roman" w:eastAsia="Calibri" w:hAnsi="Times New Roman" w:cs="Times New Roman"/>
          <w:iCs/>
          <w:sz w:val="24"/>
          <w:szCs w:val="24"/>
        </w:rPr>
        <w:t xml:space="preserve">Materiál môže mať pozitívny nepriamy vplyv na podnikateľské prostredie prostredníctvom lepšej dostupnosti vysokohodnotných </w:t>
      </w:r>
      <w:proofErr w:type="spellStart"/>
      <w:r w:rsidR="00E17DFF" w:rsidRPr="00E17DFF">
        <w:rPr>
          <w:rFonts w:ascii="Times New Roman" w:eastAsia="Calibri" w:hAnsi="Times New Roman" w:cs="Times New Roman"/>
          <w:iCs/>
          <w:sz w:val="24"/>
          <w:szCs w:val="24"/>
        </w:rPr>
        <w:t>geopriestorových</w:t>
      </w:r>
      <w:proofErr w:type="spellEnd"/>
      <w:r w:rsidR="00E17DFF" w:rsidRPr="00E17DFF">
        <w:rPr>
          <w:rFonts w:ascii="Times New Roman" w:eastAsia="Calibri" w:hAnsi="Times New Roman" w:cs="Times New Roman"/>
          <w:iCs/>
          <w:sz w:val="24"/>
          <w:szCs w:val="24"/>
        </w:rPr>
        <w:t xml:space="preserve"> a environmentálnych údajov využiteľných pri vývoji nových produktov a služieb. Opatrenia podporujú efektívnejšie využívanie verejných údajov, </w:t>
      </w:r>
      <w:proofErr w:type="spellStart"/>
      <w:r w:rsidR="00E17DFF" w:rsidRPr="00E17DFF">
        <w:rPr>
          <w:rFonts w:ascii="Times New Roman" w:eastAsia="Calibri" w:hAnsi="Times New Roman" w:cs="Times New Roman"/>
          <w:iCs/>
          <w:sz w:val="24"/>
          <w:szCs w:val="24"/>
        </w:rPr>
        <w:t>interoperabilitu</w:t>
      </w:r>
      <w:proofErr w:type="spellEnd"/>
      <w:r w:rsidR="00E17DFF" w:rsidRPr="00E17DFF">
        <w:rPr>
          <w:rFonts w:ascii="Times New Roman" w:eastAsia="Calibri" w:hAnsi="Times New Roman" w:cs="Times New Roman"/>
          <w:iCs/>
          <w:sz w:val="24"/>
          <w:szCs w:val="24"/>
        </w:rPr>
        <w:t xml:space="preserve"> a rozvoj dátovo orientovaných riešení v oblastiach </w:t>
      </w:r>
      <w:proofErr w:type="spellStart"/>
      <w:r w:rsidR="00E17DFF" w:rsidRPr="00E17DFF">
        <w:rPr>
          <w:rFonts w:ascii="Times New Roman" w:eastAsia="Calibri" w:hAnsi="Times New Roman" w:cs="Times New Roman"/>
          <w:iCs/>
          <w:sz w:val="24"/>
          <w:szCs w:val="24"/>
        </w:rPr>
        <w:t>geoinformatiky</w:t>
      </w:r>
      <w:proofErr w:type="spellEnd"/>
      <w:r w:rsidR="00E17DFF" w:rsidRPr="00E17DFF">
        <w:rPr>
          <w:rFonts w:ascii="Times New Roman" w:eastAsia="Calibri" w:hAnsi="Times New Roman" w:cs="Times New Roman"/>
          <w:iCs/>
          <w:sz w:val="24"/>
          <w:szCs w:val="24"/>
        </w:rPr>
        <w:t xml:space="preserve">, životného prostredia, </w:t>
      </w:r>
      <w:r w:rsidR="00E17DFF">
        <w:rPr>
          <w:rFonts w:ascii="Times New Roman" w:eastAsia="Calibri" w:hAnsi="Times New Roman" w:cs="Times New Roman"/>
          <w:iCs/>
          <w:sz w:val="24"/>
          <w:szCs w:val="24"/>
        </w:rPr>
        <w:t xml:space="preserve">ako aj ďalších hospodárskych segmentov ako napríklad </w:t>
      </w:r>
      <w:r w:rsidR="00E17DFF" w:rsidRPr="00E17DFF">
        <w:rPr>
          <w:rFonts w:ascii="Times New Roman" w:eastAsia="Calibri" w:hAnsi="Times New Roman" w:cs="Times New Roman"/>
          <w:iCs/>
          <w:sz w:val="24"/>
          <w:szCs w:val="24"/>
        </w:rPr>
        <w:t xml:space="preserve">stavebníctva, dopravy </w:t>
      </w:r>
      <w:r w:rsidR="00E17DFF">
        <w:rPr>
          <w:rFonts w:ascii="Times New Roman" w:eastAsia="Calibri" w:hAnsi="Times New Roman" w:cs="Times New Roman"/>
          <w:iCs/>
          <w:sz w:val="24"/>
          <w:szCs w:val="24"/>
        </w:rPr>
        <w:t>či</w:t>
      </w:r>
      <w:r w:rsidR="00E17DFF" w:rsidRPr="00E17DFF">
        <w:rPr>
          <w:rFonts w:ascii="Times New Roman" w:eastAsia="Calibri" w:hAnsi="Times New Roman" w:cs="Times New Roman"/>
          <w:iCs/>
          <w:sz w:val="24"/>
          <w:szCs w:val="24"/>
        </w:rPr>
        <w:t xml:space="preserve"> poľnohospodárstva.</w:t>
      </w:r>
    </w:p>
    <w:p w14:paraId="3F8DADFC" w14:textId="77777777" w:rsidR="003E3C86" w:rsidRPr="007113E1" w:rsidRDefault="003E3C86" w:rsidP="003E3C86">
      <w:pPr>
        <w:jc w:val="both"/>
        <w:rPr>
          <w:rFonts w:ascii="Times New Roman" w:eastAsia="Times New Roman" w:hAnsi="Times New Roman" w:cs="Times New Roman"/>
          <w:iCs/>
          <w:sz w:val="24"/>
          <w:szCs w:val="24"/>
          <w:lang w:eastAsia="sk-SK"/>
        </w:rPr>
      </w:pPr>
      <w:r w:rsidRPr="007113E1">
        <w:rPr>
          <w:rFonts w:ascii="Times New Roman" w:eastAsia="Times New Roman" w:hAnsi="Times New Roman" w:cs="Times New Roman"/>
          <w:iCs/>
          <w:sz w:val="24"/>
          <w:szCs w:val="24"/>
          <w:lang w:eastAsia="sk-SK"/>
        </w:rPr>
        <w:t>Medzi negatívne vplyvy materiálu možno uviesť:</w:t>
      </w:r>
    </w:p>
    <w:p w14:paraId="395864EE" w14:textId="62F0A75A" w:rsidR="003E3C86" w:rsidRPr="007113E1" w:rsidRDefault="003E3C86" w:rsidP="003E3C86">
      <w:pPr>
        <w:pStyle w:val="Odsekzoznamu"/>
        <w:numPr>
          <w:ilvl w:val="0"/>
          <w:numId w:val="15"/>
        </w:numPr>
        <w:spacing w:after="0" w:line="240" w:lineRule="auto"/>
        <w:ind w:left="596" w:hanging="342"/>
        <w:jc w:val="both"/>
        <w:rPr>
          <w:rFonts w:ascii="Times New Roman" w:eastAsia="Times New Roman" w:hAnsi="Times New Roman"/>
          <w:iCs/>
          <w:sz w:val="24"/>
          <w:szCs w:val="24"/>
          <w:lang w:eastAsia="sk-SK"/>
        </w:rPr>
      </w:pPr>
      <w:r w:rsidRPr="007113E1">
        <w:rPr>
          <w:rFonts w:ascii="Times New Roman" w:eastAsia="Times New Roman" w:hAnsi="Times New Roman"/>
          <w:iCs/>
          <w:sz w:val="24"/>
          <w:szCs w:val="24"/>
          <w:lang w:eastAsia="sk-SK"/>
        </w:rPr>
        <w:t>Zvýšenie neprehľadnosti regulačného rámca - presun časti požiadaviek do iných právnych predpisov môže zvýšiť komplexnosť pravidiel pre podnikateľské subjekty</w:t>
      </w:r>
      <w:r>
        <w:rPr>
          <w:rFonts w:ascii="Times New Roman" w:eastAsia="Times New Roman" w:hAnsi="Times New Roman"/>
          <w:iCs/>
          <w:sz w:val="24"/>
          <w:szCs w:val="24"/>
          <w:lang w:eastAsia="sk-SK"/>
        </w:rPr>
        <w:t>.</w:t>
      </w:r>
    </w:p>
    <w:p w14:paraId="0F24C3C6" w14:textId="6A9D484E" w:rsidR="003E3C86" w:rsidRPr="007113E1" w:rsidRDefault="003E3C86" w:rsidP="003E3C86">
      <w:pPr>
        <w:pStyle w:val="Odsekzoznamu"/>
        <w:numPr>
          <w:ilvl w:val="0"/>
          <w:numId w:val="15"/>
        </w:numPr>
        <w:spacing w:after="0" w:line="240" w:lineRule="auto"/>
        <w:ind w:left="596" w:hanging="342"/>
        <w:jc w:val="both"/>
        <w:rPr>
          <w:rFonts w:ascii="Times New Roman" w:eastAsia="Times New Roman" w:hAnsi="Times New Roman"/>
          <w:iCs/>
          <w:sz w:val="24"/>
          <w:szCs w:val="24"/>
          <w:lang w:eastAsia="sk-SK"/>
        </w:rPr>
      </w:pPr>
      <w:r w:rsidRPr="007113E1">
        <w:rPr>
          <w:rFonts w:ascii="Times New Roman" w:eastAsia="Times New Roman" w:hAnsi="Times New Roman"/>
          <w:iCs/>
          <w:sz w:val="24"/>
          <w:szCs w:val="24"/>
          <w:lang w:eastAsia="sk-SK"/>
        </w:rPr>
        <w:t>Dotknuté subjekty môžu byť nútené upravovať IT systémy, dátové formáty a procesy práce s údajmi - riziko zvýšenia nákladov na implementáciu</w:t>
      </w:r>
      <w:r>
        <w:rPr>
          <w:rFonts w:ascii="Times New Roman" w:eastAsia="Times New Roman" w:hAnsi="Times New Roman"/>
          <w:iCs/>
          <w:sz w:val="24"/>
          <w:szCs w:val="24"/>
          <w:lang w:eastAsia="sk-SK"/>
        </w:rPr>
        <w:t>.</w:t>
      </w:r>
    </w:p>
    <w:p w14:paraId="10773715" w14:textId="5F5BB43D" w:rsidR="003E3C86" w:rsidRPr="007113E1" w:rsidRDefault="003E3C86" w:rsidP="003E3C86">
      <w:pPr>
        <w:pStyle w:val="Odsekzoznamu"/>
        <w:numPr>
          <w:ilvl w:val="0"/>
          <w:numId w:val="15"/>
        </w:numPr>
        <w:spacing w:after="0" w:line="240" w:lineRule="auto"/>
        <w:ind w:left="596" w:hanging="342"/>
        <w:jc w:val="both"/>
        <w:rPr>
          <w:rFonts w:ascii="Times New Roman" w:eastAsia="Times New Roman" w:hAnsi="Times New Roman"/>
          <w:iCs/>
          <w:sz w:val="24"/>
          <w:szCs w:val="24"/>
          <w:lang w:eastAsia="sk-SK"/>
        </w:rPr>
      </w:pPr>
      <w:r w:rsidRPr="007113E1">
        <w:rPr>
          <w:rFonts w:ascii="Times New Roman" w:eastAsia="Times New Roman" w:hAnsi="Times New Roman"/>
          <w:iCs/>
          <w:sz w:val="24"/>
          <w:szCs w:val="24"/>
          <w:lang w:eastAsia="sk-SK"/>
        </w:rPr>
        <w:t>Dokument upozorňuje, že návrh môže oslabiť kvalitu priestorových údajov a ich kompatibilitu</w:t>
      </w:r>
      <w:r>
        <w:rPr>
          <w:rFonts w:ascii="Times New Roman" w:eastAsia="Times New Roman" w:hAnsi="Times New Roman"/>
          <w:iCs/>
          <w:sz w:val="24"/>
          <w:szCs w:val="24"/>
          <w:lang w:eastAsia="sk-SK"/>
        </w:rPr>
        <w:t>.</w:t>
      </w:r>
    </w:p>
    <w:p w14:paraId="4888E44A" w14:textId="1B575981" w:rsidR="003E3C86" w:rsidRPr="007113E1" w:rsidRDefault="003E3C86" w:rsidP="003E3C86">
      <w:pPr>
        <w:pStyle w:val="Odsekzoznamu"/>
        <w:numPr>
          <w:ilvl w:val="0"/>
          <w:numId w:val="15"/>
        </w:numPr>
        <w:spacing w:after="0" w:line="240" w:lineRule="auto"/>
        <w:ind w:left="596" w:hanging="342"/>
        <w:jc w:val="both"/>
        <w:rPr>
          <w:rFonts w:ascii="Times New Roman" w:eastAsia="Times New Roman" w:hAnsi="Times New Roman"/>
          <w:iCs/>
          <w:sz w:val="24"/>
          <w:szCs w:val="24"/>
          <w:lang w:eastAsia="sk-SK"/>
        </w:rPr>
      </w:pPr>
      <w:r w:rsidRPr="007113E1">
        <w:rPr>
          <w:rFonts w:ascii="Times New Roman" w:eastAsia="Times New Roman" w:hAnsi="Times New Roman"/>
          <w:iCs/>
          <w:sz w:val="24"/>
          <w:szCs w:val="24"/>
          <w:lang w:eastAsia="sk-SK"/>
        </w:rPr>
        <w:t>Dokument upozorňuje na riziko zhoršenia monitorovania využívania priestorových údajov</w:t>
      </w:r>
      <w:r>
        <w:rPr>
          <w:rFonts w:ascii="Times New Roman" w:eastAsia="Times New Roman" w:hAnsi="Times New Roman"/>
          <w:iCs/>
          <w:sz w:val="24"/>
          <w:szCs w:val="24"/>
          <w:lang w:eastAsia="sk-SK"/>
        </w:rPr>
        <w:t>.</w:t>
      </w:r>
    </w:p>
    <w:p w14:paraId="42AD16EC" w14:textId="77777777" w:rsidR="003E3C86" w:rsidRPr="008F1B49" w:rsidRDefault="003E3C86" w:rsidP="008F1B49">
      <w:pPr>
        <w:rPr>
          <w:rFonts w:ascii="Times New Roman" w:eastAsia="Calibri" w:hAnsi="Times New Roman" w:cs="Times New Roman"/>
          <w:iCs/>
          <w:sz w:val="24"/>
          <w:szCs w:val="24"/>
        </w:rPr>
      </w:pPr>
    </w:p>
    <w:p w14:paraId="6D244CAE" w14:textId="77777777" w:rsidR="008F1B49" w:rsidRPr="008F1B49" w:rsidRDefault="008F1B49" w:rsidP="008F1B49">
      <w:pPr>
        <w:spacing w:after="0" w:line="254" w:lineRule="auto"/>
        <w:jc w:val="both"/>
        <w:rPr>
          <w:rFonts w:ascii="Times New Roman" w:eastAsia="Calibri" w:hAnsi="Times New Roman" w:cs="Times New Roman"/>
          <w:i/>
          <w:sz w:val="24"/>
          <w:szCs w:val="24"/>
        </w:rPr>
      </w:pPr>
    </w:p>
    <w:p w14:paraId="656A83C3"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424DBDFC"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47A4B2DA" w14:textId="77777777" w:rsidR="00142154" w:rsidRDefault="00142154"/>
    <w:sectPr w:rsidR="00142154" w:rsidSect="00231B8F">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1A04D4" w14:textId="77777777" w:rsidR="0064750F" w:rsidRDefault="0064750F" w:rsidP="00054C41">
      <w:pPr>
        <w:spacing w:after="0" w:line="240" w:lineRule="auto"/>
      </w:pPr>
      <w:r>
        <w:separator/>
      </w:r>
    </w:p>
  </w:endnote>
  <w:endnote w:type="continuationSeparator" w:id="0">
    <w:p w14:paraId="1A03ED08" w14:textId="77777777" w:rsidR="0064750F" w:rsidRDefault="0064750F"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75499694" w:rsidR="00F244DC" w:rsidRPr="006045CB" w:rsidRDefault="00F244DC"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7113E1">
          <w:rPr>
            <w:rFonts w:ascii="Times New Roman" w:hAnsi="Times New Roman" w:cs="Times New Roman"/>
            <w:noProof/>
            <w:sz w:val="24"/>
            <w:szCs w:val="24"/>
          </w:rPr>
          <w:t>3</w:t>
        </w:r>
        <w:r w:rsidRPr="006045CB">
          <w:rPr>
            <w:rFonts w:ascii="Times New Roman" w:hAnsi="Times New Roman" w:cs="Times New Roman"/>
            <w:sz w:val="24"/>
            <w:szCs w:val="24"/>
          </w:rPr>
          <w:fldChar w:fldCharType="end"/>
        </w:r>
      </w:p>
    </w:sdtContent>
  </w:sdt>
  <w:p w14:paraId="4556761F" w14:textId="77777777" w:rsidR="00F244DC" w:rsidRPr="00FF7125" w:rsidRDefault="00F244DC" w:rsidP="00054C41">
    <w:pPr>
      <w:pStyle w:val="Pta"/>
      <w:rPr>
        <w:sz w:val="24"/>
        <w:szCs w:val="24"/>
      </w:rPr>
    </w:pPr>
  </w:p>
  <w:p w14:paraId="20FE6A4A" w14:textId="77777777" w:rsidR="00F244DC" w:rsidRDefault="00F244D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C8FC42" w14:textId="77777777" w:rsidR="0064750F" w:rsidRDefault="0064750F" w:rsidP="00054C41">
      <w:pPr>
        <w:spacing w:after="0" w:line="240" w:lineRule="auto"/>
      </w:pPr>
      <w:r>
        <w:separator/>
      </w:r>
    </w:p>
  </w:footnote>
  <w:footnote w:type="continuationSeparator" w:id="0">
    <w:p w14:paraId="7223EFFC" w14:textId="77777777" w:rsidR="0064750F" w:rsidRDefault="0064750F"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D8E6B" w14:textId="77777777" w:rsidR="00F244DC" w:rsidRPr="006045CB" w:rsidRDefault="00F244DC"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F244DC" w:rsidRPr="006045CB" w:rsidRDefault="00F244DC"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06BE2"/>
    <w:multiLevelType w:val="hybridMultilevel"/>
    <w:tmpl w:val="F1EA50F6"/>
    <w:lvl w:ilvl="0" w:tplc="041B0001">
      <w:start w:val="1"/>
      <w:numFmt w:val="bullet"/>
      <w:lvlText w:val=""/>
      <w:lvlJc w:val="left"/>
      <w:pPr>
        <w:ind w:left="1222" w:hanging="360"/>
      </w:pPr>
      <w:rPr>
        <w:rFonts w:ascii="Symbol" w:hAnsi="Symbol" w:hint="default"/>
      </w:rPr>
    </w:lvl>
    <w:lvl w:ilvl="1" w:tplc="041B0003" w:tentative="1">
      <w:start w:val="1"/>
      <w:numFmt w:val="bullet"/>
      <w:lvlText w:val="o"/>
      <w:lvlJc w:val="left"/>
      <w:pPr>
        <w:ind w:left="1942" w:hanging="360"/>
      </w:pPr>
      <w:rPr>
        <w:rFonts w:ascii="Courier New" w:hAnsi="Courier New" w:cs="Courier New" w:hint="default"/>
      </w:rPr>
    </w:lvl>
    <w:lvl w:ilvl="2" w:tplc="041B0005" w:tentative="1">
      <w:start w:val="1"/>
      <w:numFmt w:val="bullet"/>
      <w:lvlText w:val=""/>
      <w:lvlJc w:val="left"/>
      <w:pPr>
        <w:ind w:left="2662" w:hanging="360"/>
      </w:pPr>
      <w:rPr>
        <w:rFonts w:ascii="Wingdings" w:hAnsi="Wingdings" w:hint="default"/>
      </w:rPr>
    </w:lvl>
    <w:lvl w:ilvl="3" w:tplc="041B0001" w:tentative="1">
      <w:start w:val="1"/>
      <w:numFmt w:val="bullet"/>
      <w:lvlText w:val=""/>
      <w:lvlJc w:val="left"/>
      <w:pPr>
        <w:ind w:left="3382" w:hanging="360"/>
      </w:pPr>
      <w:rPr>
        <w:rFonts w:ascii="Symbol" w:hAnsi="Symbol" w:hint="default"/>
      </w:rPr>
    </w:lvl>
    <w:lvl w:ilvl="4" w:tplc="041B0003" w:tentative="1">
      <w:start w:val="1"/>
      <w:numFmt w:val="bullet"/>
      <w:lvlText w:val="o"/>
      <w:lvlJc w:val="left"/>
      <w:pPr>
        <w:ind w:left="4102" w:hanging="360"/>
      </w:pPr>
      <w:rPr>
        <w:rFonts w:ascii="Courier New" w:hAnsi="Courier New" w:cs="Courier New" w:hint="default"/>
      </w:rPr>
    </w:lvl>
    <w:lvl w:ilvl="5" w:tplc="041B0005" w:tentative="1">
      <w:start w:val="1"/>
      <w:numFmt w:val="bullet"/>
      <w:lvlText w:val=""/>
      <w:lvlJc w:val="left"/>
      <w:pPr>
        <w:ind w:left="4822" w:hanging="360"/>
      </w:pPr>
      <w:rPr>
        <w:rFonts w:ascii="Wingdings" w:hAnsi="Wingdings" w:hint="default"/>
      </w:rPr>
    </w:lvl>
    <w:lvl w:ilvl="6" w:tplc="041B0001" w:tentative="1">
      <w:start w:val="1"/>
      <w:numFmt w:val="bullet"/>
      <w:lvlText w:val=""/>
      <w:lvlJc w:val="left"/>
      <w:pPr>
        <w:ind w:left="5542" w:hanging="360"/>
      </w:pPr>
      <w:rPr>
        <w:rFonts w:ascii="Symbol" w:hAnsi="Symbol" w:hint="default"/>
      </w:rPr>
    </w:lvl>
    <w:lvl w:ilvl="7" w:tplc="041B0003" w:tentative="1">
      <w:start w:val="1"/>
      <w:numFmt w:val="bullet"/>
      <w:lvlText w:val="o"/>
      <w:lvlJc w:val="left"/>
      <w:pPr>
        <w:ind w:left="6262" w:hanging="360"/>
      </w:pPr>
      <w:rPr>
        <w:rFonts w:ascii="Courier New" w:hAnsi="Courier New" w:cs="Courier New" w:hint="default"/>
      </w:rPr>
    </w:lvl>
    <w:lvl w:ilvl="8" w:tplc="041B0005" w:tentative="1">
      <w:start w:val="1"/>
      <w:numFmt w:val="bullet"/>
      <w:lvlText w:val=""/>
      <w:lvlJc w:val="left"/>
      <w:pPr>
        <w:ind w:left="6982" w:hanging="360"/>
      </w:pPr>
      <w:rPr>
        <w:rFonts w:ascii="Wingdings" w:hAnsi="Wingdings" w:hint="default"/>
      </w:rPr>
    </w:lvl>
  </w:abstractNum>
  <w:abstractNum w:abstractNumId="1"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1"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2"/>
  </w:num>
  <w:num w:numId="2">
    <w:abstractNumId w:val="10"/>
  </w:num>
  <w:num w:numId="3">
    <w:abstractNumId w:val="11"/>
  </w:num>
  <w:num w:numId="4">
    <w:abstractNumId w:val="9"/>
  </w:num>
  <w:num w:numId="5">
    <w:abstractNumId w:val="7"/>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4"/>
  </w:num>
  <w:num w:numId="11">
    <w:abstractNumId w:val="5"/>
  </w:num>
  <w:num w:numId="12">
    <w:abstractNumId w:val="1"/>
  </w:num>
  <w:num w:numId="13">
    <w:abstractNumId w:val="12"/>
  </w:num>
  <w:num w:numId="14">
    <w:abstractNumId w:val="6"/>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2425A"/>
    <w:rsid w:val="00024EE4"/>
    <w:rsid w:val="00047C70"/>
    <w:rsid w:val="00050AAB"/>
    <w:rsid w:val="00054A53"/>
    <w:rsid w:val="00054C41"/>
    <w:rsid w:val="00060DA1"/>
    <w:rsid w:val="00061E85"/>
    <w:rsid w:val="000820E0"/>
    <w:rsid w:val="00091A43"/>
    <w:rsid w:val="0009490E"/>
    <w:rsid w:val="000A6B7F"/>
    <w:rsid w:val="000C5419"/>
    <w:rsid w:val="000C5E9A"/>
    <w:rsid w:val="000D15F0"/>
    <w:rsid w:val="0011003B"/>
    <w:rsid w:val="001133DA"/>
    <w:rsid w:val="00126A2B"/>
    <w:rsid w:val="00142154"/>
    <w:rsid w:val="001476A4"/>
    <w:rsid w:val="00162C6C"/>
    <w:rsid w:val="0016512E"/>
    <w:rsid w:val="0018715C"/>
    <w:rsid w:val="001A1561"/>
    <w:rsid w:val="001B0EBA"/>
    <w:rsid w:val="001B4C03"/>
    <w:rsid w:val="001C7B91"/>
    <w:rsid w:val="001D1083"/>
    <w:rsid w:val="001D3FA0"/>
    <w:rsid w:val="001E24E8"/>
    <w:rsid w:val="001E53CB"/>
    <w:rsid w:val="00207F43"/>
    <w:rsid w:val="002232D3"/>
    <w:rsid w:val="00225A83"/>
    <w:rsid w:val="00231B8F"/>
    <w:rsid w:val="00270EA5"/>
    <w:rsid w:val="002712B9"/>
    <w:rsid w:val="00284B8C"/>
    <w:rsid w:val="0029483F"/>
    <w:rsid w:val="002C0E9D"/>
    <w:rsid w:val="002C2FC0"/>
    <w:rsid w:val="00302A17"/>
    <w:rsid w:val="00314D25"/>
    <w:rsid w:val="00315BE2"/>
    <w:rsid w:val="003322EE"/>
    <w:rsid w:val="00337630"/>
    <w:rsid w:val="00340CFD"/>
    <w:rsid w:val="003413D5"/>
    <w:rsid w:val="00342621"/>
    <w:rsid w:val="00357F22"/>
    <w:rsid w:val="0036748D"/>
    <w:rsid w:val="00376039"/>
    <w:rsid w:val="0038255E"/>
    <w:rsid w:val="00391648"/>
    <w:rsid w:val="0039304E"/>
    <w:rsid w:val="0039334E"/>
    <w:rsid w:val="00394AD2"/>
    <w:rsid w:val="003A02AF"/>
    <w:rsid w:val="003A3124"/>
    <w:rsid w:val="003A686F"/>
    <w:rsid w:val="003E3C86"/>
    <w:rsid w:val="003E58B8"/>
    <w:rsid w:val="003F06D7"/>
    <w:rsid w:val="00400224"/>
    <w:rsid w:val="00400BA5"/>
    <w:rsid w:val="00410E62"/>
    <w:rsid w:val="00414FA7"/>
    <w:rsid w:val="00420090"/>
    <w:rsid w:val="004239D1"/>
    <w:rsid w:val="00445638"/>
    <w:rsid w:val="00446432"/>
    <w:rsid w:val="00446512"/>
    <w:rsid w:val="00466D7A"/>
    <w:rsid w:val="00480EB9"/>
    <w:rsid w:val="0048237B"/>
    <w:rsid w:val="00484D16"/>
    <w:rsid w:val="00491853"/>
    <w:rsid w:val="004A14CD"/>
    <w:rsid w:val="004A2C6B"/>
    <w:rsid w:val="004D20CB"/>
    <w:rsid w:val="004D65B2"/>
    <w:rsid w:val="004D681D"/>
    <w:rsid w:val="004E2324"/>
    <w:rsid w:val="004F63E6"/>
    <w:rsid w:val="005103DA"/>
    <w:rsid w:val="00511F8F"/>
    <w:rsid w:val="00512BA7"/>
    <w:rsid w:val="00515726"/>
    <w:rsid w:val="00562527"/>
    <w:rsid w:val="00562A1E"/>
    <w:rsid w:val="00563427"/>
    <w:rsid w:val="00581EB9"/>
    <w:rsid w:val="005B4E6E"/>
    <w:rsid w:val="005B56E4"/>
    <w:rsid w:val="005C795C"/>
    <w:rsid w:val="005D0E50"/>
    <w:rsid w:val="005D39D8"/>
    <w:rsid w:val="005D3BC0"/>
    <w:rsid w:val="0061097B"/>
    <w:rsid w:val="0061612F"/>
    <w:rsid w:val="006177C8"/>
    <w:rsid w:val="0062600A"/>
    <w:rsid w:val="0063777D"/>
    <w:rsid w:val="00643358"/>
    <w:rsid w:val="00646084"/>
    <w:rsid w:val="0064750F"/>
    <w:rsid w:val="006564C3"/>
    <w:rsid w:val="006578CB"/>
    <w:rsid w:val="006A4E85"/>
    <w:rsid w:val="006A60C0"/>
    <w:rsid w:val="006A712F"/>
    <w:rsid w:val="006B5D74"/>
    <w:rsid w:val="006C25BE"/>
    <w:rsid w:val="006D7AD8"/>
    <w:rsid w:val="006F1D57"/>
    <w:rsid w:val="0070364C"/>
    <w:rsid w:val="00710EDF"/>
    <w:rsid w:val="007113E1"/>
    <w:rsid w:val="0072221D"/>
    <w:rsid w:val="0072357C"/>
    <w:rsid w:val="007259CB"/>
    <w:rsid w:val="00726031"/>
    <w:rsid w:val="00751DA9"/>
    <w:rsid w:val="00755E69"/>
    <w:rsid w:val="007648EE"/>
    <w:rsid w:val="0077106D"/>
    <w:rsid w:val="00780ACC"/>
    <w:rsid w:val="00787A11"/>
    <w:rsid w:val="00797B40"/>
    <w:rsid w:val="007A0C9D"/>
    <w:rsid w:val="007B40FB"/>
    <w:rsid w:val="007B62AF"/>
    <w:rsid w:val="007C0116"/>
    <w:rsid w:val="007E24B2"/>
    <w:rsid w:val="007E2DA4"/>
    <w:rsid w:val="007E6815"/>
    <w:rsid w:val="007E7632"/>
    <w:rsid w:val="007F1C84"/>
    <w:rsid w:val="007F4579"/>
    <w:rsid w:val="007F7DC3"/>
    <w:rsid w:val="00801596"/>
    <w:rsid w:val="00804BC8"/>
    <w:rsid w:val="008052BC"/>
    <w:rsid w:val="00806E23"/>
    <w:rsid w:val="00807981"/>
    <w:rsid w:val="00823F5A"/>
    <w:rsid w:val="00845D3B"/>
    <w:rsid w:val="008553C4"/>
    <w:rsid w:val="008634E9"/>
    <w:rsid w:val="008801B5"/>
    <w:rsid w:val="00880578"/>
    <w:rsid w:val="00882407"/>
    <w:rsid w:val="008920C3"/>
    <w:rsid w:val="00894052"/>
    <w:rsid w:val="008A7B87"/>
    <w:rsid w:val="008B4AA1"/>
    <w:rsid w:val="008C1C71"/>
    <w:rsid w:val="008E1AD0"/>
    <w:rsid w:val="008E315F"/>
    <w:rsid w:val="008E6B82"/>
    <w:rsid w:val="008F1B49"/>
    <w:rsid w:val="008F6ADE"/>
    <w:rsid w:val="0091269B"/>
    <w:rsid w:val="00923C0C"/>
    <w:rsid w:val="009263A5"/>
    <w:rsid w:val="00947C20"/>
    <w:rsid w:val="0095170D"/>
    <w:rsid w:val="00952CF6"/>
    <w:rsid w:val="00960413"/>
    <w:rsid w:val="00981995"/>
    <w:rsid w:val="00981C7F"/>
    <w:rsid w:val="00985515"/>
    <w:rsid w:val="00990813"/>
    <w:rsid w:val="0099544D"/>
    <w:rsid w:val="00997513"/>
    <w:rsid w:val="009A0E2C"/>
    <w:rsid w:val="009A4D56"/>
    <w:rsid w:val="009B1F04"/>
    <w:rsid w:val="009E09F7"/>
    <w:rsid w:val="009E2D5C"/>
    <w:rsid w:val="009E3E44"/>
    <w:rsid w:val="009F4175"/>
    <w:rsid w:val="009F66A4"/>
    <w:rsid w:val="009F6C80"/>
    <w:rsid w:val="00A000DA"/>
    <w:rsid w:val="00A1736E"/>
    <w:rsid w:val="00A216DF"/>
    <w:rsid w:val="00A33F2C"/>
    <w:rsid w:val="00A50EE3"/>
    <w:rsid w:val="00A83E11"/>
    <w:rsid w:val="00A94A0F"/>
    <w:rsid w:val="00AA3C6D"/>
    <w:rsid w:val="00AB57C4"/>
    <w:rsid w:val="00B11CF5"/>
    <w:rsid w:val="00B209FA"/>
    <w:rsid w:val="00B21D1F"/>
    <w:rsid w:val="00B410BA"/>
    <w:rsid w:val="00B43D68"/>
    <w:rsid w:val="00B44A3A"/>
    <w:rsid w:val="00B5600C"/>
    <w:rsid w:val="00B66E33"/>
    <w:rsid w:val="00B72FB1"/>
    <w:rsid w:val="00B953DA"/>
    <w:rsid w:val="00BA19B0"/>
    <w:rsid w:val="00BB3870"/>
    <w:rsid w:val="00BB45A7"/>
    <w:rsid w:val="00BD0EF7"/>
    <w:rsid w:val="00BD6778"/>
    <w:rsid w:val="00C0109B"/>
    <w:rsid w:val="00C01599"/>
    <w:rsid w:val="00C048D1"/>
    <w:rsid w:val="00C05563"/>
    <w:rsid w:val="00C11132"/>
    <w:rsid w:val="00C115B9"/>
    <w:rsid w:val="00C123CE"/>
    <w:rsid w:val="00C12FDD"/>
    <w:rsid w:val="00C145AA"/>
    <w:rsid w:val="00C14655"/>
    <w:rsid w:val="00C21399"/>
    <w:rsid w:val="00C446E2"/>
    <w:rsid w:val="00C535F5"/>
    <w:rsid w:val="00C560C4"/>
    <w:rsid w:val="00C6748F"/>
    <w:rsid w:val="00C74337"/>
    <w:rsid w:val="00C75DC8"/>
    <w:rsid w:val="00C929AE"/>
    <w:rsid w:val="00CA4344"/>
    <w:rsid w:val="00CA6348"/>
    <w:rsid w:val="00CB1232"/>
    <w:rsid w:val="00CB17A0"/>
    <w:rsid w:val="00CC3B7D"/>
    <w:rsid w:val="00CD5AE4"/>
    <w:rsid w:val="00CD5E86"/>
    <w:rsid w:val="00CE3B21"/>
    <w:rsid w:val="00CE6627"/>
    <w:rsid w:val="00CF4D09"/>
    <w:rsid w:val="00D005F2"/>
    <w:rsid w:val="00D03A8E"/>
    <w:rsid w:val="00D114ED"/>
    <w:rsid w:val="00D3032C"/>
    <w:rsid w:val="00D31A3B"/>
    <w:rsid w:val="00D5309D"/>
    <w:rsid w:val="00D631FA"/>
    <w:rsid w:val="00D71064"/>
    <w:rsid w:val="00D811BB"/>
    <w:rsid w:val="00D82356"/>
    <w:rsid w:val="00D84EEE"/>
    <w:rsid w:val="00D90A61"/>
    <w:rsid w:val="00D946EF"/>
    <w:rsid w:val="00D95553"/>
    <w:rsid w:val="00DC355F"/>
    <w:rsid w:val="00DD1E4C"/>
    <w:rsid w:val="00DE331A"/>
    <w:rsid w:val="00DE6ACB"/>
    <w:rsid w:val="00DF02CE"/>
    <w:rsid w:val="00DF1462"/>
    <w:rsid w:val="00E030DA"/>
    <w:rsid w:val="00E17DFF"/>
    <w:rsid w:val="00E214C0"/>
    <w:rsid w:val="00E30D85"/>
    <w:rsid w:val="00E444EB"/>
    <w:rsid w:val="00E77A69"/>
    <w:rsid w:val="00E81A42"/>
    <w:rsid w:val="00E83F26"/>
    <w:rsid w:val="00E961E8"/>
    <w:rsid w:val="00E96244"/>
    <w:rsid w:val="00E96DE0"/>
    <w:rsid w:val="00EA4863"/>
    <w:rsid w:val="00EB2BEC"/>
    <w:rsid w:val="00EB74BF"/>
    <w:rsid w:val="00EC0704"/>
    <w:rsid w:val="00EC508B"/>
    <w:rsid w:val="00ED6B5D"/>
    <w:rsid w:val="00EE4C99"/>
    <w:rsid w:val="00F153D7"/>
    <w:rsid w:val="00F1599C"/>
    <w:rsid w:val="00F226C4"/>
    <w:rsid w:val="00F2433F"/>
    <w:rsid w:val="00F244DC"/>
    <w:rsid w:val="00F378F4"/>
    <w:rsid w:val="00F47912"/>
    <w:rsid w:val="00F541B6"/>
    <w:rsid w:val="00F57702"/>
    <w:rsid w:val="00F61361"/>
    <w:rsid w:val="00F613E8"/>
    <w:rsid w:val="00F74D3C"/>
    <w:rsid w:val="00F74FC9"/>
    <w:rsid w:val="00F91F47"/>
    <w:rsid w:val="00FA4F36"/>
    <w:rsid w:val="00FA6FFE"/>
    <w:rsid w:val="00FC121B"/>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C0AC9D3F-C4CB-45F0-9610-A11E7AC4B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1088</Words>
  <Characters>6203</Characters>
  <Application>Microsoft Office Word</Application>
  <DocSecurity>0</DocSecurity>
  <Lines>51</Lines>
  <Paragraphs>14</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Jakábová Jana</cp:lastModifiedBy>
  <cp:revision>4</cp:revision>
  <dcterms:created xsi:type="dcterms:W3CDTF">2026-06-13T21:22:00Z</dcterms:created>
  <dcterms:modified xsi:type="dcterms:W3CDTF">2026-06-25T13:59:00Z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