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A51A8" w14:textId="08140142" w:rsidR="003E07DF" w:rsidRPr="0031452A" w:rsidRDefault="003E07DF" w:rsidP="00872E54">
      <w:pPr>
        <w:pStyle w:val="Default"/>
        <w:spacing w:line="276" w:lineRule="auto"/>
        <w:jc w:val="center"/>
        <w:rPr>
          <w:rFonts w:ascii="Verdana" w:hAnsi="Verdana"/>
          <w:sz w:val="20"/>
          <w:szCs w:val="20"/>
        </w:rPr>
      </w:pPr>
      <w:r w:rsidRPr="0031452A">
        <w:rPr>
          <w:rFonts w:ascii="Verdana" w:hAnsi="Verdana"/>
          <w:b/>
          <w:bCs/>
          <w:sz w:val="20"/>
          <w:szCs w:val="20"/>
        </w:rPr>
        <w:t>PREDBEŽNÁ INFORMÁCIA</w:t>
      </w:r>
    </w:p>
    <w:p w14:paraId="7984A25F" w14:textId="4E03A971" w:rsidR="003E07DF" w:rsidRPr="0031452A" w:rsidRDefault="003E07DF" w:rsidP="00872E54">
      <w:pPr>
        <w:pStyle w:val="Default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31452A">
        <w:rPr>
          <w:rFonts w:ascii="Verdana" w:hAnsi="Verdana"/>
          <w:b/>
          <w:bCs/>
          <w:sz w:val="20"/>
          <w:szCs w:val="20"/>
        </w:rPr>
        <w:t>(podľa § 9 zákona č. 400/2015 Z. z. o tvorbe právnych predpisov</w:t>
      </w:r>
      <w:r w:rsidR="0031452A" w:rsidRPr="0031452A">
        <w:rPr>
          <w:rFonts w:ascii="Verdana" w:hAnsi="Verdana"/>
          <w:b/>
          <w:bCs/>
          <w:sz w:val="20"/>
          <w:szCs w:val="20"/>
        </w:rPr>
        <w:t xml:space="preserve"> </w:t>
      </w:r>
      <w:r w:rsidRPr="0031452A">
        <w:rPr>
          <w:rFonts w:ascii="Verdana" w:hAnsi="Verdana"/>
          <w:b/>
          <w:bCs/>
          <w:sz w:val="20"/>
          <w:szCs w:val="20"/>
        </w:rPr>
        <w:t>a o Zbierke zákonov Slovenskej republiky a o zmene a doplnení niektorých zákonov)</w:t>
      </w:r>
    </w:p>
    <w:p w14:paraId="0B73D485" w14:textId="77777777" w:rsidR="00B83DA4" w:rsidRDefault="00B83DA4" w:rsidP="00872E54">
      <w:pPr>
        <w:pStyle w:val="Default"/>
        <w:spacing w:line="276" w:lineRule="auto"/>
        <w:jc w:val="both"/>
      </w:pPr>
    </w:p>
    <w:p w14:paraId="21E09452" w14:textId="77777777" w:rsidR="004B1184" w:rsidRPr="00B00773" w:rsidRDefault="004B1184" w:rsidP="00872E54">
      <w:pPr>
        <w:pStyle w:val="Default"/>
        <w:spacing w:line="276" w:lineRule="auto"/>
        <w:jc w:val="both"/>
      </w:pPr>
    </w:p>
    <w:p w14:paraId="2C09DC00" w14:textId="7D34C737" w:rsidR="004B7969" w:rsidRPr="004B7969" w:rsidRDefault="003E07DF" w:rsidP="004B7969">
      <w:pPr>
        <w:pStyle w:val="Default"/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31452A">
        <w:rPr>
          <w:rFonts w:ascii="Verdana" w:hAnsi="Verdana"/>
          <w:b/>
          <w:bCs/>
          <w:sz w:val="20"/>
          <w:szCs w:val="20"/>
        </w:rPr>
        <w:t>1. Pripravovaný právny predpis</w:t>
      </w:r>
      <w:bookmarkStart w:id="0" w:name="_Hlk10536589"/>
    </w:p>
    <w:p w14:paraId="043C6A46" w14:textId="3235377E" w:rsidR="00455450" w:rsidRPr="008A5FEA" w:rsidRDefault="00D62E75" w:rsidP="008A5FEA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</w:rPr>
        <w:tab/>
      </w:r>
      <w:r w:rsidR="008A5FEA" w:rsidRPr="008A5FEA">
        <w:rPr>
          <w:rFonts w:ascii="Cambria" w:hAnsi="Cambria"/>
          <w:sz w:val="22"/>
          <w:szCs w:val="22"/>
        </w:rPr>
        <w:t xml:space="preserve">Návrh opatrenia Národnej banky Slovenska z ... 2026, ktorým sa mení a dopĺňa opatrenie Národnej banky </w:t>
      </w:r>
      <w:r w:rsidR="008A5FEA" w:rsidRPr="008A5FEA">
        <w:rPr>
          <w:rFonts w:ascii="Cambria" w:hAnsi="Cambria"/>
          <w:color w:val="000000" w:themeColor="text1"/>
          <w:sz w:val="22"/>
          <w:szCs w:val="22"/>
        </w:rPr>
        <w:t>Slovenska</w:t>
      </w:r>
      <w:r w:rsidR="008A5FEA" w:rsidRPr="008A5FEA">
        <w:rPr>
          <w:rFonts w:ascii="Cambria" w:hAnsi="Cambria"/>
          <w:sz w:val="22"/>
          <w:szCs w:val="22"/>
        </w:rPr>
        <w:t xml:space="preserve"> z 5. decembra 2023 č. 9/2023 o registri bankových úverov a záruk</w:t>
      </w:r>
      <w:r w:rsidR="004B7969" w:rsidRPr="008A5FEA">
        <w:rPr>
          <w:rFonts w:ascii="Cambria" w:hAnsi="Cambria"/>
          <w:sz w:val="22"/>
          <w:szCs w:val="22"/>
        </w:rPr>
        <w:t>.</w:t>
      </w:r>
      <w:bookmarkEnd w:id="0"/>
    </w:p>
    <w:p w14:paraId="1F6A8C57" w14:textId="77777777" w:rsidR="008A5FEA" w:rsidRPr="0057066A" w:rsidRDefault="008A5FEA" w:rsidP="008A5FEA">
      <w:pPr>
        <w:pStyle w:val="Default"/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4761A553" w14:textId="2BB14747" w:rsidR="00F75047" w:rsidRDefault="003E07DF" w:rsidP="00872E54">
      <w:pPr>
        <w:pStyle w:val="Default"/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872E54">
        <w:rPr>
          <w:rFonts w:ascii="Verdana" w:hAnsi="Verdana"/>
          <w:b/>
          <w:bCs/>
          <w:sz w:val="20"/>
          <w:szCs w:val="20"/>
        </w:rPr>
        <w:t>2. Základné ciele právnej úpravy</w:t>
      </w:r>
    </w:p>
    <w:p w14:paraId="60505077" w14:textId="75744E22" w:rsidR="00E33567" w:rsidRPr="00D17344" w:rsidRDefault="00D62E75" w:rsidP="00D62E75">
      <w:pPr>
        <w:pStyle w:val="Default"/>
        <w:spacing w:line="276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Verdana" w:hAnsi="Verdana"/>
          <w:b/>
          <w:bCs/>
          <w:sz w:val="20"/>
          <w:szCs w:val="20"/>
        </w:rPr>
        <w:tab/>
      </w:r>
      <w:r w:rsidRPr="004E24CF">
        <w:rPr>
          <w:rFonts w:ascii="Cambria" w:hAnsi="Cambria"/>
          <w:color w:val="000000" w:themeColor="text1"/>
          <w:sz w:val="22"/>
          <w:szCs w:val="22"/>
        </w:rPr>
        <w:t xml:space="preserve">Cieľom tohto opatrenia je zohľadniť návrhy a požiadavky, ktoré vznikli zo strany </w:t>
      </w:r>
      <w:r w:rsidR="00B119B2">
        <w:rPr>
          <w:rFonts w:ascii="Cambria" w:hAnsi="Cambria"/>
          <w:color w:val="000000" w:themeColor="text1"/>
          <w:sz w:val="22"/>
          <w:szCs w:val="22"/>
        </w:rPr>
        <w:t>bankového sektora</w:t>
      </w:r>
      <w:r w:rsidR="00737EC8">
        <w:rPr>
          <w:rFonts w:ascii="Cambria" w:hAnsi="Cambria"/>
          <w:color w:val="000000" w:themeColor="text1"/>
          <w:sz w:val="22"/>
          <w:szCs w:val="22"/>
        </w:rPr>
        <w:t xml:space="preserve"> a Národnej banky Slovenska</w:t>
      </w:r>
      <w:r w:rsidR="00441E62">
        <w:rPr>
          <w:rFonts w:ascii="Cambria" w:hAnsi="Cambria"/>
          <w:color w:val="000000" w:themeColor="text1"/>
          <w:sz w:val="22"/>
          <w:szCs w:val="22"/>
        </w:rPr>
        <w:t>.</w:t>
      </w:r>
      <w:r w:rsidR="00867BE3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441E62">
        <w:rPr>
          <w:rFonts w:ascii="Cambria" w:hAnsi="Cambria"/>
          <w:color w:val="000000" w:themeColor="text1"/>
          <w:sz w:val="22"/>
          <w:szCs w:val="22"/>
        </w:rPr>
        <w:t>Z toho dôvodu návrh opatrenia rozširuje</w:t>
      </w:r>
      <w:r w:rsidR="00441E62" w:rsidRPr="008A5FEA">
        <w:rPr>
          <w:rFonts w:ascii="Cambria" w:hAnsi="Cambria"/>
          <w:color w:val="000000" w:themeColor="text1"/>
          <w:sz w:val="22"/>
          <w:szCs w:val="22"/>
        </w:rPr>
        <w:t xml:space="preserve"> niektor</w:t>
      </w:r>
      <w:r w:rsidR="00441E62">
        <w:rPr>
          <w:rFonts w:ascii="Cambria" w:hAnsi="Cambria"/>
          <w:color w:val="000000" w:themeColor="text1"/>
          <w:sz w:val="22"/>
          <w:szCs w:val="22"/>
        </w:rPr>
        <w:t>é</w:t>
      </w:r>
      <w:r w:rsidR="00441E62" w:rsidRPr="008A5FEA">
        <w:rPr>
          <w:rFonts w:ascii="Cambria" w:hAnsi="Cambria"/>
          <w:color w:val="000000" w:themeColor="text1"/>
          <w:sz w:val="22"/>
          <w:szCs w:val="22"/>
        </w:rPr>
        <w:t xml:space="preserve"> tabu</w:t>
      </w:r>
      <w:r w:rsidR="00441E62">
        <w:rPr>
          <w:rFonts w:ascii="Cambria" w:hAnsi="Cambria"/>
          <w:color w:val="000000" w:themeColor="text1"/>
          <w:sz w:val="22"/>
          <w:szCs w:val="22"/>
        </w:rPr>
        <w:t>ľky</w:t>
      </w:r>
      <w:r w:rsidR="00441E62" w:rsidRPr="008A5FEA">
        <w:rPr>
          <w:rFonts w:ascii="Cambria" w:hAnsi="Cambria"/>
          <w:color w:val="000000" w:themeColor="text1"/>
          <w:sz w:val="22"/>
          <w:szCs w:val="22"/>
        </w:rPr>
        <w:t xml:space="preserve"> v prílohách o </w:t>
      </w:r>
      <w:r w:rsidR="00441E62" w:rsidRPr="00D17344">
        <w:rPr>
          <w:rFonts w:ascii="Cambria" w:hAnsi="Cambria"/>
          <w:color w:val="000000" w:themeColor="text1"/>
          <w:sz w:val="22"/>
          <w:szCs w:val="22"/>
        </w:rPr>
        <w:t xml:space="preserve">doplňujúce položky </w:t>
      </w:r>
      <w:r w:rsidR="00E33567" w:rsidRPr="00D17344">
        <w:rPr>
          <w:rFonts w:ascii="Cambria" w:hAnsi="Cambria"/>
          <w:color w:val="000000" w:themeColor="text1"/>
          <w:sz w:val="22"/>
          <w:szCs w:val="22"/>
        </w:rPr>
        <w:t>„</w:t>
      </w:r>
      <w:r w:rsidR="0071225A" w:rsidRPr="00D17344">
        <w:rPr>
          <w:rFonts w:ascii="Cambria" w:hAnsi="Cambria"/>
          <w:color w:val="000000" w:themeColor="text1"/>
          <w:sz w:val="22"/>
          <w:szCs w:val="22"/>
        </w:rPr>
        <w:t>O</w:t>
      </w:r>
      <w:r w:rsidR="00E33567" w:rsidRPr="00D17344">
        <w:rPr>
          <w:rFonts w:ascii="Cambria" w:hAnsi="Cambria"/>
          <w:color w:val="000000" w:themeColor="text1"/>
          <w:sz w:val="22"/>
          <w:szCs w:val="22"/>
        </w:rPr>
        <w:t xml:space="preserve">dvolateľnosť podsúvahových expozícií“, </w:t>
      </w:r>
      <w:r w:rsidR="00441E62" w:rsidRPr="00D17344">
        <w:rPr>
          <w:rFonts w:ascii="Cambria" w:hAnsi="Cambria"/>
          <w:color w:val="000000" w:themeColor="text1"/>
          <w:sz w:val="22"/>
          <w:szCs w:val="22"/>
        </w:rPr>
        <w:t>„</w:t>
      </w:r>
      <w:r w:rsidR="0071225A" w:rsidRPr="00D17344">
        <w:rPr>
          <w:rFonts w:ascii="Cambria" w:hAnsi="Cambria"/>
          <w:color w:val="000000" w:themeColor="text1"/>
          <w:sz w:val="22"/>
          <w:szCs w:val="22"/>
        </w:rPr>
        <w:t>T</w:t>
      </w:r>
      <w:r w:rsidR="00441E62" w:rsidRPr="00D17344">
        <w:rPr>
          <w:rFonts w:ascii="Cambria" w:hAnsi="Cambria"/>
          <w:color w:val="000000" w:themeColor="text1"/>
          <w:sz w:val="22"/>
          <w:szCs w:val="22"/>
        </w:rPr>
        <w:t>yp dlžníka“</w:t>
      </w:r>
      <w:r w:rsidR="00E33567" w:rsidRPr="00D17344">
        <w:rPr>
          <w:rFonts w:ascii="Cambria" w:hAnsi="Cambria"/>
          <w:color w:val="000000" w:themeColor="text1"/>
          <w:sz w:val="22"/>
          <w:szCs w:val="22"/>
        </w:rPr>
        <w:t xml:space="preserve"> a</w:t>
      </w:r>
      <w:r w:rsidR="00441E62" w:rsidRPr="00D17344">
        <w:rPr>
          <w:rFonts w:ascii="Cambria" w:hAnsi="Cambria"/>
          <w:color w:val="000000" w:themeColor="text1"/>
          <w:sz w:val="22"/>
          <w:szCs w:val="22"/>
        </w:rPr>
        <w:t xml:space="preserve"> „</w:t>
      </w:r>
      <w:r w:rsidR="0071225A" w:rsidRPr="00D17344">
        <w:rPr>
          <w:rFonts w:ascii="Cambria" w:hAnsi="Cambria"/>
          <w:color w:val="000000" w:themeColor="text1"/>
          <w:sz w:val="22"/>
          <w:szCs w:val="22"/>
        </w:rPr>
        <w:t>Z</w:t>
      </w:r>
      <w:r w:rsidR="00441E62" w:rsidRPr="00D17344">
        <w:rPr>
          <w:rFonts w:ascii="Cambria" w:hAnsi="Cambria"/>
          <w:color w:val="000000" w:themeColor="text1"/>
          <w:sz w:val="22"/>
          <w:szCs w:val="22"/>
        </w:rPr>
        <w:t xml:space="preserve">mluvný typ zabezpečenia“. </w:t>
      </w:r>
    </w:p>
    <w:p w14:paraId="3CABD504" w14:textId="68ECA6BE" w:rsidR="00E33567" w:rsidRPr="00D17344" w:rsidRDefault="00441E62" w:rsidP="00E33567">
      <w:pPr>
        <w:pStyle w:val="Default"/>
        <w:spacing w:line="276" w:lineRule="auto"/>
        <w:ind w:firstLine="708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D17344">
        <w:rPr>
          <w:rFonts w:ascii="Cambria" w:hAnsi="Cambria"/>
          <w:color w:val="000000" w:themeColor="text1"/>
          <w:sz w:val="22"/>
          <w:szCs w:val="22"/>
        </w:rPr>
        <w:t>P</w:t>
      </w:r>
      <w:r w:rsidR="002A321B" w:rsidRPr="00D17344">
        <w:rPr>
          <w:rFonts w:ascii="Cambria" w:hAnsi="Cambria"/>
          <w:color w:val="000000" w:themeColor="text1"/>
          <w:sz w:val="22"/>
          <w:szCs w:val="22"/>
        </w:rPr>
        <w:t xml:space="preserve">oložka </w:t>
      </w:r>
      <w:r w:rsidRPr="00D17344">
        <w:rPr>
          <w:rFonts w:ascii="Cambria" w:hAnsi="Cambria"/>
          <w:color w:val="000000" w:themeColor="text1"/>
          <w:sz w:val="22"/>
          <w:szCs w:val="22"/>
        </w:rPr>
        <w:t>„</w:t>
      </w:r>
      <w:r w:rsidR="0071225A" w:rsidRPr="00D17344">
        <w:rPr>
          <w:rFonts w:ascii="Cambria" w:hAnsi="Cambria"/>
          <w:color w:val="000000" w:themeColor="text1"/>
          <w:sz w:val="22"/>
          <w:szCs w:val="22"/>
        </w:rPr>
        <w:t>Z</w:t>
      </w:r>
      <w:r w:rsidRPr="00D17344">
        <w:rPr>
          <w:rFonts w:ascii="Cambria" w:hAnsi="Cambria"/>
          <w:color w:val="000000" w:themeColor="text1"/>
          <w:sz w:val="22"/>
          <w:szCs w:val="22"/>
        </w:rPr>
        <w:t>mluvn</w:t>
      </w:r>
      <w:r w:rsidR="002A321B" w:rsidRPr="00D17344">
        <w:rPr>
          <w:rFonts w:ascii="Cambria" w:hAnsi="Cambria"/>
          <w:color w:val="000000" w:themeColor="text1"/>
          <w:sz w:val="22"/>
          <w:szCs w:val="22"/>
        </w:rPr>
        <w:t>ý</w:t>
      </w:r>
      <w:r w:rsidRPr="00D17344">
        <w:rPr>
          <w:rFonts w:ascii="Cambria" w:hAnsi="Cambria"/>
          <w:color w:val="000000" w:themeColor="text1"/>
          <w:sz w:val="22"/>
          <w:szCs w:val="22"/>
        </w:rPr>
        <w:t xml:space="preserve"> typ zabezpečenia“</w:t>
      </w:r>
      <w:r w:rsidR="002A321B" w:rsidRPr="00D17344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852530" w:rsidRPr="00D17344">
        <w:rPr>
          <w:rFonts w:ascii="Cambria" w:hAnsi="Cambria"/>
          <w:color w:val="000000" w:themeColor="text1"/>
          <w:sz w:val="22"/>
          <w:szCs w:val="22"/>
        </w:rPr>
        <w:t>umožní</w:t>
      </w:r>
      <w:r w:rsidR="00D47C51" w:rsidRPr="00D17344">
        <w:rPr>
          <w:rFonts w:ascii="Cambria" w:hAnsi="Cambria"/>
          <w:color w:val="000000" w:themeColor="text1"/>
          <w:sz w:val="22"/>
          <w:szCs w:val="22"/>
        </w:rPr>
        <w:t xml:space="preserve"> z údajov poskytovaných z registra bankových úverov a záruk </w:t>
      </w:r>
      <w:r w:rsidR="00867BE3" w:rsidRPr="00D17344">
        <w:rPr>
          <w:rFonts w:ascii="Cambria" w:hAnsi="Cambria"/>
          <w:color w:val="000000" w:themeColor="text1"/>
          <w:sz w:val="22"/>
          <w:szCs w:val="22"/>
        </w:rPr>
        <w:t xml:space="preserve"> vylúč</w:t>
      </w:r>
      <w:r w:rsidR="00586EBB" w:rsidRPr="00D17344">
        <w:rPr>
          <w:rFonts w:ascii="Cambria" w:hAnsi="Cambria"/>
          <w:color w:val="000000" w:themeColor="text1"/>
          <w:sz w:val="22"/>
          <w:szCs w:val="22"/>
        </w:rPr>
        <w:t>enie</w:t>
      </w:r>
      <w:r w:rsidR="00D47C51" w:rsidRPr="00D17344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867BE3" w:rsidRPr="00D17344">
        <w:rPr>
          <w:rFonts w:ascii="Cambria" w:hAnsi="Cambria"/>
          <w:color w:val="000000" w:themeColor="text1"/>
          <w:sz w:val="22"/>
          <w:szCs w:val="22"/>
        </w:rPr>
        <w:t>t</w:t>
      </w:r>
      <w:r w:rsidR="00586EBB" w:rsidRPr="00D17344">
        <w:rPr>
          <w:rFonts w:ascii="Cambria" w:hAnsi="Cambria"/>
          <w:color w:val="000000" w:themeColor="text1"/>
          <w:sz w:val="22"/>
          <w:szCs w:val="22"/>
        </w:rPr>
        <w:t>ých</w:t>
      </w:r>
      <w:r w:rsidR="00867BE3" w:rsidRPr="00D17344">
        <w:rPr>
          <w:rFonts w:ascii="Cambria" w:hAnsi="Cambria"/>
          <w:color w:val="000000" w:themeColor="text1"/>
          <w:sz w:val="22"/>
          <w:szCs w:val="22"/>
        </w:rPr>
        <w:t xml:space="preserve"> údaj</w:t>
      </w:r>
      <w:r w:rsidR="00586EBB" w:rsidRPr="00D17344">
        <w:rPr>
          <w:rFonts w:ascii="Cambria" w:hAnsi="Cambria"/>
          <w:color w:val="000000" w:themeColor="text1"/>
          <w:sz w:val="22"/>
          <w:szCs w:val="22"/>
        </w:rPr>
        <w:t>ov</w:t>
      </w:r>
      <w:r w:rsidR="00867BE3" w:rsidRPr="00D17344">
        <w:rPr>
          <w:rFonts w:ascii="Cambria" w:hAnsi="Cambria"/>
          <w:color w:val="000000" w:themeColor="text1"/>
          <w:sz w:val="22"/>
          <w:szCs w:val="22"/>
        </w:rPr>
        <w:t xml:space="preserve"> o zabezpečení, ktoré majú charakter obchodného tajomstva </w:t>
      </w:r>
      <w:r w:rsidR="00AF5789" w:rsidRPr="00D17344">
        <w:rPr>
          <w:rFonts w:ascii="Cambria" w:hAnsi="Cambria"/>
          <w:color w:val="000000" w:themeColor="text1"/>
          <w:sz w:val="22"/>
          <w:szCs w:val="22"/>
        </w:rPr>
        <w:t>podľa § 17 zákona č. 513/1991 Zb. Obchodný zákonník v znení neskorších predpisov</w:t>
      </w:r>
      <w:r w:rsidR="008A5FEA" w:rsidRPr="00D17344">
        <w:rPr>
          <w:rFonts w:ascii="Cambria" w:hAnsi="Cambria"/>
          <w:color w:val="000000" w:themeColor="text1"/>
          <w:sz w:val="22"/>
          <w:szCs w:val="22"/>
        </w:rPr>
        <w:t>.</w:t>
      </w:r>
      <w:r w:rsidR="00737EC8" w:rsidRPr="00D17344">
        <w:rPr>
          <w:rFonts w:ascii="Cambria" w:hAnsi="Cambria"/>
          <w:color w:val="000000" w:themeColor="text1"/>
          <w:sz w:val="22"/>
          <w:szCs w:val="22"/>
        </w:rPr>
        <w:t xml:space="preserve"> </w:t>
      </w:r>
      <w:r w:rsidR="00D62E75" w:rsidRPr="00D17344">
        <w:rPr>
          <w:rFonts w:ascii="Cambria" w:hAnsi="Cambria"/>
          <w:color w:val="000000" w:themeColor="text1"/>
          <w:sz w:val="22"/>
          <w:szCs w:val="22"/>
        </w:rPr>
        <w:t xml:space="preserve"> </w:t>
      </w:r>
    </w:p>
    <w:p w14:paraId="03BD0F15" w14:textId="0E9C25BE" w:rsidR="00E33567" w:rsidRPr="00D17344" w:rsidRDefault="00D47C51" w:rsidP="00E33567">
      <w:pPr>
        <w:pStyle w:val="Default"/>
        <w:spacing w:line="276" w:lineRule="auto"/>
        <w:ind w:firstLine="708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D17344">
        <w:rPr>
          <w:rFonts w:ascii="Cambria" w:hAnsi="Cambria"/>
          <w:color w:val="000000" w:themeColor="text1"/>
          <w:sz w:val="22"/>
          <w:szCs w:val="22"/>
        </w:rPr>
        <w:t>Položka</w:t>
      </w:r>
      <w:r w:rsidR="00737EC8" w:rsidRPr="00D17344">
        <w:rPr>
          <w:rFonts w:ascii="Cambria" w:hAnsi="Cambria"/>
          <w:color w:val="000000" w:themeColor="text1"/>
          <w:sz w:val="22"/>
          <w:szCs w:val="22"/>
        </w:rPr>
        <w:t xml:space="preserve"> „</w:t>
      </w:r>
      <w:r w:rsidR="0071225A" w:rsidRPr="00D17344">
        <w:rPr>
          <w:rFonts w:ascii="Cambria" w:hAnsi="Cambria"/>
          <w:color w:val="000000" w:themeColor="text1"/>
          <w:sz w:val="22"/>
          <w:szCs w:val="22"/>
        </w:rPr>
        <w:t>T</w:t>
      </w:r>
      <w:r w:rsidR="00737EC8" w:rsidRPr="00D17344">
        <w:rPr>
          <w:rFonts w:ascii="Cambria" w:hAnsi="Cambria"/>
          <w:color w:val="000000" w:themeColor="text1"/>
          <w:sz w:val="22"/>
          <w:szCs w:val="22"/>
        </w:rPr>
        <w:t xml:space="preserve">yp dlžníka“ </w:t>
      </w:r>
      <w:r w:rsidRPr="00D17344">
        <w:rPr>
          <w:rFonts w:ascii="Cambria" w:hAnsi="Cambria"/>
          <w:color w:val="000000" w:themeColor="text1"/>
          <w:sz w:val="22"/>
          <w:szCs w:val="22"/>
        </w:rPr>
        <w:t xml:space="preserve">bude slúžiť na rozlíšenie </w:t>
      </w:r>
      <w:r w:rsidR="00737EC8" w:rsidRPr="00D17344">
        <w:rPr>
          <w:rFonts w:ascii="Cambria" w:hAnsi="Cambria"/>
          <w:color w:val="000000" w:themeColor="text1"/>
          <w:sz w:val="22"/>
          <w:szCs w:val="22"/>
        </w:rPr>
        <w:t>hlavného dlžníka a spoludlžníka.</w:t>
      </w:r>
      <w:r w:rsidR="00E33567" w:rsidRPr="00D17344">
        <w:rPr>
          <w:rFonts w:ascii="Cambria" w:hAnsi="Cambria"/>
          <w:color w:val="000000" w:themeColor="text1"/>
          <w:sz w:val="22"/>
          <w:szCs w:val="22"/>
        </w:rPr>
        <w:t xml:space="preserve"> </w:t>
      </w:r>
    </w:p>
    <w:p w14:paraId="4A0A587F" w14:textId="3C2ADD64" w:rsidR="00E65F54" w:rsidRPr="00D17344" w:rsidRDefault="00E33567" w:rsidP="00E33567">
      <w:pPr>
        <w:pStyle w:val="Default"/>
        <w:spacing w:line="276" w:lineRule="auto"/>
        <w:ind w:firstLine="708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D17344">
        <w:rPr>
          <w:rFonts w:ascii="Cambria" w:hAnsi="Cambria"/>
          <w:color w:val="000000" w:themeColor="text1"/>
          <w:sz w:val="22"/>
          <w:szCs w:val="22"/>
        </w:rPr>
        <w:t>Položka</w:t>
      </w:r>
      <w:r w:rsidR="00E65F54" w:rsidRPr="00D17344">
        <w:rPr>
          <w:rFonts w:ascii="Cambria" w:hAnsi="Cambria"/>
          <w:color w:val="000000" w:themeColor="text1"/>
          <w:sz w:val="22"/>
          <w:szCs w:val="22"/>
        </w:rPr>
        <w:t xml:space="preserve"> „</w:t>
      </w:r>
      <w:r w:rsidR="0071225A" w:rsidRPr="00D17344">
        <w:rPr>
          <w:rFonts w:ascii="Cambria" w:hAnsi="Cambria"/>
          <w:color w:val="000000" w:themeColor="text1"/>
          <w:sz w:val="22"/>
          <w:szCs w:val="22"/>
        </w:rPr>
        <w:t>O</w:t>
      </w:r>
      <w:r w:rsidR="00E65F54" w:rsidRPr="00D17344">
        <w:rPr>
          <w:rFonts w:ascii="Cambria" w:hAnsi="Cambria"/>
          <w:color w:val="000000" w:themeColor="text1"/>
          <w:sz w:val="22"/>
          <w:szCs w:val="22"/>
        </w:rPr>
        <w:t>dvolateľnosť podsúvahových expozícií“</w:t>
      </w:r>
      <w:r w:rsidRPr="00D17344">
        <w:rPr>
          <w:rFonts w:ascii="Cambria" w:hAnsi="Cambria"/>
          <w:color w:val="000000" w:themeColor="text1"/>
          <w:sz w:val="22"/>
          <w:szCs w:val="22"/>
        </w:rPr>
        <w:t xml:space="preserve"> spolu s doplnenými vysvetlivkami k atribútom „Hodnota podsúvahových expozícií“ a „</w:t>
      </w:r>
      <w:r w:rsidR="00D17344" w:rsidRPr="00D17344">
        <w:rPr>
          <w:rFonts w:ascii="Cambria" w:hAnsi="Cambria"/>
          <w:color w:val="000000" w:themeColor="text1"/>
          <w:sz w:val="22"/>
          <w:szCs w:val="22"/>
        </w:rPr>
        <w:t>Rezervy súvisiace s podsúvahovými expozíciami</w:t>
      </w:r>
      <w:r w:rsidRPr="00D17344">
        <w:rPr>
          <w:rFonts w:ascii="Cambria" w:hAnsi="Cambria"/>
          <w:color w:val="000000" w:themeColor="text1"/>
          <w:sz w:val="22"/>
          <w:szCs w:val="22"/>
        </w:rPr>
        <w:t>“ zabezpečí lepšiu identifikáciu kreditného rizika a správne vykazovanie údajov do systému Európskej centrálnej banky AnaCredit na základe nariadenia (EÚ) 2016/867.</w:t>
      </w:r>
    </w:p>
    <w:p w14:paraId="110EA741" w14:textId="76F94718" w:rsidR="0071225A" w:rsidRPr="00D17344" w:rsidRDefault="0071225A" w:rsidP="0071225A">
      <w:pPr>
        <w:pStyle w:val="Default"/>
        <w:spacing w:line="276" w:lineRule="auto"/>
        <w:jc w:val="both"/>
        <w:rPr>
          <w:rFonts w:ascii="Cambria" w:hAnsi="Cambria"/>
          <w:color w:val="000000" w:themeColor="text1"/>
          <w:sz w:val="22"/>
          <w:szCs w:val="22"/>
        </w:rPr>
      </w:pPr>
      <w:r w:rsidRPr="00D17344">
        <w:rPr>
          <w:rFonts w:ascii="Cambria" w:hAnsi="Cambria"/>
          <w:color w:val="000000" w:themeColor="text1"/>
          <w:sz w:val="22"/>
          <w:szCs w:val="22"/>
        </w:rPr>
        <w:tab/>
        <w:t xml:space="preserve">Cieľom je tiež prostredníctvom pridaných poznámok vo </w:t>
      </w:r>
      <w:r w:rsidR="00DD64E2" w:rsidRPr="00D17344">
        <w:rPr>
          <w:rFonts w:ascii="Cambria" w:hAnsi="Cambria"/>
          <w:color w:val="000000" w:themeColor="text1"/>
          <w:sz w:val="22"/>
          <w:szCs w:val="22"/>
        </w:rPr>
        <w:t xml:space="preserve">vzore </w:t>
      </w:r>
      <w:r w:rsidRPr="00D17344">
        <w:rPr>
          <w:rFonts w:ascii="Cambria" w:hAnsi="Cambria"/>
          <w:color w:val="000000" w:themeColor="text1"/>
          <w:sz w:val="22"/>
          <w:szCs w:val="22"/>
        </w:rPr>
        <w:t>formulár</w:t>
      </w:r>
      <w:r w:rsidR="00DD64E2" w:rsidRPr="00D17344">
        <w:rPr>
          <w:rFonts w:ascii="Cambria" w:hAnsi="Cambria"/>
          <w:color w:val="000000" w:themeColor="text1"/>
          <w:sz w:val="22"/>
          <w:szCs w:val="22"/>
        </w:rPr>
        <w:t>u</w:t>
      </w:r>
      <w:r w:rsidRPr="00D17344">
        <w:rPr>
          <w:rFonts w:ascii="Cambria" w:hAnsi="Cambria"/>
          <w:color w:val="000000" w:themeColor="text1"/>
          <w:sz w:val="22"/>
          <w:szCs w:val="22"/>
        </w:rPr>
        <w:t xml:space="preserve"> Žiadosti klienta o poskytnutie údajov z registra znížiť chybovosť podaných žiadostí.</w:t>
      </w:r>
    </w:p>
    <w:p w14:paraId="36C525AC" w14:textId="74C893D9" w:rsidR="00CF443B" w:rsidRPr="00E2036F" w:rsidRDefault="00CF443B" w:rsidP="00D62E75">
      <w:pPr>
        <w:autoSpaceDE w:val="0"/>
        <w:autoSpaceDN w:val="0"/>
        <w:adjustRightInd w:val="0"/>
        <w:spacing w:after="0"/>
        <w:jc w:val="both"/>
        <w:rPr>
          <w:rFonts w:ascii="Cambria" w:hAnsi="Cambria"/>
          <w:color w:val="000000" w:themeColor="text1"/>
          <w:sz w:val="20"/>
          <w:szCs w:val="20"/>
        </w:rPr>
      </w:pPr>
      <w:bookmarkStart w:id="1" w:name="_Hlk52439072"/>
    </w:p>
    <w:bookmarkEnd w:id="1"/>
    <w:p w14:paraId="1C8C7688" w14:textId="4D4B0544" w:rsidR="003E07DF" w:rsidRPr="00D17344" w:rsidRDefault="003E07DF" w:rsidP="00872E54">
      <w:pPr>
        <w:pStyle w:val="Default"/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D17344">
        <w:rPr>
          <w:rFonts w:ascii="Verdana" w:hAnsi="Verdana"/>
          <w:b/>
          <w:bCs/>
          <w:sz w:val="20"/>
          <w:szCs w:val="20"/>
        </w:rPr>
        <w:t>3. Zhodnotenie súčasného stavu</w:t>
      </w:r>
    </w:p>
    <w:p w14:paraId="6FC2768D" w14:textId="53CC00CD" w:rsidR="00970C98" w:rsidRPr="00D17344" w:rsidRDefault="0010010E" w:rsidP="00872E54">
      <w:pPr>
        <w:autoSpaceDE w:val="0"/>
        <w:autoSpaceDN w:val="0"/>
        <w:adjustRightInd w:val="0"/>
        <w:spacing w:after="0"/>
        <w:jc w:val="both"/>
        <w:rPr>
          <w:rFonts w:ascii="Cambria" w:hAnsi="Cambria" w:cs="Times New Roman"/>
        </w:rPr>
      </w:pPr>
      <w:r w:rsidRPr="00D17344">
        <w:rPr>
          <w:rFonts w:ascii="Cambria" w:hAnsi="Cambria" w:cs="Times New Roman"/>
          <w:sz w:val="24"/>
          <w:szCs w:val="24"/>
        </w:rPr>
        <w:tab/>
      </w:r>
      <w:r w:rsidR="00867BE3" w:rsidRPr="00D17344">
        <w:rPr>
          <w:rFonts w:ascii="Cambria" w:hAnsi="Cambria" w:cs="Times New Roman"/>
        </w:rPr>
        <w:t>V súčasnosti opatrenie nereflektuje aktuálne potreby bankového sektora a Národnej banky Slovenska</w:t>
      </w:r>
      <w:r w:rsidR="00D47C51" w:rsidRPr="00D17344">
        <w:rPr>
          <w:rFonts w:ascii="Cambria" w:hAnsi="Cambria" w:cs="Times New Roman"/>
        </w:rPr>
        <w:t xml:space="preserve">, najmä </w:t>
      </w:r>
      <w:r w:rsidR="008A5FEA" w:rsidRPr="00D17344">
        <w:rPr>
          <w:rFonts w:ascii="Cambria" w:hAnsi="Cambria" w:cs="Times New Roman"/>
        </w:rPr>
        <w:t>neumožňuje z poskytovaných údajov vylúčiť údaje o zabezpečení, ktoré majú charakter obchodného tajomstva.</w:t>
      </w:r>
    </w:p>
    <w:p w14:paraId="5D39AD0D" w14:textId="4BF8B44C" w:rsidR="00606FF0" w:rsidRPr="00D17344" w:rsidRDefault="00606FF0" w:rsidP="00872E54">
      <w:pPr>
        <w:autoSpaceDE w:val="0"/>
        <w:autoSpaceDN w:val="0"/>
        <w:adjustRightInd w:val="0"/>
        <w:spacing w:after="0"/>
        <w:jc w:val="both"/>
        <w:rPr>
          <w:rFonts w:ascii="Cambria" w:hAnsi="Cambria" w:cs="Times New Roman"/>
        </w:rPr>
      </w:pPr>
      <w:r w:rsidRPr="00D17344">
        <w:rPr>
          <w:rFonts w:ascii="Cambria" w:hAnsi="Cambria" w:cs="Times New Roman"/>
        </w:rPr>
        <w:tab/>
        <w:t>Podľa v súčasnosti platného znenia opatrenia nie je možné jasne odlíšiť odvolateľné a neodvolateľné podsúvahové expozície, ako aj rozlíšiť hlavného dlžníka od spoludlžníka, pričom takéto upresnenie zlepší preverenie úverovej angažovanosti klientov zo strany bánk, riadenie kreditného rizika a zabezpečí skvalitnenie vykazovania údajov Európskej centrálnej banke. V aplikačnej praxi sa ukázala vysoká chybovosť žiadostí o poskytnutie údajov z IS RBUZ, čo si vyžiadalo doplnenie upresňujúcich informácií vo formulári žiadosti.</w:t>
      </w:r>
    </w:p>
    <w:p w14:paraId="5E13F9EF" w14:textId="77777777" w:rsidR="00970C98" w:rsidRPr="0057066A" w:rsidRDefault="00970C98" w:rsidP="00872E54">
      <w:pPr>
        <w:autoSpaceDE w:val="0"/>
        <w:autoSpaceDN w:val="0"/>
        <w:adjustRightInd w:val="0"/>
        <w:spacing w:after="0"/>
        <w:jc w:val="both"/>
        <w:rPr>
          <w:rFonts w:ascii="Cambria" w:hAnsi="Cambria"/>
          <w:color w:val="000000" w:themeColor="text1"/>
          <w:sz w:val="20"/>
          <w:szCs w:val="20"/>
        </w:rPr>
      </w:pPr>
    </w:p>
    <w:p w14:paraId="4530EC19" w14:textId="2AF8FC27" w:rsidR="003E07DF" w:rsidRPr="00D17344" w:rsidRDefault="003E07DF" w:rsidP="00872E54">
      <w:pPr>
        <w:pStyle w:val="Default"/>
        <w:spacing w:line="276" w:lineRule="auto"/>
      </w:pPr>
      <w:r w:rsidRPr="00D17344">
        <w:rPr>
          <w:rFonts w:ascii="Verdana" w:hAnsi="Verdana"/>
          <w:b/>
          <w:bCs/>
          <w:sz w:val="20"/>
          <w:szCs w:val="20"/>
        </w:rPr>
        <w:t>4. Spôsob zapojenia verejnosti do prípravy právneho predpisu</w:t>
      </w:r>
    </w:p>
    <w:p w14:paraId="6C306195" w14:textId="675381EC" w:rsidR="004434D4" w:rsidRPr="00D17344" w:rsidRDefault="004434D4" w:rsidP="00872E54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D17344">
        <w:rPr>
          <w:rFonts w:ascii="Cambria" w:hAnsi="Cambria"/>
          <w:sz w:val="22"/>
          <w:szCs w:val="22"/>
        </w:rPr>
        <w:tab/>
        <w:t>Verejnosť sa môže zapojiť do prípravy právneho predpisu formou zasielania podnetov, či návrhov v intenciách vecného zamerania podľa bodu 2.</w:t>
      </w:r>
    </w:p>
    <w:p w14:paraId="171C92AF" w14:textId="77777777" w:rsidR="004434D4" w:rsidRPr="00D17344" w:rsidRDefault="004434D4" w:rsidP="00872E54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D17344">
        <w:rPr>
          <w:rFonts w:ascii="Cambria" w:hAnsi="Cambria"/>
          <w:sz w:val="22"/>
          <w:szCs w:val="22"/>
        </w:rPr>
        <w:tab/>
        <w:t>Kontaktné údaje:</w:t>
      </w:r>
    </w:p>
    <w:p w14:paraId="3E3404D6" w14:textId="77777777" w:rsidR="004434D4" w:rsidRPr="00D17344" w:rsidRDefault="004434D4" w:rsidP="00872E54">
      <w:pPr>
        <w:pStyle w:val="Default"/>
        <w:spacing w:line="276" w:lineRule="auto"/>
        <w:jc w:val="both"/>
        <w:rPr>
          <w:rFonts w:ascii="Cambria" w:hAnsi="Cambria"/>
          <w:strike/>
          <w:sz w:val="22"/>
          <w:szCs w:val="22"/>
        </w:rPr>
      </w:pPr>
      <w:r w:rsidRPr="00D17344">
        <w:rPr>
          <w:rFonts w:ascii="Cambria" w:hAnsi="Cambria"/>
          <w:sz w:val="22"/>
          <w:szCs w:val="22"/>
        </w:rPr>
        <w:tab/>
        <w:t>Národná banka Slovenska</w:t>
      </w:r>
    </w:p>
    <w:p w14:paraId="2AC72D6D" w14:textId="00A9456A" w:rsidR="000747D2" w:rsidRPr="00D17344" w:rsidRDefault="004434D4" w:rsidP="00872E54">
      <w:pPr>
        <w:autoSpaceDE w:val="0"/>
        <w:autoSpaceDN w:val="0"/>
        <w:adjustRightInd w:val="0"/>
        <w:spacing w:after="0"/>
        <w:rPr>
          <w:rFonts w:ascii="Cambria" w:hAnsi="Cambria"/>
          <w:bCs/>
        </w:rPr>
      </w:pPr>
      <w:r w:rsidRPr="00D17344">
        <w:rPr>
          <w:rFonts w:ascii="Cambria" w:hAnsi="Cambria"/>
        </w:rPr>
        <w:tab/>
      </w:r>
      <w:r w:rsidR="000747D2" w:rsidRPr="00D17344">
        <w:rPr>
          <w:rFonts w:ascii="Cambria" w:hAnsi="Cambria"/>
          <w:bCs/>
        </w:rPr>
        <w:t xml:space="preserve">Úsek dohľadu </w:t>
      </w:r>
      <w:r w:rsidR="005F0A62" w:rsidRPr="00D17344">
        <w:rPr>
          <w:rFonts w:ascii="Cambria" w:hAnsi="Cambria"/>
          <w:bCs/>
        </w:rPr>
        <w:t>a ochrany finančného spotrebiteľa</w:t>
      </w:r>
    </w:p>
    <w:p w14:paraId="66289B4A" w14:textId="2C176E5B" w:rsidR="000747D2" w:rsidRPr="00D17344" w:rsidRDefault="000747D2" w:rsidP="00872E54">
      <w:pPr>
        <w:autoSpaceDE w:val="0"/>
        <w:autoSpaceDN w:val="0"/>
        <w:adjustRightInd w:val="0"/>
        <w:spacing w:after="0"/>
        <w:rPr>
          <w:rFonts w:ascii="Cambria" w:hAnsi="Cambria"/>
        </w:rPr>
      </w:pPr>
      <w:r w:rsidRPr="00D17344">
        <w:rPr>
          <w:rFonts w:ascii="Cambria" w:hAnsi="Cambria"/>
          <w:bCs/>
        </w:rPr>
        <w:tab/>
        <w:t xml:space="preserve">Odbor </w:t>
      </w:r>
      <w:r w:rsidR="00D318A7" w:rsidRPr="00D17344">
        <w:rPr>
          <w:rFonts w:ascii="Cambria" w:hAnsi="Cambria"/>
          <w:bCs/>
        </w:rPr>
        <w:t>finančných technológií a inovácií</w:t>
      </w:r>
    </w:p>
    <w:p w14:paraId="40C3DC3D" w14:textId="77777777" w:rsidR="004434D4" w:rsidRPr="00D17344" w:rsidRDefault="004434D4" w:rsidP="00872E54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D17344">
        <w:rPr>
          <w:rFonts w:ascii="Cambria" w:hAnsi="Cambria"/>
          <w:sz w:val="22"/>
          <w:szCs w:val="22"/>
        </w:rPr>
        <w:tab/>
        <w:t xml:space="preserve">Imricha </w:t>
      </w:r>
      <w:proofErr w:type="spellStart"/>
      <w:r w:rsidRPr="00D17344">
        <w:rPr>
          <w:rFonts w:ascii="Cambria" w:hAnsi="Cambria"/>
          <w:sz w:val="22"/>
          <w:szCs w:val="22"/>
        </w:rPr>
        <w:t>Karvaša</w:t>
      </w:r>
      <w:proofErr w:type="spellEnd"/>
      <w:r w:rsidR="005F39B4" w:rsidRPr="00D17344">
        <w:rPr>
          <w:rFonts w:ascii="Cambria" w:hAnsi="Cambria"/>
          <w:sz w:val="22"/>
          <w:szCs w:val="22"/>
        </w:rPr>
        <w:t xml:space="preserve"> 1</w:t>
      </w:r>
    </w:p>
    <w:p w14:paraId="34E4E714" w14:textId="77777777" w:rsidR="004434D4" w:rsidRPr="00D17344" w:rsidRDefault="004434D4" w:rsidP="00872E54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D17344">
        <w:rPr>
          <w:rFonts w:ascii="Cambria" w:hAnsi="Cambria"/>
          <w:sz w:val="22"/>
          <w:szCs w:val="22"/>
        </w:rPr>
        <w:tab/>
        <w:t>813 25 Bratislava</w:t>
      </w:r>
    </w:p>
    <w:p w14:paraId="4C81B8B7" w14:textId="60B91F0B" w:rsidR="004434D4" w:rsidRPr="00D17344" w:rsidRDefault="004434D4" w:rsidP="00872E54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D17344">
        <w:rPr>
          <w:rFonts w:ascii="Cambria" w:hAnsi="Cambria"/>
          <w:sz w:val="22"/>
          <w:szCs w:val="22"/>
        </w:rPr>
        <w:tab/>
        <w:t xml:space="preserve">email: </w:t>
      </w:r>
      <w:hyperlink r:id="rId8" w:history="1">
        <w:r w:rsidR="00C53E35" w:rsidRPr="00D17344">
          <w:rPr>
            <w:rFonts w:ascii="Cambria" w:hAnsi="Cambria"/>
            <w:sz w:val="22"/>
            <w:szCs w:val="22"/>
          </w:rPr>
          <w:t>oznamopk@nbs.sk</w:t>
        </w:r>
      </w:hyperlink>
    </w:p>
    <w:p w14:paraId="12D595B2" w14:textId="77777777" w:rsidR="0069633B" w:rsidRPr="0057066A" w:rsidRDefault="0069633B" w:rsidP="00872E54">
      <w:pPr>
        <w:pStyle w:val="Default"/>
        <w:spacing w:line="276" w:lineRule="auto"/>
        <w:jc w:val="both"/>
        <w:rPr>
          <w:sz w:val="20"/>
          <w:szCs w:val="20"/>
        </w:rPr>
      </w:pPr>
    </w:p>
    <w:p w14:paraId="26DC894F" w14:textId="4CFC8D99" w:rsidR="00A14B93" w:rsidRPr="00D17344" w:rsidRDefault="003E07DF" w:rsidP="00872E54">
      <w:pPr>
        <w:pStyle w:val="Default"/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D17344">
        <w:rPr>
          <w:rFonts w:ascii="Verdana" w:hAnsi="Verdana"/>
          <w:b/>
          <w:bCs/>
          <w:sz w:val="20"/>
          <w:szCs w:val="20"/>
        </w:rPr>
        <w:t>5. Predpokladaný termín začatia pripomienkového konania</w:t>
      </w:r>
    </w:p>
    <w:p w14:paraId="0F1E0519" w14:textId="28316C1F" w:rsidR="00D318A7" w:rsidRPr="00561626" w:rsidRDefault="00455450" w:rsidP="00872E54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D17344">
        <w:rPr>
          <w:rFonts w:ascii="Cambria" w:hAnsi="Cambria"/>
          <w:sz w:val="22"/>
          <w:szCs w:val="22"/>
        </w:rPr>
        <w:tab/>
      </w:r>
      <w:r w:rsidR="00E65F54" w:rsidRPr="00D17344">
        <w:rPr>
          <w:rFonts w:ascii="Cambria" w:hAnsi="Cambria"/>
          <w:sz w:val="22"/>
          <w:szCs w:val="22"/>
        </w:rPr>
        <w:t>September</w:t>
      </w:r>
      <w:r w:rsidR="009E2BD1" w:rsidRPr="00D17344">
        <w:rPr>
          <w:rFonts w:ascii="Cambria" w:hAnsi="Cambria"/>
          <w:sz w:val="22"/>
          <w:szCs w:val="22"/>
        </w:rPr>
        <w:t xml:space="preserve"> 202</w:t>
      </w:r>
      <w:r w:rsidR="008A5FEA" w:rsidRPr="00D17344">
        <w:rPr>
          <w:rFonts w:ascii="Cambria" w:hAnsi="Cambria"/>
          <w:sz w:val="22"/>
          <w:szCs w:val="22"/>
        </w:rPr>
        <w:t>6</w:t>
      </w:r>
    </w:p>
    <w:sectPr w:rsidR="00D318A7" w:rsidRPr="00561626" w:rsidSect="004B1184">
      <w:footerReference w:type="default" r:id="rId9"/>
      <w:pgSz w:w="11906" w:h="16838" w:code="9"/>
      <w:pgMar w:top="1417" w:right="1417" w:bottom="1417" w:left="1417" w:header="708" w:footer="56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02735" w14:textId="77777777" w:rsidR="008F0BF0" w:rsidRDefault="008F0BF0" w:rsidP="005F39B4">
      <w:pPr>
        <w:spacing w:after="0" w:line="240" w:lineRule="auto"/>
      </w:pPr>
      <w:r>
        <w:separator/>
      </w:r>
    </w:p>
  </w:endnote>
  <w:endnote w:type="continuationSeparator" w:id="0">
    <w:p w14:paraId="4C720CBB" w14:textId="77777777" w:rsidR="008F0BF0" w:rsidRDefault="008F0BF0" w:rsidP="005F3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97481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EFDD0B" w14:textId="77777777" w:rsidR="005F39B4" w:rsidRDefault="005F39B4">
        <w:pPr>
          <w:pStyle w:val="Pt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FFBE33" w14:textId="77777777" w:rsidR="005F39B4" w:rsidRDefault="005F39B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AF3A9" w14:textId="77777777" w:rsidR="008F0BF0" w:rsidRDefault="008F0BF0" w:rsidP="005F39B4">
      <w:pPr>
        <w:spacing w:after="0" w:line="240" w:lineRule="auto"/>
      </w:pPr>
      <w:r>
        <w:separator/>
      </w:r>
    </w:p>
  </w:footnote>
  <w:footnote w:type="continuationSeparator" w:id="0">
    <w:p w14:paraId="3E74ADFB" w14:textId="77777777" w:rsidR="008F0BF0" w:rsidRDefault="008F0BF0" w:rsidP="005F39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DF"/>
    <w:rsid w:val="00053F6C"/>
    <w:rsid w:val="00072567"/>
    <w:rsid w:val="000747D2"/>
    <w:rsid w:val="000868AA"/>
    <w:rsid w:val="000915C7"/>
    <w:rsid w:val="000D0623"/>
    <w:rsid w:val="000E5F23"/>
    <w:rsid w:val="0010010E"/>
    <w:rsid w:val="001170B2"/>
    <w:rsid w:val="00133BED"/>
    <w:rsid w:val="00172A0B"/>
    <w:rsid w:val="001A53FA"/>
    <w:rsid w:val="001C094D"/>
    <w:rsid w:val="00222D64"/>
    <w:rsid w:val="00254082"/>
    <w:rsid w:val="0025626B"/>
    <w:rsid w:val="00263671"/>
    <w:rsid w:val="00266E04"/>
    <w:rsid w:val="00276630"/>
    <w:rsid w:val="002A321B"/>
    <w:rsid w:val="002A52B9"/>
    <w:rsid w:val="002C30FB"/>
    <w:rsid w:val="002C525A"/>
    <w:rsid w:val="00312818"/>
    <w:rsid w:val="0031452A"/>
    <w:rsid w:val="003233B8"/>
    <w:rsid w:val="00330893"/>
    <w:rsid w:val="00372180"/>
    <w:rsid w:val="00375963"/>
    <w:rsid w:val="003816E9"/>
    <w:rsid w:val="003A4EF7"/>
    <w:rsid w:val="003A5231"/>
    <w:rsid w:val="003E07DF"/>
    <w:rsid w:val="003E577B"/>
    <w:rsid w:val="00440807"/>
    <w:rsid w:val="00441E62"/>
    <w:rsid w:val="004434D4"/>
    <w:rsid w:val="00455450"/>
    <w:rsid w:val="004601BB"/>
    <w:rsid w:val="00464089"/>
    <w:rsid w:val="00497190"/>
    <w:rsid w:val="004B1184"/>
    <w:rsid w:val="004B7969"/>
    <w:rsid w:val="004D2948"/>
    <w:rsid w:val="004E4FBF"/>
    <w:rsid w:val="00554DA9"/>
    <w:rsid w:val="00561626"/>
    <w:rsid w:val="0057066A"/>
    <w:rsid w:val="0057235C"/>
    <w:rsid w:val="00583215"/>
    <w:rsid w:val="00585805"/>
    <w:rsid w:val="00586EBB"/>
    <w:rsid w:val="005F0A62"/>
    <w:rsid w:val="005F39B4"/>
    <w:rsid w:val="00606FF0"/>
    <w:rsid w:val="006118C2"/>
    <w:rsid w:val="006206B8"/>
    <w:rsid w:val="006456BD"/>
    <w:rsid w:val="006604EE"/>
    <w:rsid w:val="00661CB4"/>
    <w:rsid w:val="006866B8"/>
    <w:rsid w:val="0069633B"/>
    <w:rsid w:val="006A5FC1"/>
    <w:rsid w:val="0071225A"/>
    <w:rsid w:val="00712826"/>
    <w:rsid w:val="00737EC8"/>
    <w:rsid w:val="007448D8"/>
    <w:rsid w:val="007717F3"/>
    <w:rsid w:val="00792DE2"/>
    <w:rsid w:val="007B0B30"/>
    <w:rsid w:val="007B6874"/>
    <w:rsid w:val="007B790D"/>
    <w:rsid w:val="007C2225"/>
    <w:rsid w:val="007C49D2"/>
    <w:rsid w:val="007C628A"/>
    <w:rsid w:val="00830115"/>
    <w:rsid w:val="008465E7"/>
    <w:rsid w:val="00852530"/>
    <w:rsid w:val="00860F10"/>
    <w:rsid w:val="00862676"/>
    <w:rsid w:val="00867BE3"/>
    <w:rsid w:val="00872E54"/>
    <w:rsid w:val="00894CDB"/>
    <w:rsid w:val="008A5FEA"/>
    <w:rsid w:val="008A643F"/>
    <w:rsid w:val="008E5D45"/>
    <w:rsid w:val="008F0BF0"/>
    <w:rsid w:val="00946DD3"/>
    <w:rsid w:val="00947237"/>
    <w:rsid w:val="00970C98"/>
    <w:rsid w:val="0097316D"/>
    <w:rsid w:val="00976BF1"/>
    <w:rsid w:val="00985B1F"/>
    <w:rsid w:val="009A0F72"/>
    <w:rsid w:val="009D4067"/>
    <w:rsid w:val="009E2BD1"/>
    <w:rsid w:val="00A05966"/>
    <w:rsid w:val="00A14B93"/>
    <w:rsid w:val="00A53F10"/>
    <w:rsid w:val="00A80D92"/>
    <w:rsid w:val="00A80F30"/>
    <w:rsid w:val="00AB386E"/>
    <w:rsid w:val="00AF5789"/>
    <w:rsid w:val="00B00773"/>
    <w:rsid w:val="00B079E6"/>
    <w:rsid w:val="00B119B2"/>
    <w:rsid w:val="00B12A60"/>
    <w:rsid w:val="00B13B80"/>
    <w:rsid w:val="00B33A8E"/>
    <w:rsid w:val="00B35B45"/>
    <w:rsid w:val="00B3744C"/>
    <w:rsid w:val="00B7202A"/>
    <w:rsid w:val="00B83DA4"/>
    <w:rsid w:val="00B91593"/>
    <w:rsid w:val="00B972F1"/>
    <w:rsid w:val="00BB05AB"/>
    <w:rsid w:val="00BC6DEE"/>
    <w:rsid w:val="00BD7406"/>
    <w:rsid w:val="00C421DF"/>
    <w:rsid w:val="00C53E35"/>
    <w:rsid w:val="00C82D33"/>
    <w:rsid w:val="00CA32F9"/>
    <w:rsid w:val="00CE44FC"/>
    <w:rsid w:val="00CE48B2"/>
    <w:rsid w:val="00CE530E"/>
    <w:rsid w:val="00CF2B1C"/>
    <w:rsid w:val="00CF443B"/>
    <w:rsid w:val="00D13088"/>
    <w:rsid w:val="00D17344"/>
    <w:rsid w:val="00D21E9C"/>
    <w:rsid w:val="00D318A7"/>
    <w:rsid w:val="00D34566"/>
    <w:rsid w:val="00D44754"/>
    <w:rsid w:val="00D47C51"/>
    <w:rsid w:val="00D50AC6"/>
    <w:rsid w:val="00D52964"/>
    <w:rsid w:val="00D57F5F"/>
    <w:rsid w:val="00D62E75"/>
    <w:rsid w:val="00D75447"/>
    <w:rsid w:val="00D83A93"/>
    <w:rsid w:val="00DD00F4"/>
    <w:rsid w:val="00DD08A0"/>
    <w:rsid w:val="00DD64E2"/>
    <w:rsid w:val="00DE1FEE"/>
    <w:rsid w:val="00E10B06"/>
    <w:rsid w:val="00E2036F"/>
    <w:rsid w:val="00E21147"/>
    <w:rsid w:val="00E27CAB"/>
    <w:rsid w:val="00E33567"/>
    <w:rsid w:val="00E544F4"/>
    <w:rsid w:val="00E65F54"/>
    <w:rsid w:val="00E91D09"/>
    <w:rsid w:val="00EC6566"/>
    <w:rsid w:val="00F2723A"/>
    <w:rsid w:val="00F41020"/>
    <w:rsid w:val="00F4104A"/>
    <w:rsid w:val="00F75047"/>
    <w:rsid w:val="00F770A9"/>
    <w:rsid w:val="00F84E53"/>
    <w:rsid w:val="00F931AE"/>
    <w:rsid w:val="00F936D0"/>
    <w:rsid w:val="00FA1793"/>
    <w:rsid w:val="00FB5659"/>
    <w:rsid w:val="00FD08B8"/>
    <w:rsid w:val="00FD44A5"/>
    <w:rsid w:val="00FF1A1D"/>
    <w:rsid w:val="00FF5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19D81D"/>
  <w15:chartTrackingRefBased/>
  <w15:docId w15:val="{F869F579-E978-470F-BB95-7F3ADF84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434D4"/>
    <w:pPr>
      <w:spacing w:after="200" w:line="276" w:lineRule="auto"/>
    </w:pPr>
    <w:rPr>
      <w:rFonts w:eastAsiaTheme="minorEastAsia"/>
      <w:lang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3E07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3E07DF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5F3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F39B4"/>
    <w:rPr>
      <w:rFonts w:eastAsiaTheme="minorEastAsia"/>
      <w:lang w:eastAsia="zh-CN"/>
    </w:rPr>
  </w:style>
  <w:style w:type="paragraph" w:styleId="Pta">
    <w:name w:val="footer"/>
    <w:basedOn w:val="Normlny"/>
    <w:link w:val="PtaChar"/>
    <w:uiPriority w:val="99"/>
    <w:unhideWhenUsed/>
    <w:rsid w:val="005F3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F39B4"/>
    <w:rPr>
      <w:rFonts w:eastAsiaTheme="minorEastAsia"/>
      <w:lang w:eastAsia="zh-CN"/>
    </w:rPr>
  </w:style>
  <w:style w:type="character" w:styleId="Nevyrieenzmienka">
    <w:name w:val="Unresolved Mention"/>
    <w:basedOn w:val="Predvolenpsmoodseku"/>
    <w:uiPriority w:val="99"/>
    <w:semiHidden/>
    <w:unhideWhenUsed/>
    <w:rsid w:val="00C53E35"/>
    <w:rPr>
      <w:color w:val="605E5C"/>
      <w:shd w:val="clear" w:color="auto" w:fill="E1DFDD"/>
    </w:rPr>
  </w:style>
  <w:style w:type="paragraph" w:styleId="Zkladntext">
    <w:name w:val="Body Text"/>
    <w:basedOn w:val="Normlny"/>
    <w:link w:val="ZkladntextChar"/>
    <w:uiPriority w:val="99"/>
    <w:rsid w:val="00860F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860F10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7C49D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7C49D2"/>
    <w:rPr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0915C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915C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915C7"/>
    <w:rPr>
      <w:rFonts w:eastAsiaTheme="minorEastAsia"/>
      <w:sz w:val="20"/>
      <w:szCs w:val="20"/>
      <w:lang w:eastAsia="zh-C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915C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915C7"/>
    <w:rPr>
      <w:rFonts w:eastAsiaTheme="minorEastAsia"/>
      <w:b/>
      <w:bCs/>
      <w:sz w:val="20"/>
      <w:szCs w:val="20"/>
      <w:lang w:eastAsia="zh-CN"/>
    </w:rPr>
  </w:style>
  <w:style w:type="paragraph" w:styleId="Revzia">
    <w:name w:val="Revision"/>
    <w:hidden/>
    <w:uiPriority w:val="99"/>
    <w:semiHidden/>
    <w:rsid w:val="00072567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znamopk@nbs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Predbežná-informácia"/>
    <f:field ref="objsubject" par="" edit="true" text=""/>
    <f:field ref="objcreatedby" par="" text="Administrator, System"/>
    <f:field ref="objcreatedat" par="" text="23.8.2024 9:07:39"/>
    <f:field ref="objchangedby" par="" text="Administrator, System"/>
    <f:field ref="objmodifiedat" par="" text="23.8.2024 9:07:3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AFF67C4-BE51-40E6-AC3A-A569D2ADBC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MZ SR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Jakubíková Jana</dc:creator>
  <cp:keywords/>
  <dc:description/>
  <cp:lastModifiedBy>Madelová Ľubica</cp:lastModifiedBy>
  <cp:revision>10</cp:revision>
  <cp:lastPrinted>2026-08-18T08:52:00Z</cp:lastPrinted>
  <dcterms:created xsi:type="dcterms:W3CDTF">2026-08-13T11:11:00Z</dcterms:created>
  <dcterms:modified xsi:type="dcterms:W3CDTF">2026-08-18T08:52:00Z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Finančné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Ľubica Mádelová</vt:lpwstr>
  </property>
  <property fmtid="{D5CDD505-2E9C-101B-9397-08002B2CF9AE}" pid="12" name="FSC#SKEDITIONSLOVLEX@103.510:zodppredkladatel">
    <vt:lpwstr>Ing. Peter Kažimír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Predbežná informácia k Návrhu opatrenia Národnej banky Slovenska z ... 2023 o registri bankových úverov a záruk.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Národná banka Slovenska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Predbežná informácia k Návrhu opatrenia Národnej banky Slovenska z ... 2023 o registri bankových úverov a záruk.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100-000-549-953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PI/2023/220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guvernér NBS</vt:lpwstr>
  </property>
  <property fmtid="{D5CDD505-2E9C-101B-9397-08002B2CF9AE}" pid="142" name="FSC#SKEDITIONSLOVLEX@103.510:funkciaZodpPredAkuzativ">
    <vt:lpwstr>guvernérovi NBS</vt:lpwstr>
  </property>
  <property fmtid="{D5CDD505-2E9C-101B-9397-08002B2CF9AE}" pid="143" name="FSC#SKEDITIONSLOVLEX@103.510:funkciaZodpPredDativ">
    <vt:lpwstr>guvernéra NBS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Peter Kažimír_x000d_
guvernér NBS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23. 8. 2024</vt:lpwstr>
  </property>
  <property fmtid="{D5CDD505-2E9C-101B-9397-08002B2CF9AE}" pid="151" name="FSC#COOSYSTEM@1.1:Container">
    <vt:lpwstr>COO.2145.1000.3.6325034</vt:lpwstr>
  </property>
  <property fmtid="{D5CDD505-2E9C-101B-9397-08002B2CF9AE}" pid="152" name="FSC#FSCFOLIO@1.1001:docpropproject">
    <vt:lpwstr/>
  </property>
</Properties>
</file>