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5A2B2" w14:textId="77777777" w:rsidR="00535886" w:rsidRPr="00903A3E" w:rsidRDefault="00BE2399" w:rsidP="007270FB">
      <w:pPr>
        <w:jc w:val="center"/>
        <w:rPr>
          <w:rFonts w:ascii="Times New Roman" w:hAnsi="Times New Roman" w:cs="Times New Roman"/>
          <w:b/>
          <w:bCs/>
          <w:caps/>
          <w:spacing w:val="30"/>
        </w:rPr>
      </w:pPr>
      <w:r w:rsidRPr="00903A3E">
        <w:rPr>
          <w:rFonts w:ascii="Times New Roman" w:hAnsi="Times New Roman" w:cs="Times New Roman"/>
          <w:b/>
          <w:bCs/>
          <w:caps/>
          <w:spacing w:val="30"/>
        </w:rPr>
        <w:t>Dôvodová správa</w:t>
      </w:r>
    </w:p>
    <w:p w14:paraId="7A5F7CD3" w14:textId="77777777" w:rsidR="00BE2399" w:rsidRPr="00903A3E" w:rsidRDefault="00BE2399" w:rsidP="007270FB">
      <w:pPr>
        <w:jc w:val="both"/>
        <w:rPr>
          <w:rFonts w:ascii="Times New Roman" w:hAnsi="Times New Roman" w:cs="Times New Roman"/>
        </w:rPr>
      </w:pPr>
    </w:p>
    <w:p w14:paraId="3C4495BA" w14:textId="77777777" w:rsidR="00BE2399" w:rsidRPr="00903A3E" w:rsidRDefault="00BE2399" w:rsidP="00EF0811">
      <w:pPr>
        <w:jc w:val="both"/>
        <w:rPr>
          <w:rFonts w:ascii="Times New Roman" w:hAnsi="Times New Roman" w:cs="Times New Roman"/>
          <w:b/>
          <w:bCs/>
        </w:rPr>
      </w:pPr>
      <w:r w:rsidRPr="00903A3E">
        <w:rPr>
          <w:rFonts w:ascii="Times New Roman" w:hAnsi="Times New Roman" w:cs="Times New Roman"/>
          <w:b/>
          <w:bCs/>
        </w:rPr>
        <w:t>Všeobecná časť</w:t>
      </w:r>
    </w:p>
    <w:p w14:paraId="2E30C9C7" w14:textId="77777777" w:rsidR="00BE2399" w:rsidRPr="00903A3E" w:rsidRDefault="00BE2399" w:rsidP="007270FB">
      <w:pPr>
        <w:jc w:val="both"/>
        <w:rPr>
          <w:rFonts w:ascii="Times New Roman" w:hAnsi="Times New Roman" w:cs="Times New Roman"/>
        </w:rPr>
      </w:pPr>
    </w:p>
    <w:p w14:paraId="531C12D1" w14:textId="77777777" w:rsidR="0051458D" w:rsidRPr="0051458D" w:rsidRDefault="0051458D" w:rsidP="0051458D">
      <w:pPr>
        <w:ind w:firstLine="708"/>
        <w:jc w:val="both"/>
        <w:rPr>
          <w:rFonts w:ascii="Times New Roman" w:hAnsi="Times New Roman" w:cs="Times New Roman"/>
        </w:rPr>
      </w:pPr>
      <w:r w:rsidRPr="0051458D">
        <w:rPr>
          <w:rFonts w:ascii="Times New Roman" w:hAnsi="Times New Roman" w:cs="Times New Roman"/>
        </w:rPr>
        <w:t>Návrh zákona, ktorým sa mení a dopĺňa zákon č. 595/2003 Z. z. o dani z príjmov v znení neskorších predpisov, predkladá skupina poslancov Národnej rady Slovenskej republiky ako reakciu na dlhodobý nepriaznivý demografický vývoj a potrebu systémovej podpory viacdetných rodín.</w:t>
      </w:r>
    </w:p>
    <w:p w14:paraId="770AACFF" w14:textId="77777777" w:rsidR="0051458D" w:rsidRPr="0051458D" w:rsidRDefault="0051458D" w:rsidP="0051458D">
      <w:pPr>
        <w:ind w:firstLine="708"/>
        <w:jc w:val="both"/>
        <w:rPr>
          <w:rFonts w:ascii="Times New Roman" w:hAnsi="Times New Roman" w:cs="Times New Roman"/>
        </w:rPr>
      </w:pPr>
    </w:p>
    <w:p w14:paraId="6F9BA101" w14:textId="77777777" w:rsidR="0051458D" w:rsidRPr="0051458D" w:rsidRDefault="0051458D" w:rsidP="0051458D">
      <w:pPr>
        <w:ind w:firstLine="708"/>
        <w:jc w:val="both"/>
        <w:rPr>
          <w:rFonts w:ascii="Times New Roman" w:hAnsi="Times New Roman" w:cs="Times New Roman"/>
        </w:rPr>
      </w:pPr>
      <w:r w:rsidRPr="0051458D">
        <w:rPr>
          <w:rFonts w:ascii="Times New Roman" w:hAnsi="Times New Roman" w:cs="Times New Roman"/>
        </w:rPr>
        <w:t>Výchova štyroch a viacerých detí prináša významné zvýšenie životných nákladov rodiny a zároveň predstavuje kľúčový prínos pre udržateľnosť sociálneho a dôchodkového systému Slovenskej republiky. Návrh zákona zavádza 100 % nezdaniteľnú časť základu dane z príjmov zo závislej činnosti (§ 5) a z príjmov z podnikania a inej samostatnej zárobkovej činnosti (§ 6 ods. 1 a 2) pre rodičov (primárne matky), ktorí majú v osobnej starostlivosti alebo v minulosti nepretržite mali v osobnej starostlivosti štyri alebo viac detí až do ich plnoletosti. V praxi to znamená oslobodenie aktívnych príjmov týchto rodičov od dane z príjmov fyzických osôb.</w:t>
      </w:r>
    </w:p>
    <w:p w14:paraId="407C92A2" w14:textId="77777777" w:rsidR="0051458D" w:rsidRPr="0051458D" w:rsidRDefault="0051458D" w:rsidP="0051458D">
      <w:pPr>
        <w:ind w:firstLine="708"/>
        <w:jc w:val="both"/>
        <w:rPr>
          <w:rFonts w:ascii="Times New Roman" w:hAnsi="Times New Roman" w:cs="Times New Roman"/>
        </w:rPr>
      </w:pPr>
    </w:p>
    <w:p w14:paraId="061220A7" w14:textId="77777777" w:rsidR="0051458D" w:rsidRPr="0051458D" w:rsidRDefault="0051458D" w:rsidP="0051458D">
      <w:pPr>
        <w:ind w:firstLine="708"/>
        <w:jc w:val="both"/>
        <w:rPr>
          <w:rFonts w:ascii="Times New Roman" w:hAnsi="Times New Roman" w:cs="Times New Roman"/>
        </w:rPr>
      </w:pPr>
      <w:r w:rsidRPr="0051458D">
        <w:rPr>
          <w:rFonts w:ascii="Times New Roman" w:hAnsi="Times New Roman" w:cs="Times New Roman"/>
        </w:rPr>
        <w:t>Daňové zvýhodnenie sa neviaže len na obdobie, kedy sú deti nezaopatrené. Ak rodič splnil podmienku nepretržitej osobnej starostlivosti o štyri alebo viac detí do ich plnoletosti (minimálne však12 rokov pri osvojení), nárok na nezdaniteľnú časť základu dane mu zostáva zachovaný aj po ich osamostatnení, a to po celú dobu jeho aktívneho pôsobenia na trhu práce.</w:t>
      </w:r>
    </w:p>
    <w:p w14:paraId="007B6B4E" w14:textId="77777777" w:rsidR="0051458D" w:rsidRPr="0051458D" w:rsidRDefault="0051458D" w:rsidP="0051458D">
      <w:pPr>
        <w:ind w:firstLine="708"/>
        <w:jc w:val="both"/>
        <w:rPr>
          <w:rFonts w:ascii="Times New Roman" w:hAnsi="Times New Roman" w:cs="Times New Roman"/>
        </w:rPr>
      </w:pPr>
    </w:p>
    <w:p w14:paraId="19D05180" w14:textId="77777777" w:rsidR="0051458D" w:rsidRPr="0051458D" w:rsidRDefault="0051458D" w:rsidP="0051458D">
      <w:pPr>
        <w:ind w:firstLine="708"/>
        <w:jc w:val="both"/>
        <w:rPr>
          <w:rFonts w:ascii="Times New Roman" w:hAnsi="Times New Roman" w:cs="Times New Roman"/>
        </w:rPr>
      </w:pPr>
      <w:r w:rsidRPr="0051458D">
        <w:rPr>
          <w:rFonts w:ascii="Times New Roman" w:hAnsi="Times New Roman" w:cs="Times New Roman"/>
        </w:rPr>
        <w:t>Na rozdiel od priamych sociálnych dávok je toto opatrenie naviazané výhradne na aktívny príjem zo zamestnania alebo podnikania. Významne sa tým zvyšuje čistý disponibilný príjem pracujúcich rodičov a posilňuje sa motivácia vstúpiť, zotrvať a uplatniť sa na trhu práce.</w:t>
      </w:r>
    </w:p>
    <w:p w14:paraId="67D35DE3" w14:textId="77777777" w:rsidR="0051458D" w:rsidRPr="0051458D" w:rsidRDefault="0051458D" w:rsidP="0051458D">
      <w:pPr>
        <w:ind w:firstLine="708"/>
        <w:jc w:val="both"/>
        <w:rPr>
          <w:rFonts w:ascii="Times New Roman" w:hAnsi="Times New Roman" w:cs="Times New Roman"/>
        </w:rPr>
      </w:pPr>
    </w:p>
    <w:p w14:paraId="32C5B042" w14:textId="77777777" w:rsidR="0051458D" w:rsidRPr="0051458D" w:rsidRDefault="0051458D" w:rsidP="0051458D">
      <w:pPr>
        <w:ind w:firstLine="708"/>
        <w:jc w:val="both"/>
        <w:rPr>
          <w:rFonts w:ascii="Times New Roman" w:hAnsi="Times New Roman" w:cs="Times New Roman"/>
        </w:rPr>
      </w:pPr>
      <w:r w:rsidRPr="0051458D">
        <w:rPr>
          <w:rFonts w:ascii="Times New Roman" w:hAnsi="Times New Roman" w:cs="Times New Roman"/>
        </w:rPr>
        <w:t>Návrh primárne priznáva toto právo matke (osvojiteľke) s možnosťou prechodu na otca len v definovaných prípadoch (úmrtie matky, nespĺňanie podmienok matkou). Návrh zároveň explicitne vylučuje uplatnenie tejto úľavy v prípadoch, kedy rodič úmyselným trestným činom spôsobil smrť svojho dieťaťa.</w:t>
      </w:r>
    </w:p>
    <w:p w14:paraId="6507AD97" w14:textId="77777777" w:rsidR="0051458D" w:rsidRPr="0051458D" w:rsidRDefault="0051458D" w:rsidP="0051458D">
      <w:pPr>
        <w:ind w:firstLine="708"/>
        <w:jc w:val="both"/>
        <w:rPr>
          <w:rFonts w:ascii="Times New Roman" w:hAnsi="Times New Roman" w:cs="Times New Roman"/>
        </w:rPr>
      </w:pPr>
    </w:p>
    <w:p w14:paraId="729B5CFC" w14:textId="77777777" w:rsidR="0051458D" w:rsidRPr="0051458D" w:rsidRDefault="0051458D" w:rsidP="0051458D">
      <w:pPr>
        <w:ind w:firstLine="708"/>
        <w:jc w:val="both"/>
        <w:rPr>
          <w:rFonts w:ascii="Times New Roman" w:hAnsi="Times New Roman" w:cs="Times New Roman"/>
        </w:rPr>
      </w:pPr>
      <w:r w:rsidRPr="0051458D">
        <w:rPr>
          <w:rFonts w:ascii="Times New Roman" w:hAnsi="Times New Roman" w:cs="Times New Roman"/>
        </w:rPr>
        <w:t>Návrh zákona je v súlade s Ústavou Slovenskej republiky, ústavnými zákonmi, nálezmi Ústavného súdu SR, zákonmi a ostatnými všeobecne záväznými právnymi predpismi, ako aj s medzinárodnými zmluvami a inými medzinárodnými dokumentmi, ktorými je Slovenská republika viazaná, a s právom Európskej únie.</w:t>
      </w:r>
    </w:p>
    <w:p w14:paraId="4D4B154D" w14:textId="77777777" w:rsidR="0051458D" w:rsidRPr="0051458D" w:rsidRDefault="0051458D" w:rsidP="0051458D">
      <w:pPr>
        <w:ind w:firstLine="708"/>
        <w:jc w:val="both"/>
        <w:rPr>
          <w:rFonts w:ascii="Times New Roman" w:hAnsi="Times New Roman" w:cs="Times New Roman"/>
        </w:rPr>
      </w:pPr>
    </w:p>
    <w:p w14:paraId="0BB6BA97" w14:textId="547CF839" w:rsidR="00145931" w:rsidRPr="00903A3E" w:rsidRDefault="0051458D" w:rsidP="0051458D">
      <w:pPr>
        <w:ind w:firstLine="708"/>
        <w:jc w:val="both"/>
        <w:rPr>
          <w:rFonts w:ascii="Times New Roman" w:hAnsi="Times New Roman" w:cs="Times New Roman"/>
        </w:rPr>
      </w:pPr>
      <w:r w:rsidRPr="0051458D">
        <w:rPr>
          <w:rFonts w:ascii="Times New Roman" w:hAnsi="Times New Roman" w:cs="Times New Roman"/>
        </w:rPr>
        <w:t>Predložený návrh zákona bude mať negatívny vplyv na rozpočet verejnej správy (výpadok dane z príjmov fyzických osôb), avšak bude mať výrazne pozitívny sociálny vplyv na hospodárenie domácností s viac než štyrmi deťmi a pozitívny vplyv na podnikateľské prostredie fyzických osôb. Návrh nemá žiadne vplyvy na životné prostredie ani na informatizáciu spoločnosti.</w:t>
      </w:r>
      <w:r w:rsidR="00145931" w:rsidRPr="00903A3E">
        <w:rPr>
          <w:rFonts w:ascii="Times New Roman" w:hAnsi="Times New Roman" w:cs="Times New Roman"/>
        </w:rPr>
        <w:t xml:space="preserve"> </w:t>
      </w:r>
    </w:p>
    <w:p w14:paraId="54AB3F0E" w14:textId="7C152525" w:rsidR="00D14693" w:rsidRDefault="00D14693">
      <w:pPr>
        <w:rPr>
          <w:rFonts w:ascii="Times New Roman" w:hAnsi="Times New Roman" w:cs="Times New Roman"/>
        </w:rPr>
      </w:pPr>
      <w:r>
        <w:rPr>
          <w:rFonts w:ascii="Times New Roman" w:hAnsi="Times New Roman" w:cs="Times New Roman"/>
        </w:rPr>
        <w:br w:type="page"/>
      </w:r>
    </w:p>
    <w:p w14:paraId="489EEA15" w14:textId="77777777" w:rsidR="00BE2399" w:rsidRPr="00903A3E" w:rsidRDefault="00BE2399" w:rsidP="00706D76">
      <w:pPr>
        <w:rPr>
          <w:rFonts w:ascii="Times New Roman" w:eastAsia="Times New Roman" w:hAnsi="Times New Roman" w:cs="Times New Roman"/>
          <w:b/>
          <w:bCs/>
          <w:lang w:eastAsia="sk-SK"/>
        </w:rPr>
      </w:pPr>
      <w:r w:rsidRPr="00903A3E">
        <w:rPr>
          <w:rFonts w:ascii="Times New Roman" w:hAnsi="Times New Roman" w:cs="Times New Roman"/>
          <w:b/>
          <w:bCs/>
        </w:rPr>
        <w:lastRenderedPageBreak/>
        <w:t xml:space="preserve">Osobitná časť </w:t>
      </w:r>
    </w:p>
    <w:p w14:paraId="1386F3FC" w14:textId="77777777" w:rsidR="008D7E9B" w:rsidRPr="00903A3E" w:rsidRDefault="008D7E9B" w:rsidP="008D7E9B">
      <w:pPr>
        <w:jc w:val="both"/>
        <w:rPr>
          <w:rFonts w:ascii="Times New Roman" w:hAnsi="Times New Roman" w:cs="Times New Roman"/>
          <w:b/>
          <w:bCs/>
        </w:rPr>
      </w:pPr>
    </w:p>
    <w:p w14:paraId="3B104CBC" w14:textId="77777777" w:rsidR="0051458D" w:rsidRDefault="0051458D" w:rsidP="0051458D">
      <w:pPr>
        <w:jc w:val="both"/>
        <w:rPr>
          <w:rFonts w:ascii="Times New Roman" w:eastAsia="Times New Roman" w:hAnsi="Times New Roman" w:cs="Times New Roman"/>
          <w:b/>
          <w:bCs/>
          <w:lang w:eastAsia="sk-SK"/>
        </w:rPr>
      </w:pPr>
      <w:r>
        <w:rPr>
          <w:rFonts w:ascii="Times New Roman" w:eastAsia="Times New Roman" w:hAnsi="Times New Roman" w:cs="Times New Roman"/>
          <w:b/>
          <w:bCs/>
          <w:lang w:eastAsia="sk-SK"/>
        </w:rPr>
        <w:t>K Čl. I</w:t>
      </w:r>
    </w:p>
    <w:p w14:paraId="7B5C9505" w14:textId="77777777" w:rsidR="0051458D" w:rsidRDefault="0051458D" w:rsidP="0051458D">
      <w:pPr>
        <w:jc w:val="both"/>
        <w:rPr>
          <w:rFonts w:ascii="Times New Roman" w:eastAsia="Times New Roman" w:hAnsi="Times New Roman" w:cs="Times New Roman"/>
          <w:b/>
          <w:bCs/>
          <w:lang w:eastAsia="sk-SK"/>
        </w:rPr>
      </w:pPr>
    </w:p>
    <w:p w14:paraId="29CDE105" w14:textId="77777777" w:rsidR="0051458D" w:rsidRDefault="0051458D" w:rsidP="0051458D">
      <w:pPr>
        <w:jc w:val="both"/>
        <w:rPr>
          <w:rFonts w:ascii="Times New Roman" w:eastAsia="Times New Roman" w:hAnsi="Times New Roman" w:cs="Times New Roman"/>
          <w:b/>
          <w:bCs/>
          <w:lang w:eastAsia="sk-SK"/>
        </w:rPr>
      </w:pPr>
      <w:r>
        <w:rPr>
          <w:rFonts w:ascii="Times New Roman" w:eastAsia="Times New Roman" w:hAnsi="Times New Roman" w:cs="Times New Roman"/>
          <w:b/>
          <w:bCs/>
          <w:lang w:eastAsia="sk-SK"/>
        </w:rPr>
        <w:t>K bodu 1 (§ 11 ods. ods. 1)</w:t>
      </w:r>
    </w:p>
    <w:p w14:paraId="5A3E4E90" w14:textId="77777777" w:rsidR="0051458D" w:rsidRDefault="0051458D" w:rsidP="0051458D">
      <w:pPr>
        <w:jc w:val="both"/>
        <w:rPr>
          <w:rFonts w:ascii="Times New Roman" w:eastAsia="Times New Roman" w:hAnsi="Times New Roman" w:cs="Times New Roman"/>
          <w:lang w:eastAsia="sk-SK"/>
        </w:rPr>
      </w:pPr>
      <w:r>
        <w:rPr>
          <w:rFonts w:ascii="Times New Roman" w:eastAsia="Times New Roman" w:hAnsi="Times New Roman" w:cs="Times New Roman"/>
          <w:lang w:eastAsia="sk-SK"/>
        </w:rPr>
        <w:t>Legislatívno-technická úprava v súvislosti s novelizačným bodom 2.</w:t>
      </w:r>
    </w:p>
    <w:p w14:paraId="2358CAAC" w14:textId="77777777" w:rsidR="0051458D" w:rsidRDefault="0051458D" w:rsidP="0051458D">
      <w:pPr>
        <w:jc w:val="both"/>
        <w:rPr>
          <w:rFonts w:ascii="Times New Roman" w:eastAsia="Times New Roman" w:hAnsi="Times New Roman" w:cs="Times New Roman"/>
          <w:lang w:eastAsia="sk-SK"/>
        </w:rPr>
      </w:pPr>
    </w:p>
    <w:p w14:paraId="2063F297" w14:textId="77777777" w:rsidR="0051458D" w:rsidRDefault="0051458D" w:rsidP="0051458D">
      <w:pPr>
        <w:jc w:val="both"/>
        <w:rPr>
          <w:rFonts w:ascii="Times New Roman" w:eastAsia="Times New Roman" w:hAnsi="Times New Roman" w:cs="Times New Roman"/>
          <w:b/>
          <w:lang w:eastAsia="sk-SK"/>
        </w:rPr>
      </w:pPr>
      <w:r>
        <w:rPr>
          <w:rFonts w:ascii="Times New Roman" w:eastAsia="Times New Roman" w:hAnsi="Times New Roman" w:cs="Times New Roman"/>
          <w:b/>
          <w:lang w:eastAsia="sk-SK"/>
        </w:rPr>
        <w:t>K bodu 2 (§ 11 nové odseky 13 až 16)</w:t>
      </w:r>
    </w:p>
    <w:p w14:paraId="355E56FC" w14:textId="77777777" w:rsidR="0051458D" w:rsidRDefault="0051458D" w:rsidP="0051458D">
      <w:pPr>
        <w:jc w:val="both"/>
        <w:rPr>
          <w:rFonts w:ascii="Times New Roman" w:eastAsia="Times New Roman" w:hAnsi="Times New Roman" w:cs="Times New Roman"/>
          <w:bCs/>
          <w:u w:val="single"/>
          <w:lang w:eastAsia="sk-SK"/>
        </w:rPr>
      </w:pPr>
      <w:r>
        <w:rPr>
          <w:rFonts w:ascii="Times New Roman" w:eastAsia="Times New Roman" w:hAnsi="Times New Roman" w:cs="Times New Roman"/>
          <w:bCs/>
          <w:u w:val="single"/>
          <w:lang w:eastAsia="sk-SK"/>
        </w:rPr>
        <w:t>K odsekom 13 a 14</w:t>
      </w:r>
    </w:p>
    <w:p w14:paraId="7F3BCA00" w14:textId="77777777" w:rsidR="0051458D" w:rsidRDefault="0051458D" w:rsidP="0051458D">
      <w:pPr>
        <w:jc w:val="both"/>
        <w:rPr>
          <w:rFonts w:ascii="Times New Roman" w:eastAsia="Times New Roman" w:hAnsi="Times New Roman" w:cs="Times New Roman"/>
          <w:lang w:eastAsia="sk-SK"/>
        </w:rPr>
      </w:pPr>
      <w:r>
        <w:rPr>
          <w:rFonts w:ascii="Times New Roman" w:eastAsia="Times New Roman" w:hAnsi="Times New Roman" w:cs="Times New Roman"/>
          <w:lang w:eastAsia="sk-SK"/>
        </w:rPr>
        <w:t xml:space="preserve">Navrhuje sa zavedenie novej nezdaniteľnej časti základu dane ako formy daňového zvýhodnenia (daňového oslobodenia) pre rodičov s viacerými deťmi. Daňovníkovi, ktorý má alebo mal v osobnej starostlivosti štyri alebo viac vlastných alebo osvojených posudzovaných detí, sa umožňuje znížiť základ dane až o 100 %, čím sa jeho príjmy z práce a podnikania efektívne oslobodzujú od dane z príjmov. Za posudzované deti sa navrhuje považovať maloleté deti do 18 rokov veku. Obsah pojmu „osobnú starostlivosť o dieťa“ vyplýva zo zákona o rodine, a to zo samotného obsahového vymedzenia rodičovských práv a povinností. V prípade rozvodu manželov alebo úpravy výkonu rodičovských práv a povinností rodičov detí, ktorí nie sú manželmi, súd rozhodne o osobnej starostlivosti niektorého, resp. oboch rodičov (§ 24 a 26 zákona o rodine). Zákon o rodine rovnako upravuje aj situáciu maloletých rodičov (§ 29 zákona o rodine). V prípade, ak je dieťa v osobnej starostlivosti oboch rodičov/osvojiteľov, prednosť má matka/osvojiteľka a až v návrhom vymedzených situáciách nastupuje otec/osvojiteľ (§ 11 ods. 14 návrhu).  </w:t>
      </w:r>
    </w:p>
    <w:p w14:paraId="33C154A4" w14:textId="77777777" w:rsidR="0051458D" w:rsidRDefault="0051458D" w:rsidP="0051458D">
      <w:pPr>
        <w:jc w:val="both"/>
        <w:rPr>
          <w:rFonts w:ascii="Times New Roman" w:eastAsia="Times New Roman" w:hAnsi="Times New Roman" w:cs="Times New Roman"/>
          <w:lang w:eastAsia="sk-SK"/>
        </w:rPr>
      </w:pPr>
    </w:p>
    <w:p w14:paraId="1AD8EE1F" w14:textId="77777777" w:rsidR="0051458D" w:rsidRDefault="0051458D" w:rsidP="0051458D">
      <w:pPr>
        <w:jc w:val="both"/>
        <w:rPr>
          <w:rFonts w:ascii="Times New Roman" w:eastAsia="Times New Roman" w:hAnsi="Times New Roman" w:cs="Times New Roman"/>
          <w:lang w:eastAsia="sk-SK"/>
        </w:rPr>
      </w:pPr>
      <w:r>
        <w:rPr>
          <w:rFonts w:ascii="Times New Roman" w:eastAsia="Times New Roman" w:hAnsi="Times New Roman" w:cs="Times New Roman"/>
          <w:lang w:eastAsia="sk-SK"/>
        </w:rPr>
        <w:t>Ustanovuje sa alokačné pravidlo pre uplatnenie tejto úľavy; prednostne prislúcha matke (alebo osvojiteľke). Otec (alebo osvojiteľ) si môže túto nezdaniteľnú časť uplatniť len v špecifických prípadoch  ako úmrtie matky, jej vyhlásenie za mŕtvu alebo ak matka nesplnila podmienku osobnej starostlivosti, a to za predpokladu, že je otcom (osvojiteľom) všetkých (najmenej) štyroch detí tejto jednej matky (osvojiteľky) a matka si neuplatnila toto zníženie z dôvodu, že nemá v starostlivosti žiadne zo spoločných posudzovaných detí nemôže mať vo svojej starostlivosti. To znamená, otec si nemôže uplatniť nezdaniteľnú časť základu dane na deti, ktoré nepochádzajú od jednej matky. Rovnako si nemôže uplatniť toto zvýhodnenie, ak majú s matkou spolu napr. 8 detí a matka má v starostlivosti  4 deti, na ktoré si uplatnila toto zvýhodnenie. Upravuje sa aj pomerné uplatnenie pri spĺňaní podmienok len počas časti zdaňovacieho obdobia a to pomerne za každý mesiac, v ktorom podmienka osobnej starostlivosti o štyri alebo viac posudzovaných detí bola splnená aspoň jeden deň.</w:t>
      </w:r>
    </w:p>
    <w:p w14:paraId="0F33ED3D" w14:textId="77777777" w:rsidR="0051458D" w:rsidRDefault="0051458D" w:rsidP="0051458D">
      <w:pPr>
        <w:jc w:val="both"/>
        <w:rPr>
          <w:rFonts w:ascii="Times New Roman" w:eastAsia="Times New Roman" w:hAnsi="Times New Roman" w:cs="Times New Roman"/>
          <w:bCs/>
          <w:lang w:eastAsia="sk-SK"/>
        </w:rPr>
      </w:pPr>
    </w:p>
    <w:p w14:paraId="5620E5B2" w14:textId="77777777" w:rsidR="0051458D" w:rsidRDefault="0051458D" w:rsidP="0051458D">
      <w:pPr>
        <w:jc w:val="both"/>
        <w:rPr>
          <w:rFonts w:ascii="Times New Roman" w:eastAsia="Times New Roman" w:hAnsi="Times New Roman" w:cs="Times New Roman"/>
          <w:u w:val="single"/>
          <w:lang w:eastAsia="sk-SK"/>
        </w:rPr>
      </w:pPr>
      <w:r>
        <w:rPr>
          <w:rFonts w:ascii="Times New Roman" w:eastAsia="Times New Roman" w:hAnsi="Times New Roman" w:cs="Times New Roman"/>
          <w:bCs/>
          <w:u w:val="single"/>
          <w:lang w:eastAsia="sk-SK"/>
        </w:rPr>
        <w:t>K odseku 15</w:t>
      </w:r>
    </w:p>
    <w:p w14:paraId="4718C1C5" w14:textId="77777777" w:rsidR="0051458D" w:rsidRDefault="0051458D" w:rsidP="0051458D">
      <w:pPr>
        <w:jc w:val="both"/>
        <w:rPr>
          <w:rFonts w:ascii="Times New Roman" w:eastAsia="Times New Roman" w:hAnsi="Times New Roman" w:cs="Times New Roman"/>
          <w:lang w:eastAsia="sk-SK"/>
        </w:rPr>
      </w:pPr>
      <w:r>
        <w:rPr>
          <w:rFonts w:ascii="Times New Roman" w:eastAsia="Times New Roman" w:hAnsi="Times New Roman" w:cs="Times New Roman"/>
          <w:lang w:eastAsia="sk-SK"/>
        </w:rPr>
        <w:t xml:space="preserve">Vymedzujú sa podmienky, za ktorých sa podmienka osobnej starostlivosti považuje za splnenú aj po nadobudnutí plnoletosti detí (t. j. aj keď deti vyrastú a osamostatnia sa). Tým sa zabezpečuje, že rodičia, ktorí vychovali aspoň štyri vlastné alebo osvojené deti do plnoletosti (u osvojených detí minimálne  12 rokov od zverenia do </w:t>
      </w:r>
      <w:proofErr w:type="spellStart"/>
      <w:r>
        <w:rPr>
          <w:rFonts w:ascii="Times New Roman" w:eastAsia="Times New Roman" w:hAnsi="Times New Roman" w:cs="Times New Roman"/>
          <w:lang w:eastAsia="sk-SK"/>
        </w:rPr>
        <w:t>predosvojiteľskej</w:t>
      </w:r>
      <w:proofErr w:type="spellEnd"/>
      <w:r>
        <w:rPr>
          <w:rFonts w:ascii="Times New Roman" w:eastAsia="Times New Roman" w:hAnsi="Times New Roman" w:cs="Times New Roman"/>
          <w:lang w:eastAsia="sk-SK"/>
        </w:rPr>
        <w:t xml:space="preserve"> starostlivosti), budú z tejto daňovej úľavy profitovať aj v neskoršom produktívnom veku, resp. do konca svojho produktívneho veku. Zohľadňujú sa aj tragické situácie úmrtia dieťaťa po dovŕšení 6 mesiacov veku.</w:t>
      </w:r>
    </w:p>
    <w:p w14:paraId="1BCE6FD2" w14:textId="77777777" w:rsidR="0051458D" w:rsidRDefault="0051458D" w:rsidP="0051458D">
      <w:pPr>
        <w:jc w:val="both"/>
        <w:rPr>
          <w:rFonts w:ascii="Times New Roman" w:eastAsia="Times New Roman" w:hAnsi="Times New Roman" w:cs="Times New Roman"/>
          <w:bCs/>
          <w:lang w:eastAsia="sk-SK"/>
        </w:rPr>
      </w:pPr>
    </w:p>
    <w:p w14:paraId="59A4892E" w14:textId="77777777" w:rsidR="0051458D" w:rsidRDefault="0051458D" w:rsidP="0051458D">
      <w:pPr>
        <w:jc w:val="both"/>
        <w:rPr>
          <w:rFonts w:ascii="Times New Roman" w:eastAsia="Times New Roman" w:hAnsi="Times New Roman" w:cs="Times New Roman"/>
          <w:bCs/>
          <w:u w:val="single"/>
          <w:lang w:eastAsia="sk-SK"/>
        </w:rPr>
      </w:pPr>
      <w:r>
        <w:rPr>
          <w:rFonts w:ascii="Times New Roman" w:eastAsia="Times New Roman" w:hAnsi="Times New Roman" w:cs="Times New Roman"/>
          <w:bCs/>
          <w:u w:val="single"/>
          <w:lang w:eastAsia="sk-SK"/>
        </w:rPr>
        <w:t>K odseku 16</w:t>
      </w:r>
    </w:p>
    <w:p w14:paraId="182F84E7" w14:textId="77777777" w:rsidR="0051458D" w:rsidRDefault="0051458D" w:rsidP="0051458D">
      <w:pPr>
        <w:jc w:val="both"/>
        <w:rPr>
          <w:rFonts w:ascii="Times New Roman" w:eastAsia="Times New Roman" w:hAnsi="Times New Roman" w:cs="Times New Roman"/>
          <w:lang w:eastAsia="sk-SK"/>
        </w:rPr>
      </w:pPr>
      <w:r>
        <w:rPr>
          <w:rFonts w:ascii="Times New Roman" w:eastAsia="Times New Roman" w:hAnsi="Times New Roman" w:cs="Times New Roman"/>
          <w:lang w:eastAsia="sk-SK"/>
        </w:rPr>
        <w:t>Ustanovuje sa negatívne vymedzenie a to, že nárok na túto nezdaniteľnú časť základu dane sa odníma daňovníkovi, ktorý bol právoplatne odsúdený za úmyselný trestný čin, ktorým spôsobil smrť vlastného alebo osvojeného dieťaťa.</w:t>
      </w:r>
    </w:p>
    <w:p w14:paraId="720A4790" w14:textId="77777777" w:rsidR="0051458D" w:rsidRDefault="0051458D" w:rsidP="0051458D">
      <w:pPr>
        <w:jc w:val="both"/>
        <w:rPr>
          <w:rFonts w:ascii="Times New Roman" w:eastAsia="Times New Roman" w:hAnsi="Times New Roman" w:cs="Times New Roman"/>
          <w:bCs/>
          <w:lang w:eastAsia="sk-SK"/>
        </w:rPr>
      </w:pPr>
    </w:p>
    <w:p w14:paraId="0F68619E" w14:textId="77777777" w:rsidR="0051458D" w:rsidRDefault="0051458D" w:rsidP="0051458D">
      <w:pPr>
        <w:jc w:val="both"/>
        <w:rPr>
          <w:rFonts w:ascii="Times New Roman" w:eastAsia="Times New Roman" w:hAnsi="Times New Roman" w:cs="Times New Roman"/>
          <w:b/>
          <w:bCs/>
          <w:lang w:eastAsia="sk-SK"/>
        </w:rPr>
      </w:pPr>
      <w:r>
        <w:rPr>
          <w:rFonts w:ascii="Times New Roman" w:eastAsia="Times New Roman" w:hAnsi="Times New Roman" w:cs="Times New Roman"/>
          <w:b/>
          <w:bCs/>
          <w:lang w:eastAsia="sk-SK"/>
        </w:rPr>
        <w:lastRenderedPageBreak/>
        <w:t>K bodom 3 až 6 (§ 35 ods. 1 a 11, § 36 ods. 6 a 7, § 37 ods. 1 a 3, § 38 ods. 4)</w:t>
      </w:r>
    </w:p>
    <w:p w14:paraId="32759914" w14:textId="77777777" w:rsidR="0051458D" w:rsidRDefault="0051458D" w:rsidP="0051458D">
      <w:pPr>
        <w:pStyle w:val="Normlnywebov"/>
        <w:spacing w:before="0" w:beforeAutospacing="0" w:after="0" w:afterAutospacing="0"/>
        <w:jc w:val="both"/>
      </w:pPr>
      <w:r>
        <w:t>Ide o úpravy v oblasti výberu preddavkov na daň zo závislej činnosti u zamestnávateľa a to umožnenie uplatňovať túto nezdaniteľnú časť základu dane aj priebežne počas zdaňovacieho obdobia pri výpočte preddavkov na daň zo mzdy. Vymedzuje sa spôsob preukazovania nároku zamestnanca voči zamestnávateľovi predložením čestného vyhlásenia o osobnej starostlivosti za každé zdaňovacie obdobie a/alebo príslušnými dokladmi napr. rodnými listami detí, rozhodnutiami súdu o zverení maloletého dieťaťa do starostlivosti budúcich osvojiteľov, resp. o osvojení, úmrtnými listami. Ustanovuje sa, že doklady sú platné, kým sa nezmenia údaje v nich uvedených, resp. nie je potrebné ich predkladať opakovane, kým sa nezmenili skutočnosti rozhodujúce na priznanie nezdaniteľnej časti základu dane. Dopĺňa sa povinnosť zamestnávateľa zohľadniť túto nezdaniteľnú časť základu dane v rámci ročného zúčtovania preddavkov na daň z príjmov zo závislej činnosti.</w:t>
      </w:r>
    </w:p>
    <w:p w14:paraId="647E7452" w14:textId="77777777" w:rsidR="0051458D" w:rsidRDefault="0051458D" w:rsidP="0051458D">
      <w:pPr>
        <w:jc w:val="both"/>
        <w:rPr>
          <w:rFonts w:ascii="Times New Roman" w:eastAsia="Times New Roman" w:hAnsi="Times New Roman" w:cs="Times New Roman"/>
          <w:b/>
          <w:bCs/>
          <w:lang w:eastAsia="sk-SK"/>
        </w:rPr>
      </w:pPr>
    </w:p>
    <w:p w14:paraId="624168BF" w14:textId="77777777" w:rsidR="0051458D" w:rsidRDefault="0051458D" w:rsidP="0051458D">
      <w:pPr>
        <w:jc w:val="both"/>
        <w:rPr>
          <w:rFonts w:ascii="Times New Roman" w:eastAsia="Times New Roman" w:hAnsi="Times New Roman" w:cs="Times New Roman"/>
          <w:b/>
          <w:bCs/>
          <w:lang w:eastAsia="sk-SK"/>
        </w:rPr>
      </w:pPr>
      <w:r>
        <w:rPr>
          <w:rFonts w:ascii="Times New Roman" w:eastAsia="Times New Roman" w:hAnsi="Times New Roman" w:cs="Times New Roman"/>
          <w:b/>
          <w:bCs/>
          <w:lang w:eastAsia="sk-SK"/>
        </w:rPr>
        <w:t>K bodu 7 (§ 39 ods. 2 písm. d))</w:t>
      </w:r>
    </w:p>
    <w:p w14:paraId="025C4401" w14:textId="77777777" w:rsidR="0051458D" w:rsidRDefault="0051458D" w:rsidP="0051458D">
      <w:pPr>
        <w:pStyle w:val="Normlnywebov"/>
        <w:spacing w:before="0" w:beforeAutospacing="0" w:after="0" w:afterAutospacing="0"/>
        <w:jc w:val="both"/>
      </w:pPr>
      <w:r>
        <w:t>Dopĺňa sa rozsah údajov, ktoré je zamestnávateľ povinný viesť na mzdových listoch zamestnancov a uvádzať v prehľadoch/hláseniach. Z dôvodu kontroly zo strany správcu dane sa dopĺňa povinnosť evidovať mená, priezviská a rodné čísla detí, na ktoré sa nárok na nezdaniteľnú časť uplatňuje.</w:t>
      </w:r>
    </w:p>
    <w:p w14:paraId="28A97AF5" w14:textId="77777777" w:rsidR="0051458D" w:rsidRDefault="0051458D" w:rsidP="0051458D">
      <w:pPr>
        <w:jc w:val="both"/>
        <w:rPr>
          <w:rFonts w:ascii="Times New Roman" w:eastAsia="Times New Roman" w:hAnsi="Times New Roman" w:cs="Times New Roman"/>
          <w:b/>
          <w:bCs/>
          <w:lang w:eastAsia="sk-SK"/>
        </w:rPr>
      </w:pPr>
    </w:p>
    <w:p w14:paraId="08DEE360" w14:textId="77777777" w:rsidR="0051458D" w:rsidRDefault="0051458D" w:rsidP="0051458D">
      <w:pPr>
        <w:jc w:val="both"/>
        <w:rPr>
          <w:rFonts w:ascii="Times New Roman" w:eastAsia="Times New Roman" w:hAnsi="Times New Roman" w:cs="Times New Roman"/>
          <w:b/>
          <w:bCs/>
          <w:lang w:eastAsia="sk-SK"/>
        </w:rPr>
      </w:pPr>
      <w:r>
        <w:rPr>
          <w:rFonts w:ascii="Times New Roman" w:eastAsia="Times New Roman" w:hAnsi="Times New Roman" w:cs="Times New Roman"/>
          <w:b/>
          <w:bCs/>
          <w:lang w:eastAsia="sk-SK"/>
        </w:rPr>
        <w:t xml:space="preserve">K bodu 8 (§ 52zzzn) </w:t>
      </w:r>
    </w:p>
    <w:p w14:paraId="69C5803C" w14:textId="77777777" w:rsidR="0051458D" w:rsidRDefault="0051458D" w:rsidP="0051458D">
      <w:pPr>
        <w:pStyle w:val="Normlnywebov"/>
        <w:spacing w:before="0" w:beforeAutospacing="0" w:after="0" w:afterAutospacing="0"/>
        <w:jc w:val="both"/>
      </w:pPr>
      <w:r>
        <w:t>Nové pravidlo o nezdaniteľnej časti základu dane sa navrhuje prvýkrát aplikovať na novo zavedenú nezdaniteľnú časť základu dane za zdaňovacie obdobie roka 2027.</w:t>
      </w:r>
    </w:p>
    <w:p w14:paraId="58D57DFF" w14:textId="77777777" w:rsidR="0051458D" w:rsidRDefault="0051458D" w:rsidP="0051458D">
      <w:pPr>
        <w:jc w:val="both"/>
        <w:rPr>
          <w:rFonts w:ascii="Times New Roman" w:eastAsia="Times New Roman" w:hAnsi="Times New Roman" w:cs="Times New Roman"/>
          <w:lang w:eastAsia="sk-SK"/>
        </w:rPr>
      </w:pPr>
    </w:p>
    <w:p w14:paraId="114F97AD" w14:textId="77777777" w:rsidR="0051458D" w:rsidRDefault="0051458D" w:rsidP="0051458D">
      <w:pPr>
        <w:jc w:val="both"/>
        <w:rPr>
          <w:rFonts w:ascii="Times New Roman" w:eastAsia="Times New Roman" w:hAnsi="Times New Roman" w:cs="Times New Roman"/>
          <w:b/>
          <w:bCs/>
          <w:lang w:eastAsia="sk-SK"/>
        </w:rPr>
      </w:pPr>
      <w:r>
        <w:rPr>
          <w:rFonts w:ascii="Times New Roman" w:eastAsia="Times New Roman" w:hAnsi="Times New Roman" w:cs="Times New Roman"/>
          <w:b/>
          <w:bCs/>
          <w:lang w:eastAsia="sk-SK"/>
        </w:rPr>
        <w:t>K Čl. II</w:t>
      </w:r>
    </w:p>
    <w:p w14:paraId="65749431" w14:textId="357A7AE0" w:rsidR="002D0907" w:rsidRDefault="0051458D" w:rsidP="0051458D">
      <w:pPr>
        <w:jc w:val="both"/>
        <w:rPr>
          <w:rFonts w:ascii="Times New Roman" w:hAnsi="Times New Roman" w:cs="Times New Roman"/>
        </w:rPr>
      </w:pPr>
      <w:r>
        <w:rPr>
          <w:rFonts w:ascii="Times New Roman" w:eastAsia="Times New Roman" w:hAnsi="Times New Roman" w:cs="Times New Roman"/>
          <w:lang w:eastAsia="sk-SK"/>
        </w:rPr>
        <w:t>Navrhuje sa účinnosť zákona od 1. januára 2027.</w:t>
      </w:r>
    </w:p>
    <w:p w14:paraId="0B8586B3" w14:textId="6EA906BE" w:rsidR="00316A26" w:rsidRPr="00903A3E" w:rsidRDefault="00316A26" w:rsidP="002D0907">
      <w:pPr>
        <w:jc w:val="both"/>
        <w:rPr>
          <w:rFonts w:ascii="Times New Roman" w:hAnsi="Times New Roman" w:cs="Times New Roman"/>
        </w:rPr>
      </w:pPr>
      <w:r w:rsidRPr="00903A3E">
        <w:rPr>
          <w:rFonts w:ascii="Times New Roman" w:hAnsi="Times New Roman" w:cs="Times New Roman"/>
          <w:b/>
          <w:bCs/>
          <w:caps/>
          <w:spacing w:val="30"/>
        </w:rPr>
        <w:br w:type="page"/>
      </w:r>
    </w:p>
    <w:p w14:paraId="1C8D37F4" w14:textId="77777777" w:rsidR="00B83154" w:rsidRPr="00903A3E" w:rsidRDefault="00B83154" w:rsidP="00B83154">
      <w:pPr>
        <w:spacing w:before="120" w:line="276" w:lineRule="auto"/>
        <w:jc w:val="center"/>
        <w:rPr>
          <w:rFonts w:ascii="Times New Roman" w:hAnsi="Times New Roman" w:cs="Times New Roman"/>
          <w:b/>
          <w:bCs/>
          <w:caps/>
          <w:spacing w:val="30"/>
        </w:rPr>
      </w:pPr>
      <w:r w:rsidRPr="00903A3E">
        <w:rPr>
          <w:rFonts w:ascii="Times New Roman" w:hAnsi="Times New Roman" w:cs="Times New Roman"/>
          <w:b/>
          <w:bCs/>
          <w:caps/>
          <w:spacing w:val="30"/>
        </w:rPr>
        <w:lastRenderedPageBreak/>
        <w:t>DOLOŽKA ZLUČITEĽNOSTI</w:t>
      </w:r>
    </w:p>
    <w:p w14:paraId="70A84495" w14:textId="77777777" w:rsidR="00B83154" w:rsidRPr="00903A3E" w:rsidRDefault="00B83154" w:rsidP="00B83154">
      <w:pPr>
        <w:pStyle w:val="Normlnywebov"/>
        <w:spacing w:before="120" w:after="0" w:line="276" w:lineRule="auto"/>
        <w:jc w:val="center"/>
      </w:pPr>
      <w:r w:rsidRPr="00903A3E">
        <w:rPr>
          <w:b/>
          <w:bCs/>
        </w:rPr>
        <w:t>návrhu zákona</w:t>
      </w:r>
      <w:r w:rsidRPr="00903A3E">
        <w:t xml:space="preserve"> </w:t>
      </w:r>
      <w:r w:rsidRPr="00903A3E">
        <w:rPr>
          <w:b/>
          <w:bCs/>
        </w:rPr>
        <w:t>s právom Európskej únie</w:t>
      </w:r>
    </w:p>
    <w:p w14:paraId="025C0A22" w14:textId="77777777" w:rsidR="00B83154" w:rsidRPr="00903A3E" w:rsidRDefault="00B83154" w:rsidP="00B83154">
      <w:pPr>
        <w:pStyle w:val="Normlnywebov"/>
        <w:spacing w:before="120" w:after="0" w:line="276" w:lineRule="auto"/>
        <w:jc w:val="both"/>
      </w:pPr>
      <w:r w:rsidRPr="00903A3E">
        <w:t> </w:t>
      </w:r>
    </w:p>
    <w:p w14:paraId="1FFD7386" w14:textId="77777777" w:rsidR="00B83154" w:rsidRPr="00903A3E" w:rsidRDefault="00B83154" w:rsidP="00B83154">
      <w:pPr>
        <w:pStyle w:val="Normlnywebov"/>
        <w:spacing w:before="120" w:after="0" w:line="276" w:lineRule="auto"/>
        <w:jc w:val="both"/>
        <w:rPr>
          <w:strike/>
        </w:rPr>
      </w:pPr>
      <w:r w:rsidRPr="00903A3E">
        <w:rPr>
          <w:b/>
          <w:bCs/>
        </w:rPr>
        <w:t>1. Navrhovateľ zákona:</w:t>
      </w:r>
      <w:r w:rsidRPr="00903A3E">
        <w:t xml:space="preserve"> </w:t>
      </w:r>
      <w:r w:rsidRPr="00026403">
        <w:t>skupina poslancov</w:t>
      </w:r>
      <w:r w:rsidRPr="00903A3E">
        <w:t xml:space="preserve"> Národnej rady Slovenskej republiky</w:t>
      </w:r>
    </w:p>
    <w:p w14:paraId="5945A5DC" w14:textId="5B2A8C42" w:rsidR="00B83154" w:rsidRPr="00903A3E" w:rsidRDefault="00B83154" w:rsidP="00B83154">
      <w:pPr>
        <w:pStyle w:val="Normlnywebov"/>
        <w:spacing w:line="276" w:lineRule="auto"/>
        <w:jc w:val="both"/>
        <w:rPr>
          <w:bCs/>
        </w:rPr>
      </w:pPr>
      <w:r w:rsidRPr="00903A3E">
        <w:rPr>
          <w:b/>
        </w:rPr>
        <w:t>2. Názov návrhu zákona</w:t>
      </w:r>
      <w:r w:rsidRPr="00903A3E">
        <w:t xml:space="preserve">: </w:t>
      </w:r>
      <w:r w:rsidR="006E26EC" w:rsidRPr="00903A3E">
        <w:t>N</w:t>
      </w:r>
      <w:r w:rsidRPr="00903A3E">
        <w:t xml:space="preserve">ávrh zákona, </w:t>
      </w:r>
      <w:r w:rsidR="00026403" w:rsidRPr="00026403">
        <w:t>ktorým sa mení a dopĺňa zákon č. 595/2003 Z. z. o dani z príjmov v znení neskorších predpisov</w:t>
      </w:r>
    </w:p>
    <w:p w14:paraId="5FF8D305" w14:textId="77777777" w:rsidR="00B83154" w:rsidRPr="00903A3E" w:rsidRDefault="00B83154" w:rsidP="00B83154">
      <w:pPr>
        <w:pStyle w:val="Normlnywebov"/>
        <w:spacing w:before="120" w:after="0" w:line="276" w:lineRule="auto"/>
        <w:jc w:val="both"/>
        <w:rPr>
          <w:b/>
          <w:bCs/>
        </w:rPr>
      </w:pPr>
      <w:r w:rsidRPr="00903A3E">
        <w:rPr>
          <w:b/>
          <w:bCs/>
        </w:rPr>
        <w:t>3. Predmet návrhu zákona:</w:t>
      </w:r>
    </w:p>
    <w:p w14:paraId="67C44872" w14:textId="77777777" w:rsidR="00B83154" w:rsidRPr="00903A3E" w:rsidRDefault="00B83154" w:rsidP="00B83154">
      <w:pPr>
        <w:pStyle w:val="Normlnywebov"/>
        <w:numPr>
          <w:ilvl w:val="0"/>
          <w:numId w:val="6"/>
        </w:numPr>
        <w:suppressAutoHyphens/>
        <w:spacing w:before="120" w:beforeAutospacing="0" w:after="0" w:afterAutospacing="0" w:line="276" w:lineRule="auto"/>
        <w:jc w:val="both"/>
        <w:rPr>
          <w:bCs/>
        </w:rPr>
      </w:pPr>
      <w:r w:rsidRPr="00903A3E">
        <w:rPr>
          <w:bCs/>
        </w:rPr>
        <w:t>nie je upravený v primárnom práve Európskej únie,</w:t>
      </w:r>
    </w:p>
    <w:p w14:paraId="701C3140" w14:textId="77777777" w:rsidR="00B83154" w:rsidRPr="00903A3E" w:rsidRDefault="00B83154" w:rsidP="00B83154">
      <w:pPr>
        <w:pStyle w:val="Normlnywebov"/>
        <w:numPr>
          <w:ilvl w:val="0"/>
          <w:numId w:val="6"/>
        </w:numPr>
        <w:suppressAutoHyphens/>
        <w:spacing w:before="120" w:beforeAutospacing="0" w:after="0" w:afterAutospacing="0" w:line="276" w:lineRule="auto"/>
        <w:jc w:val="both"/>
        <w:rPr>
          <w:bCs/>
        </w:rPr>
      </w:pPr>
      <w:r w:rsidRPr="00903A3E">
        <w:rPr>
          <w:bCs/>
        </w:rPr>
        <w:t>nie je upravený v sekundárnom práve Európskej únie,</w:t>
      </w:r>
    </w:p>
    <w:p w14:paraId="049A5D6A" w14:textId="77777777" w:rsidR="00B83154" w:rsidRPr="00903A3E" w:rsidRDefault="00B83154" w:rsidP="00B83154">
      <w:pPr>
        <w:pStyle w:val="Normlnywebov"/>
        <w:numPr>
          <w:ilvl w:val="0"/>
          <w:numId w:val="6"/>
        </w:numPr>
        <w:suppressAutoHyphens/>
        <w:spacing w:before="120" w:beforeAutospacing="0" w:after="0" w:afterAutospacing="0" w:line="276" w:lineRule="auto"/>
        <w:jc w:val="both"/>
        <w:rPr>
          <w:bCs/>
        </w:rPr>
      </w:pPr>
      <w:r w:rsidRPr="00903A3E">
        <w:rPr>
          <w:bCs/>
        </w:rPr>
        <w:t>nie je obsiahnutý v judikatúre Súdneho dvora Európskej únie.</w:t>
      </w:r>
    </w:p>
    <w:p w14:paraId="30FE540C" w14:textId="77777777" w:rsidR="00B83154" w:rsidRPr="00903A3E" w:rsidRDefault="00B83154" w:rsidP="00B83154">
      <w:pPr>
        <w:pStyle w:val="Normlnywebov"/>
        <w:suppressAutoHyphens/>
        <w:spacing w:before="120" w:beforeAutospacing="0" w:after="0" w:afterAutospacing="0" w:line="276" w:lineRule="auto"/>
        <w:jc w:val="both"/>
        <w:rPr>
          <w:bCs/>
        </w:rPr>
      </w:pPr>
    </w:p>
    <w:p w14:paraId="27EB0E1A" w14:textId="77777777" w:rsidR="00B83154" w:rsidRPr="00903A3E" w:rsidRDefault="00B83154" w:rsidP="00B83154">
      <w:pPr>
        <w:jc w:val="both"/>
        <w:rPr>
          <w:rFonts w:ascii="Times New Roman" w:hAnsi="Times New Roman" w:cs="Times New Roman"/>
          <w:b/>
          <w:bCs/>
        </w:rPr>
      </w:pPr>
      <w:r w:rsidRPr="00903A3E">
        <w:rPr>
          <w:rFonts w:ascii="Times New Roman" w:hAnsi="Times New Roman" w:cs="Times New Roman"/>
          <w:b/>
          <w:bCs/>
        </w:rPr>
        <w:t>Vzhľadom na to, že predmet návrhu zákona nie je upravený v práve Európskej únie, je bezpredmetné vyjadrovať sa k bodom 4. a 5.</w:t>
      </w:r>
    </w:p>
    <w:p w14:paraId="7F88C8B1" w14:textId="77777777" w:rsidR="00B83154" w:rsidRPr="00903A3E" w:rsidRDefault="00B83154" w:rsidP="00B83154">
      <w:pPr>
        <w:jc w:val="both"/>
        <w:rPr>
          <w:rFonts w:ascii="Times New Roman" w:hAnsi="Times New Roman" w:cs="Times New Roman"/>
          <w:b/>
          <w:bCs/>
        </w:rPr>
      </w:pPr>
    </w:p>
    <w:p w14:paraId="3D8838EB" w14:textId="77777777" w:rsidR="00B83154" w:rsidRPr="00903A3E" w:rsidRDefault="00B83154" w:rsidP="00B83154">
      <w:pPr>
        <w:jc w:val="both"/>
        <w:rPr>
          <w:rFonts w:ascii="Times New Roman" w:hAnsi="Times New Roman" w:cs="Times New Roman"/>
          <w:b/>
          <w:bCs/>
        </w:rPr>
      </w:pPr>
    </w:p>
    <w:p w14:paraId="2DFC6AB6" w14:textId="77777777" w:rsidR="00B83154" w:rsidRPr="00903A3E" w:rsidRDefault="00B83154" w:rsidP="00B83154">
      <w:pPr>
        <w:jc w:val="both"/>
        <w:rPr>
          <w:rFonts w:ascii="Times New Roman" w:hAnsi="Times New Roman" w:cs="Times New Roman"/>
          <w:b/>
          <w:bCs/>
        </w:rPr>
      </w:pPr>
    </w:p>
    <w:p w14:paraId="47968BB4" w14:textId="77777777" w:rsidR="00B83154" w:rsidRPr="00903A3E" w:rsidRDefault="00B83154" w:rsidP="00B83154">
      <w:pPr>
        <w:jc w:val="both"/>
        <w:rPr>
          <w:rFonts w:ascii="Times New Roman" w:hAnsi="Times New Roman" w:cs="Times New Roman"/>
          <w:b/>
          <w:bCs/>
        </w:rPr>
      </w:pPr>
    </w:p>
    <w:p w14:paraId="757A4C15" w14:textId="77777777" w:rsidR="00B83154" w:rsidRPr="00903A3E" w:rsidRDefault="00B83154" w:rsidP="00B83154">
      <w:pPr>
        <w:jc w:val="both"/>
        <w:rPr>
          <w:rFonts w:ascii="Times New Roman" w:hAnsi="Times New Roman" w:cs="Times New Roman"/>
          <w:b/>
          <w:bCs/>
        </w:rPr>
      </w:pPr>
    </w:p>
    <w:p w14:paraId="6FC5BDB5" w14:textId="77777777" w:rsidR="00B83154" w:rsidRPr="00903A3E" w:rsidRDefault="00B83154" w:rsidP="00B83154">
      <w:pPr>
        <w:jc w:val="both"/>
        <w:rPr>
          <w:rFonts w:ascii="Times New Roman" w:hAnsi="Times New Roman" w:cs="Times New Roman"/>
          <w:b/>
          <w:bCs/>
        </w:rPr>
      </w:pPr>
    </w:p>
    <w:p w14:paraId="100BC12B" w14:textId="77777777" w:rsidR="00B83154" w:rsidRPr="00903A3E" w:rsidRDefault="00B83154" w:rsidP="00B83154">
      <w:pPr>
        <w:jc w:val="both"/>
        <w:rPr>
          <w:rFonts w:ascii="Times New Roman" w:hAnsi="Times New Roman" w:cs="Times New Roman"/>
          <w:b/>
          <w:bCs/>
        </w:rPr>
      </w:pPr>
    </w:p>
    <w:p w14:paraId="2DFE3E34" w14:textId="77777777" w:rsidR="00B83154" w:rsidRPr="00903A3E" w:rsidRDefault="00B83154" w:rsidP="00B83154">
      <w:pPr>
        <w:jc w:val="both"/>
        <w:rPr>
          <w:rFonts w:ascii="Times New Roman" w:hAnsi="Times New Roman" w:cs="Times New Roman"/>
          <w:b/>
          <w:bCs/>
        </w:rPr>
      </w:pPr>
    </w:p>
    <w:p w14:paraId="0DA5117B" w14:textId="77777777" w:rsidR="00B83154" w:rsidRPr="00903A3E" w:rsidRDefault="00B83154" w:rsidP="00B83154">
      <w:pPr>
        <w:jc w:val="both"/>
        <w:rPr>
          <w:rFonts w:ascii="Times New Roman" w:hAnsi="Times New Roman" w:cs="Times New Roman"/>
          <w:b/>
          <w:bCs/>
        </w:rPr>
      </w:pPr>
    </w:p>
    <w:p w14:paraId="109C6531" w14:textId="77777777" w:rsidR="00B83154" w:rsidRPr="00903A3E" w:rsidRDefault="00B83154" w:rsidP="00B83154">
      <w:pPr>
        <w:jc w:val="both"/>
        <w:rPr>
          <w:rFonts w:ascii="Times New Roman" w:hAnsi="Times New Roman" w:cs="Times New Roman"/>
          <w:b/>
          <w:bCs/>
        </w:rPr>
      </w:pPr>
    </w:p>
    <w:p w14:paraId="5AE2C38B" w14:textId="77777777" w:rsidR="00B83154" w:rsidRPr="00903A3E" w:rsidRDefault="00B83154" w:rsidP="00B83154">
      <w:pPr>
        <w:jc w:val="both"/>
        <w:rPr>
          <w:rFonts w:ascii="Times New Roman" w:hAnsi="Times New Roman" w:cs="Times New Roman"/>
          <w:b/>
          <w:bCs/>
        </w:rPr>
      </w:pPr>
    </w:p>
    <w:p w14:paraId="487494EC" w14:textId="77777777" w:rsidR="00B83154" w:rsidRPr="00903A3E" w:rsidRDefault="00B83154" w:rsidP="00B83154">
      <w:pPr>
        <w:jc w:val="both"/>
        <w:rPr>
          <w:rFonts w:ascii="Times New Roman" w:hAnsi="Times New Roman" w:cs="Times New Roman"/>
          <w:b/>
          <w:bCs/>
        </w:rPr>
      </w:pPr>
    </w:p>
    <w:p w14:paraId="3B81EB04" w14:textId="77777777" w:rsidR="00B83154" w:rsidRPr="00903A3E" w:rsidRDefault="00B83154" w:rsidP="00B83154">
      <w:pPr>
        <w:jc w:val="both"/>
        <w:rPr>
          <w:rFonts w:ascii="Times New Roman" w:hAnsi="Times New Roman" w:cs="Times New Roman"/>
          <w:b/>
          <w:bCs/>
        </w:rPr>
      </w:pPr>
    </w:p>
    <w:p w14:paraId="0221C4A9" w14:textId="77777777" w:rsidR="00B83154" w:rsidRPr="00903A3E" w:rsidRDefault="00B83154" w:rsidP="00B83154">
      <w:pPr>
        <w:jc w:val="both"/>
        <w:rPr>
          <w:rFonts w:ascii="Times New Roman" w:hAnsi="Times New Roman" w:cs="Times New Roman"/>
          <w:b/>
          <w:bCs/>
        </w:rPr>
      </w:pPr>
    </w:p>
    <w:p w14:paraId="64823074" w14:textId="77777777" w:rsidR="00B83154" w:rsidRPr="00903A3E" w:rsidRDefault="00B83154" w:rsidP="00B83154">
      <w:pPr>
        <w:jc w:val="both"/>
        <w:rPr>
          <w:rFonts w:ascii="Times New Roman" w:hAnsi="Times New Roman" w:cs="Times New Roman"/>
          <w:b/>
          <w:bCs/>
        </w:rPr>
      </w:pPr>
    </w:p>
    <w:p w14:paraId="7189C0A9" w14:textId="77777777" w:rsidR="00B83154" w:rsidRPr="00903A3E" w:rsidRDefault="00B83154" w:rsidP="00B83154">
      <w:pPr>
        <w:jc w:val="both"/>
        <w:rPr>
          <w:rFonts w:ascii="Times New Roman" w:hAnsi="Times New Roman" w:cs="Times New Roman"/>
          <w:b/>
          <w:bCs/>
        </w:rPr>
      </w:pPr>
    </w:p>
    <w:p w14:paraId="4CB1012A" w14:textId="77777777" w:rsidR="00B83154" w:rsidRPr="00903A3E" w:rsidRDefault="00B83154" w:rsidP="00B83154">
      <w:pPr>
        <w:jc w:val="both"/>
        <w:rPr>
          <w:rFonts w:ascii="Times New Roman" w:hAnsi="Times New Roman" w:cs="Times New Roman"/>
          <w:b/>
          <w:bCs/>
        </w:rPr>
      </w:pPr>
    </w:p>
    <w:p w14:paraId="3D868625" w14:textId="77777777" w:rsidR="00B83154" w:rsidRPr="00903A3E" w:rsidRDefault="00B83154" w:rsidP="00B83154">
      <w:pPr>
        <w:jc w:val="both"/>
        <w:rPr>
          <w:rFonts w:ascii="Times New Roman" w:hAnsi="Times New Roman" w:cs="Times New Roman"/>
          <w:b/>
          <w:bCs/>
        </w:rPr>
      </w:pPr>
    </w:p>
    <w:p w14:paraId="6CD503C5" w14:textId="77777777" w:rsidR="00B83154" w:rsidRPr="00903A3E" w:rsidRDefault="00B83154" w:rsidP="00B83154">
      <w:pPr>
        <w:jc w:val="both"/>
        <w:rPr>
          <w:rFonts w:ascii="Times New Roman" w:hAnsi="Times New Roman" w:cs="Times New Roman"/>
          <w:b/>
          <w:bCs/>
        </w:rPr>
      </w:pPr>
    </w:p>
    <w:p w14:paraId="42FE7D99" w14:textId="77777777" w:rsidR="00B83154" w:rsidRPr="00903A3E" w:rsidRDefault="00B83154" w:rsidP="00B83154">
      <w:pPr>
        <w:jc w:val="both"/>
        <w:rPr>
          <w:rFonts w:ascii="Times New Roman" w:hAnsi="Times New Roman" w:cs="Times New Roman"/>
          <w:b/>
          <w:bCs/>
        </w:rPr>
      </w:pPr>
    </w:p>
    <w:p w14:paraId="3825391D" w14:textId="77777777" w:rsidR="00B83154" w:rsidRPr="00903A3E" w:rsidRDefault="00B83154" w:rsidP="00B83154">
      <w:pPr>
        <w:jc w:val="both"/>
        <w:rPr>
          <w:rFonts w:ascii="Times New Roman" w:hAnsi="Times New Roman" w:cs="Times New Roman"/>
          <w:b/>
          <w:bCs/>
        </w:rPr>
      </w:pPr>
    </w:p>
    <w:p w14:paraId="070CE1E9" w14:textId="77777777" w:rsidR="00B83154" w:rsidRPr="00903A3E" w:rsidRDefault="00B83154" w:rsidP="00B83154">
      <w:pPr>
        <w:jc w:val="both"/>
        <w:rPr>
          <w:rFonts w:ascii="Times New Roman" w:hAnsi="Times New Roman" w:cs="Times New Roman"/>
          <w:b/>
          <w:bCs/>
        </w:rPr>
      </w:pPr>
    </w:p>
    <w:p w14:paraId="144348FE" w14:textId="77777777" w:rsidR="00B83154" w:rsidRPr="00903A3E" w:rsidRDefault="00B83154" w:rsidP="00B83154">
      <w:pPr>
        <w:jc w:val="both"/>
        <w:rPr>
          <w:rFonts w:ascii="Times New Roman" w:hAnsi="Times New Roman" w:cs="Times New Roman"/>
          <w:b/>
          <w:bCs/>
        </w:rPr>
      </w:pPr>
    </w:p>
    <w:p w14:paraId="7453E53A" w14:textId="77777777" w:rsidR="00B83154" w:rsidRPr="00903A3E" w:rsidRDefault="00B83154" w:rsidP="00B83154">
      <w:pPr>
        <w:jc w:val="both"/>
        <w:rPr>
          <w:rFonts w:ascii="Times New Roman" w:hAnsi="Times New Roman" w:cs="Times New Roman"/>
          <w:b/>
          <w:bCs/>
        </w:rPr>
      </w:pPr>
    </w:p>
    <w:p w14:paraId="518DE1AC" w14:textId="77777777" w:rsidR="003527EB" w:rsidRPr="00903A3E" w:rsidRDefault="003527EB" w:rsidP="00B83154">
      <w:pPr>
        <w:jc w:val="both"/>
        <w:rPr>
          <w:rFonts w:ascii="Times New Roman" w:hAnsi="Times New Roman" w:cs="Times New Roman"/>
          <w:b/>
          <w:bCs/>
        </w:rPr>
      </w:pPr>
    </w:p>
    <w:p w14:paraId="4B176A36" w14:textId="77777777" w:rsidR="003527EB" w:rsidRPr="00903A3E" w:rsidRDefault="003527EB" w:rsidP="00B83154">
      <w:pPr>
        <w:jc w:val="both"/>
        <w:rPr>
          <w:rFonts w:ascii="Times New Roman" w:hAnsi="Times New Roman" w:cs="Times New Roman"/>
          <w:b/>
          <w:bCs/>
        </w:rPr>
      </w:pPr>
    </w:p>
    <w:p w14:paraId="5C527494" w14:textId="77777777" w:rsidR="003527EB" w:rsidRPr="00903A3E" w:rsidRDefault="003527EB" w:rsidP="00B83154">
      <w:pPr>
        <w:jc w:val="both"/>
        <w:rPr>
          <w:rFonts w:ascii="Times New Roman" w:hAnsi="Times New Roman" w:cs="Times New Roman"/>
          <w:b/>
          <w:bCs/>
        </w:rPr>
      </w:pPr>
    </w:p>
    <w:p w14:paraId="624F3F3C" w14:textId="3925D816" w:rsidR="00B83154" w:rsidRPr="00903A3E" w:rsidRDefault="00B83154" w:rsidP="00B83154">
      <w:pPr>
        <w:jc w:val="both"/>
        <w:rPr>
          <w:rFonts w:ascii="Times New Roman" w:hAnsi="Times New Roman" w:cs="Times New Roman"/>
        </w:rPr>
      </w:pPr>
    </w:p>
    <w:p w14:paraId="611775DA" w14:textId="77777777" w:rsidR="00F42969" w:rsidRPr="00903A3E" w:rsidRDefault="00F42969" w:rsidP="00F42969">
      <w:pPr>
        <w:spacing w:before="120" w:line="276" w:lineRule="auto"/>
        <w:jc w:val="center"/>
        <w:rPr>
          <w:rFonts w:ascii="Times New Roman" w:hAnsi="Times New Roman" w:cs="Times New Roman"/>
          <w:b/>
          <w:bCs/>
          <w:caps/>
          <w:spacing w:val="30"/>
        </w:rPr>
      </w:pPr>
      <w:r w:rsidRPr="00903A3E">
        <w:rPr>
          <w:rFonts w:ascii="Times New Roman" w:hAnsi="Times New Roman" w:cs="Times New Roman"/>
          <w:b/>
          <w:bCs/>
          <w:caps/>
          <w:spacing w:val="30"/>
        </w:rPr>
        <w:lastRenderedPageBreak/>
        <w:t>Doložka</w:t>
      </w:r>
    </w:p>
    <w:p w14:paraId="5C111851" w14:textId="77777777" w:rsidR="00F42969" w:rsidRPr="00903A3E" w:rsidRDefault="00F42969" w:rsidP="0051458D">
      <w:pPr>
        <w:spacing w:before="120" w:after="240" w:line="276" w:lineRule="auto"/>
        <w:jc w:val="center"/>
        <w:rPr>
          <w:rFonts w:ascii="Times New Roman" w:hAnsi="Times New Roman" w:cs="Times New Roman"/>
          <w:b/>
          <w:bCs/>
        </w:rPr>
      </w:pPr>
      <w:r w:rsidRPr="00903A3E">
        <w:rPr>
          <w:rFonts w:ascii="Times New Roman" w:hAnsi="Times New Roman" w:cs="Times New Roman"/>
          <w:b/>
          <w:bCs/>
        </w:rPr>
        <w:t>vybraných vplyvov</w:t>
      </w:r>
    </w:p>
    <w:p w14:paraId="797ADC42" w14:textId="53EFDE43" w:rsidR="00F42969" w:rsidRPr="00903A3E" w:rsidRDefault="00F42969" w:rsidP="00F42969">
      <w:pPr>
        <w:spacing w:before="120" w:line="276" w:lineRule="auto"/>
        <w:jc w:val="both"/>
        <w:rPr>
          <w:rFonts w:ascii="Times New Roman" w:hAnsi="Times New Roman" w:cs="Times New Roman"/>
          <w:b/>
          <w:bCs/>
        </w:rPr>
      </w:pPr>
      <w:r w:rsidRPr="00903A3E">
        <w:rPr>
          <w:rFonts w:ascii="Times New Roman" w:hAnsi="Times New Roman" w:cs="Times New Roman"/>
          <w:b/>
          <w:bCs/>
        </w:rPr>
        <w:t xml:space="preserve">A.1. Názov materiálu: </w:t>
      </w:r>
      <w:r w:rsidRPr="00903A3E">
        <w:rPr>
          <w:rFonts w:ascii="Times New Roman" w:hAnsi="Times New Roman" w:cs="Times New Roman"/>
        </w:rPr>
        <w:t xml:space="preserve">Návrh zákona, </w:t>
      </w:r>
      <w:r w:rsidR="00026403" w:rsidRPr="00026403">
        <w:rPr>
          <w:rFonts w:ascii="Times New Roman" w:hAnsi="Times New Roman" w:cs="Times New Roman"/>
        </w:rPr>
        <w:t>ktorým sa mení a dopĺňa zákon č. 595/2003 Z. z. o dani z príjmov v znení neskorších predpisov</w:t>
      </w:r>
    </w:p>
    <w:p w14:paraId="7960D33F" w14:textId="77777777" w:rsidR="00F42969" w:rsidRPr="00903A3E" w:rsidRDefault="00F42969" w:rsidP="00F42969">
      <w:pPr>
        <w:spacing w:before="120" w:line="276" w:lineRule="auto"/>
        <w:jc w:val="both"/>
        <w:rPr>
          <w:rFonts w:ascii="Times New Roman" w:hAnsi="Times New Roman" w:cs="Times New Roman"/>
          <w:i/>
          <w:iCs/>
        </w:rPr>
      </w:pPr>
      <w:r w:rsidRPr="00903A3E">
        <w:rPr>
          <w:rFonts w:ascii="Times New Roman" w:hAnsi="Times New Roman" w:cs="Times New Roman"/>
          <w:b/>
          <w:bCs/>
        </w:rPr>
        <w:t>Termín začatia a ukončenia PPK:</w:t>
      </w:r>
      <w:r w:rsidRPr="00903A3E">
        <w:rPr>
          <w:rFonts w:ascii="Times New Roman" w:hAnsi="Times New Roman" w:cs="Times New Roman"/>
        </w:rPr>
        <w:t xml:space="preserve"> </w:t>
      </w:r>
      <w:r w:rsidRPr="00903A3E">
        <w:rPr>
          <w:rFonts w:ascii="Times New Roman" w:hAnsi="Times New Roman" w:cs="Times New Roman"/>
          <w:i/>
          <w:iCs/>
        </w:rPr>
        <w:t>bezpredmetné</w:t>
      </w:r>
    </w:p>
    <w:p w14:paraId="7E22EC94" w14:textId="77777777" w:rsidR="00F42969" w:rsidRPr="00903A3E" w:rsidRDefault="00F42969" w:rsidP="00F42969">
      <w:pPr>
        <w:spacing w:before="120" w:line="276" w:lineRule="auto"/>
        <w:jc w:val="both"/>
        <w:rPr>
          <w:rFonts w:ascii="Times New Roman" w:hAnsi="Times New Roman" w:cs="Times New Roman"/>
          <w:b/>
          <w:bCs/>
        </w:rPr>
      </w:pPr>
      <w:r w:rsidRPr="00903A3E">
        <w:rPr>
          <w:rFonts w:ascii="Times New Roman" w:hAnsi="Times New Roman" w:cs="Times New Roman"/>
          <w:b/>
          <w:bCs/>
        </w:rPr>
        <w:t>A.2. Vplyvy:</w:t>
      </w:r>
    </w:p>
    <w:tbl>
      <w:tblPr>
        <w:tblW w:w="5000" w:type="pct"/>
        <w:tblInd w:w="1"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left w:w="0" w:type="dxa"/>
          <w:right w:w="0" w:type="dxa"/>
        </w:tblCellMar>
        <w:tblLook w:val="04A0" w:firstRow="1" w:lastRow="0" w:firstColumn="1" w:lastColumn="0" w:noHBand="0" w:noVBand="1"/>
      </w:tblPr>
      <w:tblGrid>
        <w:gridCol w:w="5489"/>
        <w:gridCol w:w="1188"/>
        <w:gridCol w:w="1177"/>
        <w:gridCol w:w="1196"/>
      </w:tblGrid>
      <w:tr w:rsidR="00903A3E" w:rsidRPr="00903A3E" w14:paraId="78A10856" w14:textId="77777777" w:rsidTr="0051458D">
        <w:tc>
          <w:tcPr>
            <w:tcW w:w="5489" w:type="dxa"/>
            <w:tcBorders>
              <w:top w:val="outset" w:sz="6" w:space="0" w:color="00000A"/>
              <w:left w:val="outset" w:sz="6" w:space="0" w:color="00000A"/>
              <w:bottom w:val="outset" w:sz="6" w:space="0" w:color="00000A"/>
              <w:right w:val="outset" w:sz="6" w:space="0" w:color="00000A"/>
            </w:tcBorders>
            <w:vAlign w:val="center"/>
          </w:tcPr>
          <w:p w14:paraId="1CDAF4AF" w14:textId="77777777" w:rsidR="00F42969" w:rsidRPr="00903A3E" w:rsidRDefault="00F42969">
            <w:pPr>
              <w:spacing w:before="120" w:line="276" w:lineRule="auto"/>
              <w:jc w:val="both"/>
              <w:rPr>
                <w:rFonts w:ascii="Times New Roman" w:hAnsi="Times New Roman" w:cs="Times New Roman"/>
              </w:rPr>
            </w:pPr>
          </w:p>
        </w:tc>
        <w:tc>
          <w:tcPr>
            <w:tcW w:w="1188" w:type="dxa"/>
            <w:tcBorders>
              <w:top w:val="outset" w:sz="6" w:space="0" w:color="00000A"/>
              <w:left w:val="outset" w:sz="6" w:space="0" w:color="00000A"/>
              <w:bottom w:val="outset" w:sz="6" w:space="0" w:color="00000A"/>
              <w:right w:val="outset" w:sz="6" w:space="0" w:color="00000A"/>
            </w:tcBorders>
            <w:vAlign w:val="center"/>
            <w:hideMark/>
          </w:tcPr>
          <w:p w14:paraId="16E9AE6D"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 Pozitívne </w:t>
            </w:r>
          </w:p>
        </w:tc>
        <w:tc>
          <w:tcPr>
            <w:tcW w:w="1177" w:type="dxa"/>
            <w:tcBorders>
              <w:top w:val="outset" w:sz="6" w:space="0" w:color="00000A"/>
              <w:left w:val="outset" w:sz="6" w:space="0" w:color="00000A"/>
              <w:bottom w:val="outset" w:sz="6" w:space="0" w:color="00000A"/>
              <w:right w:val="outset" w:sz="6" w:space="0" w:color="00000A"/>
            </w:tcBorders>
            <w:vAlign w:val="center"/>
            <w:hideMark/>
          </w:tcPr>
          <w:p w14:paraId="1DD53EB3"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 Žiadne </w:t>
            </w:r>
          </w:p>
        </w:tc>
        <w:tc>
          <w:tcPr>
            <w:tcW w:w="1196" w:type="dxa"/>
            <w:tcBorders>
              <w:top w:val="outset" w:sz="6" w:space="0" w:color="00000A"/>
              <w:left w:val="outset" w:sz="6" w:space="0" w:color="00000A"/>
              <w:bottom w:val="outset" w:sz="6" w:space="0" w:color="00000A"/>
              <w:right w:val="outset" w:sz="6" w:space="0" w:color="00000A"/>
            </w:tcBorders>
            <w:vAlign w:val="center"/>
            <w:hideMark/>
          </w:tcPr>
          <w:p w14:paraId="18D32E39"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 Negatívne </w:t>
            </w:r>
          </w:p>
        </w:tc>
      </w:tr>
      <w:tr w:rsidR="00903A3E" w:rsidRPr="00903A3E" w14:paraId="3B63268D" w14:textId="77777777" w:rsidTr="0051458D">
        <w:tc>
          <w:tcPr>
            <w:tcW w:w="5489" w:type="dxa"/>
            <w:tcBorders>
              <w:top w:val="outset" w:sz="6" w:space="0" w:color="00000A"/>
              <w:left w:val="outset" w:sz="6" w:space="0" w:color="00000A"/>
              <w:bottom w:val="outset" w:sz="6" w:space="0" w:color="00000A"/>
              <w:right w:val="outset" w:sz="6" w:space="0" w:color="00000A"/>
            </w:tcBorders>
            <w:vAlign w:val="center"/>
            <w:hideMark/>
          </w:tcPr>
          <w:p w14:paraId="54C9BDF5"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1. Vplyvy na rozpočet verejnej správy</w:t>
            </w:r>
          </w:p>
        </w:tc>
        <w:tc>
          <w:tcPr>
            <w:tcW w:w="1188" w:type="dxa"/>
            <w:tcBorders>
              <w:top w:val="outset" w:sz="6" w:space="0" w:color="00000A"/>
              <w:left w:val="outset" w:sz="6" w:space="0" w:color="00000A"/>
              <w:bottom w:val="outset" w:sz="6" w:space="0" w:color="00000A"/>
              <w:right w:val="outset" w:sz="6" w:space="0" w:color="00000A"/>
            </w:tcBorders>
            <w:vAlign w:val="center"/>
          </w:tcPr>
          <w:p w14:paraId="5A893D70" w14:textId="77777777" w:rsidR="00F42969" w:rsidRPr="00903A3E" w:rsidRDefault="00F42969">
            <w:pPr>
              <w:spacing w:before="120" w:line="276" w:lineRule="auto"/>
              <w:jc w:val="both"/>
              <w:rPr>
                <w:rFonts w:ascii="Times New Roman" w:hAnsi="Times New Roman" w:cs="Times New Roman"/>
              </w:rPr>
            </w:pPr>
          </w:p>
        </w:tc>
        <w:tc>
          <w:tcPr>
            <w:tcW w:w="1177" w:type="dxa"/>
            <w:tcBorders>
              <w:top w:val="outset" w:sz="6" w:space="0" w:color="00000A"/>
              <w:left w:val="outset" w:sz="6" w:space="0" w:color="00000A"/>
              <w:bottom w:val="outset" w:sz="6" w:space="0" w:color="00000A"/>
              <w:right w:val="outset" w:sz="6" w:space="0" w:color="00000A"/>
            </w:tcBorders>
            <w:vAlign w:val="center"/>
            <w:hideMark/>
          </w:tcPr>
          <w:p w14:paraId="5E06DEEE" w14:textId="77AA7B47" w:rsidR="00F42969" w:rsidRPr="00903A3E" w:rsidRDefault="00F42969" w:rsidP="00F42969">
            <w:pPr>
              <w:spacing w:before="120" w:line="276" w:lineRule="auto"/>
              <w:jc w:val="center"/>
              <w:rPr>
                <w:rFonts w:ascii="Times New Roman" w:hAnsi="Times New Roman" w:cs="Times New Roman"/>
              </w:rPr>
            </w:pPr>
          </w:p>
        </w:tc>
        <w:tc>
          <w:tcPr>
            <w:tcW w:w="1196" w:type="dxa"/>
            <w:tcBorders>
              <w:top w:val="outset" w:sz="6" w:space="0" w:color="00000A"/>
              <w:left w:val="outset" w:sz="6" w:space="0" w:color="00000A"/>
              <w:bottom w:val="outset" w:sz="6" w:space="0" w:color="00000A"/>
              <w:right w:val="outset" w:sz="6" w:space="0" w:color="00000A"/>
            </w:tcBorders>
            <w:vAlign w:val="center"/>
          </w:tcPr>
          <w:p w14:paraId="48A34A38" w14:textId="62485C6F" w:rsidR="00F42969" w:rsidRPr="00903A3E" w:rsidRDefault="00026403" w:rsidP="00F42969">
            <w:pPr>
              <w:spacing w:before="120" w:line="276" w:lineRule="auto"/>
              <w:jc w:val="center"/>
              <w:rPr>
                <w:rFonts w:ascii="Times New Roman" w:hAnsi="Times New Roman" w:cs="Times New Roman"/>
              </w:rPr>
            </w:pPr>
            <w:r>
              <w:rPr>
                <w:rFonts w:ascii="Times New Roman" w:hAnsi="Times New Roman" w:cs="Times New Roman"/>
              </w:rPr>
              <w:t>x</w:t>
            </w:r>
          </w:p>
        </w:tc>
      </w:tr>
      <w:tr w:rsidR="00903A3E" w:rsidRPr="00903A3E" w14:paraId="7CA97B8F" w14:textId="77777777" w:rsidTr="0051458D">
        <w:tc>
          <w:tcPr>
            <w:tcW w:w="5489" w:type="dxa"/>
            <w:tcBorders>
              <w:top w:val="outset" w:sz="6" w:space="0" w:color="00000A"/>
              <w:left w:val="outset" w:sz="6" w:space="0" w:color="00000A"/>
              <w:bottom w:val="outset" w:sz="6" w:space="0" w:color="00000A"/>
              <w:right w:val="outset" w:sz="6" w:space="0" w:color="00000A"/>
            </w:tcBorders>
            <w:vAlign w:val="center"/>
            <w:hideMark/>
          </w:tcPr>
          <w:p w14:paraId="65CAD1C0"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2. Vplyvy na podnikateľské prostredie – dochádza k zvýšeniu regulačného zaťaženia?</w:t>
            </w:r>
          </w:p>
        </w:tc>
        <w:tc>
          <w:tcPr>
            <w:tcW w:w="1188" w:type="dxa"/>
            <w:tcBorders>
              <w:top w:val="outset" w:sz="6" w:space="0" w:color="00000A"/>
              <w:left w:val="outset" w:sz="6" w:space="0" w:color="00000A"/>
              <w:bottom w:val="outset" w:sz="6" w:space="0" w:color="00000A"/>
              <w:right w:val="outset" w:sz="6" w:space="0" w:color="00000A"/>
            </w:tcBorders>
            <w:vAlign w:val="center"/>
          </w:tcPr>
          <w:p w14:paraId="30DDAD7C" w14:textId="77777777" w:rsidR="00F42969" w:rsidRPr="00903A3E" w:rsidRDefault="00F42969">
            <w:pPr>
              <w:spacing w:before="120" w:line="276" w:lineRule="auto"/>
              <w:jc w:val="center"/>
              <w:rPr>
                <w:rFonts w:ascii="Times New Roman" w:hAnsi="Times New Roman" w:cs="Times New Roman"/>
              </w:rPr>
            </w:pPr>
          </w:p>
        </w:tc>
        <w:tc>
          <w:tcPr>
            <w:tcW w:w="1177" w:type="dxa"/>
            <w:tcBorders>
              <w:top w:val="outset" w:sz="6" w:space="0" w:color="00000A"/>
              <w:left w:val="outset" w:sz="6" w:space="0" w:color="00000A"/>
              <w:bottom w:val="outset" w:sz="6" w:space="0" w:color="00000A"/>
              <w:right w:val="outset" w:sz="6" w:space="0" w:color="00000A"/>
            </w:tcBorders>
            <w:vAlign w:val="center"/>
            <w:hideMark/>
          </w:tcPr>
          <w:p w14:paraId="435535C1" w14:textId="77777777" w:rsidR="00F42969" w:rsidRPr="00903A3E" w:rsidRDefault="00F42969">
            <w:pPr>
              <w:spacing w:before="120" w:line="276" w:lineRule="auto"/>
              <w:jc w:val="center"/>
              <w:rPr>
                <w:rFonts w:ascii="Times New Roman" w:hAnsi="Times New Roman" w:cs="Times New Roman"/>
              </w:rPr>
            </w:pPr>
            <w:r w:rsidRPr="00903A3E">
              <w:rPr>
                <w:rFonts w:ascii="Times New Roman" w:hAnsi="Times New Roman" w:cs="Times New Roman"/>
              </w:rPr>
              <w:t>x</w:t>
            </w:r>
          </w:p>
        </w:tc>
        <w:tc>
          <w:tcPr>
            <w:tcW w:w="1196" w:type="dxa"/>
            <w:tcBorders>
              <w:top w:val="outset" w:sz="6" w:space="0" w:color="00000A"/>
              <w:left w:val="outset" w:sz="6" w:space="0" w:color="00000A"/>
              <w:bottom w:val="outset" w:sz="6" w:space="0" w:color="00000A"/>
              <w:right w:val="outset" w:sz="6" w:space="0" w:color="00000A"/>
            </w:tcBorders>
            <w:vAlign w:val="center"/>
          </w:tcPr>
          <w:p w14:paraId="36FC006F" w14:textId="77777777" w:rsidR="00F42969" w:rsidRPr="00903A3E" w:rsidRDefault="00F42969">
            <w:pPr>
              <w:spacing w:before="120" w:line="276" w:lineRule="auto"/>
              <w:jc w:val="center"/>
              <w:rPr>
                <w:rFonts w:ascii="Times New Roman" w:hAnsi="Times New Roman" w:cs="Times New Roman"/>
              </w:rPr>
            </w:pPr>
          </w:p>
        </w:tc>
      </w:tr>
      <w:tr w:rsidR="00903A3E" w:rsidRPr="00903A3E" w14:paraId="0F65490B" w14:textId="77777777" w:rsidTr="0051458D">
        <w:tc>
          <w:tcPr>
            <w:tcW w:w="5489" w:type="dxa"/>
            <w:tcBorders>
              <w:top w:val="outset" w:sz="6" w:space="0" w:color="00000A"/>
              <w:left w:val="outset" w:sz="6" w:space="0" w:color="00000A"/>
              <w:bottom w:val="outset" w:sz="6" w:space="0" w:color="00000A"/>
              <w:right w:val="outset" w:sz="6" w:space="0" w:color="00000A"/>
            </w:tcBorders>
            <w:vAlign w:val="center"/>
            <w:hideMark/>
          </w:tcPr>
          <w:p w14:paraId="0CF629F8"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3. Sociálne vplyvy</w:t>
            </w:r>
          </w:p>
        </w:tc>
        <w:tc>
          <w:tcPr>
            <w:tcW w:w="1188" w:type="dxa"/>
            <w:tcBorders>
              <w:top w:val="outset" w:sz="6" w:space="0" w:color="00000A"/>
              <w:left w:val="outset" w:sz="6" w:space="0" w:color="00000A"/>
              <w:bottom w:val="outset" w:sz="6" w:space="0" w:color="00000A"/>
              <w:right w:val="outset" w:sz="6" w:space="0" w:color="00000A"/>
            </w:tcBorders>
            <w:vAlign w:val="center"/>
          </w:tcPr>
          <w:p w14:paraId="5AB4BCE0" w14:textId="13CFF830" w:rsidR="00F42969" w:rsidRPr="00903A3E" w:rsidRDefault="00026403">
            <w:pPr>
              <w:spacing w:before="120" w:line="276" w:lineRule="auto"/>
              <w:jc w:val="center"/>
              <w:rPr>
                <w:rFonts w:ascii="Times New Roman" w:hAnsi="Times New Roman" w:cs="Times New Roman"/>
              </w:rPr>
            </w:pPr>
            <w:r>
              <w:rPr>
                <w:rFonts w:ascii="Times New Roman" w:hAnsi="Times New Roman" w:cs="Times New Roman"/>
              </w:rPr>
              <w:t>x</w:t>
            </w:r>
          </w:p>
        </w:tc>
        <w:tc>
          <w:tcPr>
            <w:tcW w:w="1177" w:type="dxa"/>
            <w:tcBorders>
              <w:top w:val="outset" w:sz="6" w:space="0" w:color="00000A"/>
              <w:left w:val="outset" w:sz="6" w:space="0" w:color="00000A"/>
              <w:bottom w:val="outset" w:sz="6" w:space="0" w:color="00000A"/>
              <w:right w:val="outset" w:sz="6" w:space="0" w:color="00000A"/>
            </w:tcBorders>
            <w:vAlign w:val="center"/>
            <w:hideMark/>
          </w:tcPr>
          <w:p w14:paraId="62BEB68A" w14:textId="0D0F0218" w:rsidR="00F42969" w:rsidRPr="00903A3E" w:rsidRDefault="00F42969">
            <w:pPr>
              <w:spacing w:before="120" w:line="276" w:lineRule="auto"/>
              <w:jc w:val="center"/>
              <w:rPr>
                <w:rFonts w:ascii="Times New Roman" w:hAnsi="Times New Roman" w:cs="Times New Roman"/>
              </w:rPr>
            </w:pPr>
          </w:p>
        </w:tc>
        <w:tc>
          <w:tcPr>
            <w:tcW w:w="1196" w:type="dxa"/>
            <w:tcBorders>
              <w:top w:val="outset" w:sz="6" w:space="0" w:color="00000A"/>
              <w:left w:val="outset" w:sz="6" w:space="0" w:color="00000A"/>
              <w:bottom w:val="outset" w:sz="6" w:space="0" w:color="00000A"/>
              <w:right w:val="outset" w:sz="6" w:space="0" w:color="00000A"/>
            </w:tcBorders>
            <w:vAlign w:val="center"/>
          </w:tcPr>
          <w:p w14:paraId="496DABD1" w14:textId="77777777" w:rsidR="00F42969" w:rsidRPr="00903A3E" w:rsidRDefault="00F42969">
            <w:pPr>
              <w:spacing w:before="120" w:line="276" w:lineRule="auto"/>
              <w:jc w:val="both"/>
              <w:rPr>
                <w:rFonts w:ascii="Times New Roman" w:hAnsi="Times New Roman" w:cs="Times New Roman"/>
              </w:rPr>
            </w:pPr>
          </w:p>
        </w:tc>
      </w:tr>
      <w:tr w:rsidR="00903A3E" w:rsidRPr="00903A3E" w14:paraId="1512199D" w14:textId="77777777" w:rsidTr="0051458D">
        <w:tc>
          <w:tcPr>
            <w:tcW w:w="5489" w:type="dxa"/>
            <w:tcBorders>
              <w:top w:val="outset" w:sz="6" w:space="0" w:color="00000A"/>
              <w:left w:val="outset" w:sz="6" w:space="0" w:color="00000A"/>
              <w:bottom w:val="outset" w:sz="6" w:space="0" w:color="00000A"/>
              <w:right w:val="outset" w:sz="6" w:space="0" w:color="00000A"/>
            </w:tcBorders>
            <w:vAlign w:val="center"/>
            <w:hideMark/>
          </w:tcPr>
          <w:p w14:paraId="3BAFF5DA"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 vplyvy na hospodárenie obyvateľstva,</w:t>
            </w:r>
          </w:p>
        </w:tc>
        <w:tc>
          <w:tcPr>
            <w:tcW w:w="1188" w:type="dxa"/>
            <w:tcBorders>
              <w:top w:val="outset" w:sz="6" w:space="0" w:color="00000A"/>
              <w:left w:val="outset" w:sz="6" w:space="0" w:color="00000A"/>
              <w:bottom w:val="outset" w:sz="6" w:space="0" w:color="00000A"/>
              <w:right w:val="outset" w:sz="6" w:space="0" w:color="00000A"/>
            </w:tcBorders>
            <w:vAlign w:val="center"/>
          </w:tcPr>
          <w:p w14:paraId="68777147" w14:textId="00A72932" w:rsidR="00F42969" w:rsidRPr="00903A3E" w:rsidRDefault="00026403">
            <w:pPr>
              <w:spacing w:before="120" w:line="276" w:lineRule="auto"/>
              <w:jc w:val="center"/>
              <w:rPr>
                <w:rFonts w:ascii="Times New Roman" w:hAnsi="Times New Roman" w:cs="Times New Roman"/>
              </w:rPr>
            </w:pPr>
            <w:r>
              <w:rPr>
                <w:rFonts w:ascii="Times New Roman" w:hAnsi="Times New Roman" w:cs="Times New Roman"/>
              </w:rPr>
              <w:t>x</w:t>
            </w:r>
          </w:p>
        </w:tc>
        <w:tc>
          <w:tcPr>
            <w:tcW w:w="1177" w:type="dxa"/>
            <w:tcBorders>
              <w:top w:val="outset" w:sz="6" w:space="0" w:color="00000A"/>
              <w:left w:val="outset" w:sz="6" w:space="0" w:color="00000A"/>
              <w:bottom w:val="outset" w:sz="6" w:space="0" w:color="00000A"/>
              <w:right w:val="outset" w:sz="6" w:space="0" w:color="00000A"/>
            </w:tcBorders>
            <w:vAlign w:val="center"/>
            <w:hideMark/>
          </w:tcPr>
          <w:p w14:paraId="49419CC4" w14:textId="27E417EA" w:rsidR="00F42969" w:rsidRPr="00903A3E" w:rsidRDefault="00F42969">
            <w:pPr>
              <w:spacing w:before="120" w:line="276" w:lineRule="auto"/>
              <w:jc w:val="center"/>
              <w:rPr>
                <w:rFonts w:ascii="Times New Roman" w:hAnsi="Times New Roman" w:cs="Times New Roman"/>
              </w:rPr>
            </w:pPr>
          </w:p>
        </w:tc>
        <w:tc>
          <w:tcPr>
            <w:tcW w:w="1196" w:type="dxa"/>
            <w:tcBorders>
              <w:top w:val="outset" w:sz="6" w:space="0" w:color="00000A"/>
              <w:left w:val="outset" w:sz="6" w:space="0" w:color="00000A"/>
              <w:bottom w:val="outset" w:sz="6" w:space="0" w:color="00000A"/>
              <w:right w:val="outset" w:sz="6" w:space="0" w:color="00000A"/>
            </w:tcBorders>
            <w:vAlign w:val="center"/>
          </w:tcPr>
          <w:p w14:paraId="7527DB39" w14:textId="77777777" w:rsidR="00F42969" w:rsidRPr="00903A3E" w:rsidRDefault="00F42969">
            <w:pPr>
              <w:spacing w:before="120" w:line="276" w:lineRule="auto"/>
              <w:jc w:val="both"/>
              <w:rPr>
                <w:rFonts w:ascii="Times New Roman" w:hAnsi="Times New Roman" w:cs="Times New Roman"/>
              </w:rPr>
            </w:pPr>
          </w:p>
        </w:tc>
      </w:tr>
      <w:tr w:rsidR="00903A3E" w:rsidRPr="00903A3E" w14:paraId="3117AD3D" w14:textId="77777777" w:rsidTr="0051458D">
        <w:tc>
          <w:tcPr>
            <w:tcW w:w="5489" w:type="dxa"/>
            <w:tcBorders>
              <w:top w:val="outset" w:sz="6" w:space="0" w:color="00000A"/>
              <w:left w:val="outset" w:sz="6" w:space="0" w:color="00000A"/>
              <w:bottom w:val="outset" w:sz="6" w:space="0" w:color="00000A"/>
              <w:right w:val="outset" w:sz="6" w:space="0" w:color="00000A"/>
            </w:tcBorders>
            <w:vAlign w:val="center"/>
            <w:hideMark/>
          </w:tcPr>
          <w:p w14:paraId="726D51E8"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 xml:space="preserve">– sociálnu </w:t>
            </w:r>
            <w:proofErr w:type="spellStart"/>
            <w:r w:rsidRPr="00903A3E">
              <w:rPr>
                <w:rFonts w:ascii="Times New Roman" w:hAnsi="Times New Roman" w:cs="Times New Roman"/>
              </w:rPr>
              <w:t>exklúziu</w:t>
            </w:r>
            <w:proofErr w:type="spellEnd"/>
            <w:r w:rsidRPr="00903A3E">
              <w:rPr>
                <w:rFonts w:ascii="Times New Roman" w:hAnsi="Times New Roman" w:cs="Times New Roman"/>
              </w:rPr>
              <w:t>,</w:t>
            </w:r>
          </w:p>
        </w:tc>
        <w:tc>
          <w:tcPr>
            <w:tcW w:w="1188" w:type="dxa"/>
            <w:tcBorders>
              <w:top w:val="outset" w:sz="6" w:space="0" w:color="00000A"/>
              <w:left w:val="outset" w:sz="6" w:space="0" w:color="00000A"/>
              <w:bottom w:val="outset" w:sz="6" w:space="0" w:color="00000A"/>
              <w:right w:val="outset" w:sz="6" w:space="0" w:color="00000A"/>
            </w:tcBorders>
            <w:vAlign w:val="center"/>
          </w:tcPr>
          <w:p w14:paraId="66EC221F" w14:textId="2DED38C2" w:rsidR="00F42969" w:rsidRPr="00903A3E" w:rsidRDefault="00026403" w:rsidP="00F42969">
            <w:pPr>
              <w:spacing w:before="120" w:line="276" w:lineRule="auto"/>
              <w:jc w:val="center"/>
              <w:rPr>
                <w:rFonts w:ascii="Times New Roman" w:hAnsi="Times New Roman" w:cs="Times New Roman"/>
              </w:rPr>
            </w:pPr>
            <w:r>
              <w:rPr>
                <w:rFonts w:ascii="Times New Roman" w:hAnsi="Times New Roman" w:cs="Times New Roman"/>
              </w:rPr>
              <w:t>x</w:t>
            </w:r>
          </w:p>
        </w:tc>
        <w:tc>
          <w:tcPr>
            <w:tcW w:w="1177" w:type="dxa"/>
            <w:tcBorders>
              <w:top w:val="outset" w:sz="6" w:space="0" w:color="00000A"/>
              <w:left w:val="outset" w:sz="6" w:space="0" w:color="00000A"/>
              <w:bottom w:val="outset" w:sz="6" w:space="0" w:color="00000A"/>
              <w:right w:val="outset" w:sz="6" w:space="0" w:color="00000A"/>
            </w:tcBorders>
            <w:vAlign w:val="center"/>
            <w:hideMark/>
          </w:tcPr>
          <w:p w14:paraId="0BE5EE62" w14:textId="7476410D" w:rsidR="00F42969" w:rsidRPr="00903A3E" w:rsidRDefault="00F42969">
            <w:pPr>
              <w:spacing w:before="120" w:line="276" w:lineRule="auto"/>
              <w:jc w:val="center"/>
              <w:rPr>
                <w:rFonts w:ascii="Times New Roman" w:hAnsi="Times New Roman" w:cs="Times New Roman"/>
              </w:rPr>
            </w:pPr>
          </w:p>
        </w:tc>
        <w:tc>
          <w:tcPr>
            <w:tcW w:w="1196" w:type="dxa"/>
            <w:tcBorders>
              <w:top w:val="outset" w:sz="6" w:space="0" w:color="00000A"/>
              <w:left w:val="outset" w:sz="6" w:space="0" w:color="00000A"/>
              <w:bottom w:val="outset" w:sz="6" w:space="0" w:color="00000A"/>
              <w:right w:val="outset" w:sz="6" w:space="0" w:color="00000A"/>
            </w:tcBorders>
            <w:vAlign w:val="center"/>
          </w:tcPr>
          <w:p w14:paraId="0EF6E764" w14:textId="77777777" w:rsidR="00F42969" w:rsidRPr="00903A3E" w:rsidRDefault="00F42969">
            <w:pPr>
              <w:spacing w:before="120" w:line="276" w:lineRule="auto"/>
              <w:jc w:val="both"/>
              <w:rPr>
                <w:rFonts w:ascii="Times New Roman" w:hAnsi="Times New Roman" w:cs="Times New Roman"/>
              </w:rPr>
            </w:pPr>
          </w:p>
        </w:tc>
      </w:tr>
      <w:tr w:rsidR="00903A3E" w:rsidRPr="00903A3E" w14:paraId="2C744298" w14:textId="77777777" w:rsidTr="0051458D">
        <w:tc>
          <w:tcPr>
            <w:tcW w:w="5489" w:type="dxa"/>
            <w:tcBorders>
              <w:top w:val="outset" w:sz="6" w:space="0" w:color="00000A"/>
              <w:left w:val="outset" w:sz="6" w:space="0" w:color="00000A"/>
              <w:bottom w:val="outset" w:sz="6" w:space="0" w:color="00000A"/>
              <w:right w:val="outset" w:sz="6" w:space="0" w:color="00000A"/>
            </w:tcBorders>
            <w:vAlign w:val="center"/>
            <w:hideMark/>
          </w:tcPr>
          <w:p w14:paraId="745DC2B1"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 rovnosť príležitostí a rodovú rovnosť a vplyvy na zamestnanosť</w:t>
            </w:r>
          </w:p>
        </w:tc>
        <w:tc>
          <w:tcPr>
            <w:tcW w:w="1188" w:type="dxa"/>
            <w:tcBorders>
              <w:top w:val="outset" w:sz="6" w:space="0" w:color="00000A"/>
              <w:left w:val="outset" w:sz="6" w:space="0" w:color="00000A"/>
              <w:bottom w:val="outset" w:sz="6" w:space="0" w:color="00000A"/>
              <w:right w:val="outset" w:sz="6" w:space="0" w:color="00000A"/>
            </w:tcBorders>
            <w:vAlign w:val="center"/>
          </w:tcPr>
          <w:p w14:paraId="4C02EFB8" w14:textId="36C8B19A" w:rsidR="00F42969" w:rsidRPr="00903A3E" w:rsidRDefault="00F42969" w:rsidP="006E7812">
            <w:pPr>
              <w:spacing w:before="120" w:line="276" w:lineRule="auto"/>
              <w:jc w:val="center"/>
              <w:rPr>
                <w:rFonts w:ascii="Times New Roman" w:hAnsi="Times New Roman" w:cs="Times New Roman"/>
              </w:rPr>
            </w:pPr>
          </w:p>
        </w:tc>
        <w:tc>
          <w:tcPr>
            <w:tcW w:w="1177" w:type="dxa"/>
            <w:tcBorders>
              <w:top w:val="outset" w:sz="6" w:space="0" w:color="00000A"/>
              <w:left w:val="outset" w:sz="6" w:space="0" w:color="00000A"/>
              <w:bottom w:val="outset" w:sz="6" w:space="0" w:color="00000A"/>
              <w:right w:val="outset" w:sz="6" w:space="0" w:color="00000A"/>
            </w:tcBorders>
            <w:vAlign w:val="center"/>
            <w:hideMark/>
          </w:tcPr>
          <w:p w14:paraId="27B34395" w14:textId="4C522CB3" w:rsidR="00F42969" w:rsidRPr="00903A3E" w:rsidRDefault="0051458D">
            <w:pPr>
              <w:spacing w:before="120" w:line="276" w:lineRule="auto"/>
              <w:jc w:val="center"/>
              <w:rPr>
                <w:rFonts w:ascii="Times New Roman" w:hAnsi="Times New Roman" w:cs="Times New Roman"/>
              </w:rPr>
            </w:pPr>
            <w:r>
              <w:rPr>
                <w:rFonts w:ascii="Times New Roman" w:hAnsi="Times New Roman" w:cs="Times New Roman"/>
              </w:rPr>
              <w:t>x</w:t>
            </w:r>
          </w:p>
        </w:tc>
        <w:tc>
          <w:tcPr>
            <w:tcW w:w="1196" w:type="dxa"/>
            <w:tcBorders>
              <w:top w:val="outset" w:sz="6" w:space="0" w:color="00000A"/>
              <w:left w:val="outset" w:sz="6" w:space="0" w:color="00000A"/>
              <w:bottom w:val="outset" w:sz="6" w:space="0" w:color="00000A"/>
              <w:right w:val="outset" w:sz="6" w:space="0" w:color="00000A"/>
            </w:tcBorders>
            <w:vAlign w:val="center"/>
          </w:tcPr>
          <w:p w14:paraId="23346786" w14:textId="77777777" w:rsidR="00F42969" w:rsidRPr="00903A3E" w:rsidRDefault="00F42969">
            <w:pPr>
              <w:spacing w:before="120" w:line="276" w:lineRule="auto"/>
              <w:jc w:val="both"/>
              <w:rPr>
                <w:rFonts w:ascii="Times New Roman" w:hAnsi="Times New Roman" w:cs="Times New Roman"/>
              </w:rPr>
            </w:pPr>
          </w:p>
        </w:tc>
      </w:tr>
      <w:tr w:rsidR="00903A3E" w:rsidRPr="00903A3E" w14:paraId="0D6D0010" w14:textId="77777777" w:rsidTr="0051458D">
        <w:tc>
          <w:tcPr>
            <w:tcW w:w="5489" w:type="dxa"/>
            <w:tcBorders>
              <w:top w:val="outset" w:sz="6" w:space="0" w:color="00000A"/>
              <w:left w:val="outset" w:sz="6" w:space="0" w:color="00000A"/>
              <w:bottom w:val="outset" w:sz="6" w:space="0" w:color="00000A"/>
              <w:right w:val="outset" w:sz="6" w:space="0" w:color="00000A"/>
            </w:tcBorders>
            <w:vAlign w:val="center"/>
            <w:hideMark/>
          </w:tcPr>
          <w:p w14:paraId="032B7C91"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4. Vplyvy na životné prostredie</w:t>
            </w:r>
          </w:p>
        </w:tc>
        <w:tc>
          <w:tcPr>
            <w:tcW w:w="1188" w:type="dxa"/>
            <w:tcBorders>
              <w:top w:val="outset" w:sz="6" w:space="0" w:color="00000A"/>
              <w:left w:val="outset" w:sz="6" w:space="0" w:color="00000A"/>
              <w:bottom w:val="outset" w:sz="6" w:space="0" w:color="00000A"/>
              <w:right w:val="outset" w:sz="6" w:space="0" w:color="00000A"/>
            </w:tcBorders>
            <w:vAlign w:val="center"/>
          </w:tcPr>
          <w:p w14:paraId="365674C2" w14:textId="77777777" w:rsidR="00F42969" w:rsidRPr="00903A3E" w:rsidRDefault="00F42969">
            <w:pPr>
              <w:spacing w:before="120" w:line="276" w:lineRule="auto"/>
              <w:jc w:val="both"/>
              <w:rPr>
                <w:rFonts w:ascii="Times New Roman" w:hAnsi="Times New Roman" w:cs="Times New Roman"/>
              </w:rPr>
            </w:pPr>
          </w:p>
        </w:tc>
        <w:tc>
          <w:tcPr>
            <w:tcW w:w="1177" w:type="dxa"/>
            <w:tcBorders>
              <w:top w:val="outset" w:sz="6" w:space="0" w:color="00000A"/>
              <w:left w:val="outset" w:sz="6" w:space="0" w:color="00000A"/>
              <w:bottom w:val="outset" w:sz="6" w:space="0" w:color="00000A"/>
              <w:right w:val="outset" w:sz="6" w:space="0" w:color="00000A"/>
            </w:tcBorders>
            <w:vAlign w:val="center"/>
            <w:hideMark/>
          </w:tcPr>
          <w:p w14:paraId="2DCA0528" w14:textId="77777777" w:rsidR="00F42969" w:rsidRPr="00903A3E" w:rsidRDefault="00F42969">
            <w:pPr>
              <w:spacing w:before="120" w:line="276" w:lineRule="auto"/>
              <w:jc w:val="center"/>
              <w:rPr>
                <w:rFonts w:ascii="Times New Roman" w:hAnsi="Times New Roman" w:cs="Times New Roman"/>
              </w:rPr>
            </w:pPr>
            <w:r w:rsidRPr="00903A3E">
              <w:rPr>
                <w:rFonts w:ascii="Times New Roman" w:hAnsi="Times New Roman" w:cs="Times New Roman"/>
              </w:rPr>
              <w:t>x</w:t>
            </w:r>
          </w:p>
        </w:tc>
        <w:tc>
          <w:tcPr>
            <w:tcW w:w="1196" w:type="dxa"/>
            <w:tcBorders>
              <w:top w:val="outset" w:sz="6" w:space="0" w:color="00000A"/>
              <w:left w:val="outset" w:sz="6" w:space="0" w:color="00000A"/>
              <w:bottom w:val="outset" w:sz="6" w:space="0" w:color="00000A"/>
              <w:right w:val="outset" w:sz="6" w:space="0" w:color="00000A"/>
            </w:tcBorders>
            <w:vAlign w:val="center"/>
          </w:tcPr>
          <w:p w14:paraId="3A348F5F" w14:textId="77777777" w:rsidR="00F42969" w:rsidRPr="00903A3E" w:rsidRDefault="00F42969">
            <w:pPr>
              <w:spacing w:before="120" w:line="276" w:lineRule="auto"/>
              <w:jc w:val="both"/>
              <w:rPr>
                <w:rFonts w:ascii="Times New Roman" w:hAnsi="Times New Roman" w:cs="Times New Roman"/>
              </w:rPr>
            </w:pPr>
          </w:p>
        </w:tc>
      </w:tr>
      <w:tr w:rsidR="00F42969" w:rsidRPr="00903A3E" w14:paraId="01CF4CEE" w14:textId="77777777" w:rsidTr="0051458D">
        <w:tc>
          <w:tcPr>
            <w:tcW w:w="5489" w:type="dxa"/>
            <w:tcBorders>
              <w:top w:val="outset" w:sz="6" w:space="0" w:color="00000A"/>
              <w:left w:val="outset" w:sz="6" w:space="0" w:color="00000A"/>
              <w:bottom w:val="outset" w:sz="6" w:space="0" w:color="00000A"/>
              <w:right w:val="outset" w:sz="6" w:space="0" w:color="00000A"/>
            </w:tcBorders>
            <w:vAlign w:val="center"/>
            <w:hideMark/>
          </w:tcPr>
          <w:p w14:paraId="29A82368" w14:textId="77777777" w:rsidR="00F42969" w:rsidRPr="00903A3E" w:rsidRDefault="00F42969">
            <w:pPr>
              <w:spacing w:before="120" w:line="276" w:lineRule="auto"/>
              <w:jc w:val="both"/>
              <w:rPr>
                <w:rFonts w:ascii="Times New Roman" w:hAnsi="Times New Roman" w:cs="Times New Roman"/>
              </w:rPr>
            </w:pPr>
            <w:r w:rsidRPr="00903A3E">
              <w:rPr>
                <w:rFonts w:ascii="Times New Roman" w:hAnsi="Times New Roman" w:cs="Times New Roman"/>
              </w:rPr>
              <w:t>5. Vplyvy na informatizáciu spoločnosti</w:t>
            </w:r>
          </w:p>
        </w:tc>
        <w:tc>
          <w:tcPr>
            <w:tcW w:w="1188" w:type="dxa"/>
            <w:tcBorders>
              <w:top w:val="outset" w:sz="6" w:space="0" w:color="00000A"/>
              <w:left w:val="outset" w:sz="6" w:space="0" w:color="00000A"/>
              <w:bottom w:val="outset" w:sz="6" w:space="0" w:color="00000A"/>
              <w:right w:val="outset" w:sz="6" w:space="0" w:color="00000A"/>
            </w:tcBorders>
            <w:vAlign w:val="center"/>
          </w:tcPr>
          <w:p w14:paraId="32630C19" w14:textId="77777777" w:rsidR="00F42969" w:rsidRPr="00903A3E" w:rsidRDefault="00F42969">
            <w:pPr>
              <w:spacing w:before="120" w:line="276" w:lineRule="auto"/>
              <w:jc w:val="both"/>
              <w:rPr>
                <w:rFonts w:ascii="Times New Roman" w:hAnsi="Times New Roman" w:cs="Times New Roman"/>
              </w:rPr>
            </w:pPr>
          </w:p>
        </w:tc>
        <w:tc>
          <w:tcPr>
            <w:tcW w:w="1177" w:type="dxa"/>
            <w:tcBorders>
              <w:top w:val="outset" w:sz="6" w:space="0" w:color="00000A"/>
              <w:left w:val="outset" w:sz="6" w:space="0" w:color="00000A"/>
              <w:bottom w:val="outset" w:sz="6" w:space="0" w:color="00000A"/>
              <w:right w:val="outset" w:sz="6" w:space="0" w:color="00000A"/>
            </w:tcBorders>
            <w:vAlign w:val="center"/>
            <w:hideMark/>
          </w:tcPr>
          <w:p w14:paraId="1CD3E138" w14:textId="77777777" w:rsidR="00F42969" w:rsidRPr="00903A3E" w:rsidRDefault="00F42969">
            <w:pPr>
              <w:spacing w:before="120" w:line="276" w:lineRule="auto"/>
              <w:jc w:val="center"/>
              <w:rPr>
                <w:rFonts w:ascii="Times New Roman" w:hAnsi="Times New Roman" w:cs="Times New Roman"/>
              </w:rPr>
            </w:pPr>
            <w:r w:rsidRPr="00903A3E">
              <w:rPr>
                <w:rFonts w:ascii="Times New Roman" w:hAnsi="Times New Roman" w:cs="Times New Roman"/>
              </w:rPr>
              <w:t>x</w:t>
            </w:r>
          </w:p>
        </w:tc>
        <w:tc>
          <w:tcPr>
            <w:tcW w:w="1196" w:type="dxa"/>
            <w:tcBorders>
              <w:top w:val="outset" w:sz="6" w:space="0" w:color="00000A"/>
              <w:left w:val="outset" w:sz="6" w:space="0" w:color="00000A"/>
              <w:bottom w:val="outset" w:sz="6" w:space="0" w:color="00000A"/>
              <w:right w:val="outset" w:sz="6" w:space="0" w:color="00000A"/>
            </w:tcBorders>
            <w:vAlign w:val="center"/>
          </w:tcPr>
          <w:p w14:paraId="0773D56C" w14:textId="77777777" w:rsidR="00F42969" w:rsidRPr="00903A3E" w:rsidRDefault="00F42969">
            <w:pPr>
              <w:spacing w:before="120" w:line="276" w:lineRule="auto"/>
              <w:jc w:val="both"/>
              <w:rPr>
                <w:rFonts w:ascii="Times New Roman" w:hAnsi="Times New Roman" w:cs="Times New Roman"/>
              </w:rPr>
            </w:pPr>
          </w:p>
        </w:tc>
      </w:tr>
      <w:tr w:rsidR="0051458D" w:rsidRPr="00903A3E" w14:paraId="4E253784" w14:textId="77777777" w:rsidTr="0051458D">
        <w:tc>
          <w:tcPr>
            <w:tcW w:w="5489" w:type="dxa"/>
            <w:tcBorders>
              <w:top w:val="outset" w:sz="6" w:space="0" w:color="00000A"/>
              <w:left w:val="outset" w:sz="6" w:space="0" w:color="00000A"/>
              <w:bottom w:val="outset" w:sz="6" w:space="0" w:color="00000A"/>
              <w:right w:val="outset" w:sz="6" w:space="0" w:color="00000A"/>
            </w:tcBorders>
          </w:tcPr>
          <w:p w14:paraId="3B2CDAAD" w14:textId="2697CE54" w:rsidR="0051458D" w:rsidRPr="00903A3E" w:rsidRDefault="0051458D" w:rsidP="0051458D">
            <w:pPr>
              <w:spacing w:before="120" w:line="276" w:lineRule="auto"/>
              <w:jc w:val="both"/>
              <w:rPr>
                <w:rFonts w:ascii="Times New Roman" w:hAnsi="Times New Roman" w:cs="Times New Roman"/>
              </w:rPr>
            </w:pPr>
            <w:r>
              <w:rPr>
                <w:rFonts w:ascii="Times New Roman" w:hAnsi="Times New Roman" w:cs="Times New Roman"/>
              </w:rPr>
              <w:t>6. Vplyvy na manželstvo, rodičovstvo a rodinu</w:t>
            </w:r>
          </w:p>
        </w:tc>
        <w:tc>
          <w:tcPr>
            <w:tcW w:w="1188" w:type="dxa"/>
            <w:tcBorders>
              <w:top w:val="outset" w:sz="6" w:space="0" w:color="00000A"/>
              <w:left w:val="outset" w:sz="6" w:space="0" w:color="00000A"/>
              <w:bottom w:val="outset" w:sz="6" w:space="0" w:color="00000A"/>
              <w:right w:val="outset" w:sz="6" w:space="0" w:color="00000A"/>
            </w:tcBorders>
          </w:tcPr>
          <w:p w14:paraId="42CDF8D6" w14:textId="2DA54F88" w:rsidR="0051458D" w:rsidRPr="00903A3E" w:rsidRDefault="0051458D" w:rsidP="0051458D">
            <w:pPr>
              <w:spacing w:before="120" w:line="276" w:lineRule="auto"/>
              <w:jc w:val="center"/>
              <w:rPr>
                <w:rFonts w:ascii="Times New Roman" w:hAnsi="Times New Roman" w:cs="Times New Roman"/>
              </w:rPr>
            </w:pPr>
            <w:r>
              <w:rPr>
                <w:rFonts w:ascii="Times New Roman" w:hAnsi="Times New Roman" w:cs="Times New Roman"/>
              </w:rPr>
              <w:t>x</w:t>
            </w:r>
          </w:p>
        </w:tc>
        <w:tc>
          <w:tcPr>
            <w:tcW w:w="1177" w:type="dxa"/>
            <w:tcBorders>
              <w:top w:val="outset" w:sz="6" w:space="0" w:color="00000A"/>
              <w:left w:val="outset" w:sz="6" w:space="0" w:color="00000A"/>
              <w:bottom w:val="outset" w:sz="6" w:space="0" w:color="00000A"/>
              <w:right w:val="outset" w:sz="6" w:space="0" w:color="00000A"/>
            </w:tcBorders>
          </w:tcPr>
          <w:p w14:paraId="72D00959" w14:textId="0EB41564" w:rsidR="0051458D" w:rsidRPr="00903A3E" w:rsidRDefault="0051458D" w:rsidP="0051458D">
            <w:pPr>
              <w:spacing w:before="120" w:line="276" w:lineRule="auto"/>
              <w:jc w:val="center"/>
              <w:rPr>
                <w:rFonts w:ascii="Times New Roman" w:hAnsi="Times New Roman" w:cs="Times New Roman"/>
              </w:rPr>
            </w:pPr>
          </w:p>
        </w:tc>
        <w:tc>
          <w:tcPr>
            <w:tcW w:w="1196" w:type="dxa"/>
            <w:tcBorders>
              <w:top w:val="outset" w:sz="6" w:space="0" w:color="00000A"/>
              <w:left w:val="outset" w:sz="6" w:space="0" w:color="00000A"/>
              <w:bottom w:val="outset" w:sz="6" w:space="0" w:color="00000A"/>
              <w:right w:val="outset" w:sz="6" w:space="0" w:color="00000A"/>
            </w:tcBorders>
          </w:tcPr>
          <w:p w14:paraId="320392D8" w14:textId="77777777" w:rsidR="0051458D" w:rsidRPr="00903A3E" w:rsidRDefault="0051458D" w:rsidP="0051458D">
            <w:pPr>
              <w:spacing w:before="120" w:line="276" w:lineRule="auto"/>
              <w:jc w:val="both"/>
              <w:rPr>
                <w:rFonts w:ascii="Times New Roman" w:hAnsi="Times New Roman" w:cs="Times New Roman"/>
              </w:rPr>
            </w:pPr>
          </w:p>
        </w:tc>
      </w:tr>
      <w:tr w:rsidR="0051458D" w:rsidRPr="00903A3E" w14:paraId="58DE43F1" w14:textId="77777777" w:rsidTr="0051458D">
        <w:tc>
          <w:tcPr>
            <w:tcW w:w="5489" w:type="dxa"/>
            <w:tcBorders>
              <w:top w:val="outset" w:sz="6" w:space="0" w:color="00000A"/>
              <w:left w:val="outset" w:sz="6" w:space="0" w:color="00000A"/>
              <w:bottom w:val="outset" w:sz="6" w:space="0" w:color="00000A"/>
              <w:right w:val="outset" w:sz="6" w:space="0" w:color="00000A"/>
            </w:tcBorders>
          </w:tcPr>
          <w:p w14:paraId="79B8B9B0" w14:textId="4B788BA7" w:rsidR="0051458D" w:rsidRPr="00903A3E" w:rsidRDefault="0051458D" w:rsidP="0051458D">
            <w:pPr>
              <w:spacing w:before="120" w:line="276" w:lineRule="auto"/>
              <w:jc w:val="both"/>
              <w:rPr>
                <w:rFonts w:ascii="Times New Roman" w:hAnsi="Times New Roman" w:cs="Times New Roman"/>
              </w:rPr>
            </w:pPr>
            <w:r>
              <w:rPr>
                <w:rFonts w:ascii="Times New Roman" w:hAnsi="Times New Roman" w:cs="Times New Roman"/>
              </w:rPr>
              <w:t>7. Vplyvy na služby verejnej správy pre občana</w:t>
            </w:r>
          </w:p>
        </w:tc>
        <w:tc>
          <w:tcPr>
            <w:tcW w:w="1188" w:type="dxa"/>
            <w:tcBorders>
              <w:top w:val="outset" w:sz="6" w:space="0" w:color="00000A"/>
              <w:left w:val="outset" w:sz="6" w:space="0" w:color="00000A"/>
              <w:bottom w:val="outset" w:sz="6" w:space="0" w:color="00000A"/>
              <w:right w:val="outset" w:sz="6" w:space="0" w:color="00000A"/>
            </w:tcBorders>
          </w:tcPr>
          <w:p w14:paraId="3EB87B97" w14:textId="77777777" w:rsidR="0051458D" w:rsidRPr="00903A3E" w:rsidRDefault="0051458D" w:rsidP="0051458D">
            <w:pPr>
              <w:spacing w:before="120" w:line="276" w:lineRule="auto"/>
              <w:jc w:val="both"/>
              <w:rPr>
                <w:rFonts w:ascii="Times New Roman" w:hAnsi="Times New Roman" w:cs="Times New Roman"/>
              </w:rPr>
            </w:pPr>
          </w:p>
        </w:tc>
        <w:tc>
          <w:tcPr>
            <w:tcW w:w="1177" w:type="dxa"/>
            <w:tcBorders>
              <w:top w:val="outset" w:sz="6" w:space="0" w:color="00000A"/>
              <w:left w:val="outset" w:sz="6" w:space="0" w:color="00000A"/>
              <w:bottom w:val="outset" w:sz="6" w:space="0" w:color="00000A"/>
              <w:right w:val="outset" w:sz="6" w:space="0" w:color="00000A"/>
            </w:tcBorders>
          </w:tcPr>
          <w:p w14:paraId="466A2400" w14:textId="364E0C7A" w:rsidR="0051458D" w:rsidRPr="00903A3E" w:rsidRDefault="0051458D" w:rsidP="0051458D">
            <w:pPr>
              <w:spacing w:before="120" w:line="276" w:lineRule="auto"/>
              <w:jc w:val="center"/>
              <w:rPr>
                <w:rFonts w:ascii="Times New Roman" w:hAnsi="Times New Roman" w:cs="Times New Roman"/>
              </w:rPr>
            </w:pPr>
            <w:r>
              <w:rPr>
                <w:rFonts w:ascii="Times New Roman" w:hAnsi="Times New Roman" w:cs="Times New Roman"/>
              </w:rPr>
              <w:t>x</w:t>
            </w:r>
          </w:p>
        </w:tc>
        <w:tc>
          <w:tcPr>
            <w:tcW w:w="1196" w:type="dxa"/>
            <w:tcBorders>
              <w:top w:val="outset" w:sz="6" w:space="0" w:color="00000A"/>
              <w:left w:val="outset" w:sz="6" w:space="0" w:color="00000A"/>
              <w:bottom w:val="outset" w:sz="6" w:space="0" w:color="00000A"/>
              <w:right w:val="outset" w:sz="6" w:space="0" w:color="00000A"/>
            </w:tcBorders>
          </w:tcPr>
          <w:p w14:paraId="70F3ED29" w14:textId="77777777" w:rsidR="0051458D" w:rsidRPr="00903A3E" w:rsidRDefault="0051458D" w:rsidP="0051458D">
            <w:pPr>
              <w:spacing w:before="120" w:line="276" w:lineRule="auto"/>
              <w:jc w:val="both"/>
              <w:rPr>
                <w:rFonts w:ascii="Times New Roman" w:hAnsi="Times New Roman" w:cs="Times New Roman"/>
              </w:rPr>
            </w:pPr>
          </w:p>
        </w:tc>
      </w:tr>
    </w:tbl>
    <w:p w14:paraId="08C6FEE3" w14:textId="77777777" w:rsidR="00F42969" w:rsidRPr="00903A3E" w:rsidRDefault="00F42969" w:rsidP="00F42969">
      <w:pPr>
        <w:spacing w:before="120" w:line="276" w:lineRule="auto"/>
        <w:jc w:val="both"/>
        <w:rPr>
          <w:rFonts w:ascii="Times New Roman" w:hAnsi="Times New Roman" w:cs="Times New Roman"/>
        </w:rPr>
      </w:pPr>
    </w:p>
    <w:p w14:paraId="552CF553" w14:textId="77777777" w:rsidR="00F42969" w:rsidRPr="00903A3E" w:rsidRDefault="00F42969" w:rsidP="00F42969">
      <w:pPr>
        <w:spacing w:before="120" w:line="276" w:lineRule="auto"/>
        <w:jc w:val="both"/>
        <w:rPr>
          <w:rFonts w:ascii="Times New Roman" w:hAnsi="Times New Roman" w:cs="Times New Roman"/>
        </w:rPr>
      </w:pPr>
      <w:r w:rsidRPr="00903A3E">
        <w:rPr>
          <w:rFonts w:ascii="Times New Roman" w:hAnsi="Times New Roman" w:cs="Times New Roman"/>
          <w:b/>
          <w:bCs/>
        </w:rPr>
        <w:t>A.3. Poznámky</w:t>
      </w:r>
    </w:p>
    <w:p w14:paraId="134266F5" w14:textId="01DCA413" w:rsidR="00F42969" w:rsidRPr="00903A3E" w:rsidRDefault="0051458D" w:rsidP="00F42969">
      <w:pPr>
        <w:spacing w:before="120" w:line="276" w:lineRule="auto"/>
        <w:jc w:val="both"/>
        <w:rPr>
          <w:rFonts w:ascii="Times New Roman" w:hAnsi="Times New Roman" w:cs="Times New Roman"/>
          <w:b/>
          <w:bCs/>
        </w:rPr>
      </w:pPr>
      <w:r w:rsidRPr="0051458D">
        <w:rPr>
          <w:rFonts w:ascii="Times New Roman" w:hAnsi="Times New Roman" w:cs="Times New Roman"/>
          <w:i/>
        </w:rPr>
        <w:t xml:space="preserve">Predložený návrh zákona predpokladá výpadok na dani z príjmov fyzických osôb v roku 2027 vo výške cca 47,5 mil. €, v roku 2028 vo výške cca 50 mil.€, v roku 2029 cca 52 mil.€ a v roku 2030 vo výške cca 55 mil.€. Odhadovaný počet dotknutých matiek je cca 29 tisíc. Kvantifikácie sú založené na rodinných vzťahoch evidovaných v registri fyzických osôb a na údajoch z daňových priznaní za rok 2024. Predpoklady budúceho vývoja sú založené na </w:t>
      </w:r>
      <w:proofErr w:type="spellStart"/>
      <w:r w:rsidRPr="0051458D">
        <w:rPr>
          <w:rFonts w:ascii="Times New Roman" w:hAnsi="Times New Roman" w:cs="Times New Roman"/>
          <w:i/>
        </w:rPr>
        <w:t>makroprognóze</w:t>
      </w:r>
      <w:proofErr w:type="spellEnd"/>
      <w:r w:rsidRPr="0051458D">
        <w:rPr>
          <w:rFonts w:ascii="Times New Roman" w:hAnsi="Times New Roman" w:cs="Times New Roman"/>
          <w:i/>
        </w:rPr>
        <w:t xml:space="preserve"> z júna 2026. Vplyv oslobodenia otcov nie je v kvantifikácii zahrnutý, ale vzhľadom na nastavenie opatrenia bude marginálny.</w:t>
      </w:r>
    </w:p>
    <w:p w14:paraId="75748D3B" w14:textId="77777777" w:rsidR="00F42969" w:rsidRPr="00903A3E" w:rsidRDefault="00F42969" w:rsidP="00F42969">
      <w:pPr>
        <w:spacing w:before="120" w:line="276" w:lineRule="auto"/>
        <w:jc w:val="both"/>
        <w:rPr>
          <w:rFonts w:ascii="Times New Roman" w:hAnsi="Times New Roman" w:cs="Times New Roman"/>
          <w:b/>
          <w:bCs/>
        </w:rPr>
      </w:pPr>
      <w:r w:rsidRPr="00903A3E">
        <w:rPr>
          <w:rFonts w:ascii="Times New Roman" w:hAnsi="Times New Roman" w:cs="Times New Roman"/>
          <w:b/>
          <w:bCs/>
        </w:rPr>
        <w:t>A.4. Alternatívne riešenia</w:t>
      </w:r>
    </w:p>
    <w:p w14:paraId="135B1489" w14:textId="77777777" w:rsidR="00F42969" w:rsidRPr="00903A3E" w:rsidRDefault="00F42969" w:rsidP="00F42969">
      <w:pPr>
        <w:spacing w:before="120" w:line="276" w:lineRule="auto"/>
        <w:jc w:val="both"/>
        <w:rPr>
          <w:rFonts w:ascii="Times New Roman" w:hAnsi="Times New Roman" w:cs="Times New Roman"/>
          <w:i/>
        </w:rPr>
      </w:pPr>
      <w:r w:rsidRPr="00903A3E">
        <w:rPr>
          <w:rFonts w:ascii="Times New Roman" w:hAnsi="Times New Roman" w:cs="Times New Roman"/>
          <w:i/>
        </w:rPr>
        <w:t>bezpredmetné </w:t>
      </w:r>
    </w:p>
    <w:p w14:paraId="428A560A" w14:textId="77777777" w:rsidR="00F42969" w:rsidRPr="00903A3E" w:rsidRDefault="00F42969" w:rsidP="00F42969">
      <w:pPr>
        <w:pStyle w:val="Normlnywebov"/>
        <w:spacing w:before="120" w:beforeAutospacing="0" w:after="0" w:afterAutospacing="0" w:line="276" w:lineRule="auto"/>
        <w:ind w:left="567" w:hanging="567"/>
        <w:jc w:val="both"/>
      </w:pPr>
      <w:r w:rsidRPr="00903A3E">
        <w:rPr>
          <w:b/>
          <w:bCs/>
        </w:rPr>
        <w:t xml:space="preserve">A.5. </w:t>
      </w:r>
      <w:r w:rsidRPr="00903A3E">
        <w:rPr>
          <w:b/>
          <w:bCs/>
        </w:rPr>
        <w:tab/>
        <w:t>Stanovisko gestorov</w:t>
      </w:r>
    </w:p>
    <w:p w14:paraId="7BDF9C41" w14:textId="088F312A" w:rsidR="00F42969" w:rsidRPr="00903A3E" w:rsidRDefault="00F42969" w:rsidP="0051458D">
      <w:pPr>
        <w:pStyle w:val="Normlnywebov"/>
        <w:spacing w:before="120" w:beforeAutospacing="0" w:after="0" w:afterAutospacing="0" w:line="276" w:lineRule="auto"/>
        <w:jc w:val="both"/>
      </w:pPr>
      <w:r w:rsidRPr="00903A3E">
        <w:rPr>
          <w:i/>
          <w:iCs/>
        </w:rPr>
        <w:t>Návrh zákona bol zaslaný na vyjadrenie Ministerstvu financií SR a stanovisko tohto ministerstva tvorí súčasť predkladaného materiálu.</w:t>
      </w:r>
    </w:p>
    <w:sectPr w:rsidR="00F42969" w:rsidRPr="00903A3E" w:rsidSect="00A8760C">
      <w:footerReference w:type="even" r:id="rId8"/>
      <w:footerReference w:type="default" r:id="rId9"/>
      <w:headerReference w:type="first" r:id="rId10"/>
      <w:footerReference w:type="first" r:id="rId11"/>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C95F8" w14:textId="77777777" w:rsidR="003C1F33" w:rsidRDefault="003C1F33" w:rsidP="00A8760C">
      <w:r>
        <w:separator/>
      </w:r>
    </w:p>
  </w:endnote>
  <w:endnote w:type="continuationSeparator" w:id="0">
    <w:p w14:paraId="3B6C0F88" w14:textId="77777777" w:rsidR="003C1F33" w:rsidRDefault="003C1F33" w:rsidP="00A87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6EBEA" w14:textId="51EE042F" w:rsidR="00A8760C" w:rsidRDefault="00A8760C" w:rsidP="001D1D86">
    <w:pPr>
      <w:pStyle w:val="Pta"/>
      <w:framePr w:wrap="none" w:vAnchor="text" w:hAnchor="margin" w:xAlign="center" w:y="1"/>
      <w:rPr>
        <w:rStyle w:val="slostrany"/>
      </w:rPr>
    </w:pPr>
  </w:p>
  <w:sdt>
    <w:sdtPr>
      <w:rPr>
        <w:rStyle w:val="slostrany"/>
      </w:rPr>
      <w:id w:val="1059671911"/>
      <w:docPartObj>
        <w:docPartGallery w:val="Page Numbers (Bottom of Page)"/>
        <w:docPartUnique/>
      </w:docPartObj>
    </w:sdtPr>
    <w:sdtEndPr>
      <w:rPr>
        <w:rStyle w:val="slostrany"/>
      </w:rPr>
    </w:sdtEndPr>
    <w:sdtContent>
      <w:p w14:paraId="0E5E335A" w14:textId="77777777" w:rsidR="00A8760C" w:rsidRDefault="00A8760C" w:rsidP="001D1D86">
        <w:pPr>
          <w:pStyle w:val="Pta"/>
          <w:framePr w:wrap="none" w:vAnchor="text" w:hAnchor="margin" w:xAlign="center" w:y="1"/>
          <w:rPr>
            <w:rStyle w:val="slostrany"/>
          </w:rPr>
        </w:pPr>
        <w:r>
          <w:rPr>
            <w:rStyle w:val="slostrany"/>
          </w:rPr>
          <w:fldChar w:fldCharType="begin"/>
        </w:r>
        <w:r>
          <w:rPr>
            <w:rStyle w:val="slostrany"/>
          </w:rPr>
          <w:instrText xml:space="preserve"> PAGE </w:instrText>
        </w:r>
        <w:r>
          <w:rPr>
            <w:rStyle w:val="slostrany"/>
          </w:rPr>
          <w:fldChar w:fldCharType="separate"/>
        </w:r>
        <w:r w:rsidR="003C52B0">
          <w:rPr>
            <w:rStyle w:val="slostrany"/>
            <w:noProof/>
          </w:rPr>
          <w:t>5</w:t>
        </w:r>
        <w:r>
          <w:rPr>
            <w:rStyle w:val="slostrany"/>
          </w:rPr>
          <w:fldChar w:fldCharType="end"/>
        </w:r>
      </w:p>
    </w:sdtContent>
  </w:sdt>
  <w:p w14:paraId="25156606" w14:textId="77777777" w:rsidR="00A8760C" w:rsidRDefault="00A8760C">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62402" w14:textId="5B89D645" w:rsidR="00A8760C" w:rsidRPr="00A8760C" w:rsidRDefault="003C1F33" w:rsidP="001D1D86">
    <w:pPr>
      <w:pStyle w:val="Pta"/>
      <w:framePr w:wrap="none" w:vAnchor="text" w:hAnchor="margin" w:xAlign="center" w:y="1"/>
      <w:rPr>
        <w:rStyle w:val="slostrany"/>
        <w:rFonts w:ascii="Times New Roman" w:hAnsi="Times New Roman" w:cs="Times New Roman"/>
      </w:rPr>
    </w:pPr>
    <w:sdt>
      <w:sdtPr>
        <w:rPr>
          <w:rStyle w:val="slostrany"/>
          <w:rFonts w:ascii="Times New Roman" w:hAnsi="Times New Roman" w:cs="Times New Roman"/>
        </w:rPr>
        <w:id w:val="2107917989"/>
        <w:docPartObj>
          <w:docPartGallery w:val="Page Numbers (Bottom of Page)"/>
          <w:docPartUnique/>
        </w:docPartObj>
      </w:sdtPr>
      <w:sdtEndPr>
        <w:rPr>
          <w:rStyle w:val="slostrany"/>
        </w:rPr>
      </w:sdtEndPr>
      <w:sdtContent>
        <w:r w:rsidR="00A8760C" w:rsidRPr="00A8760C">
          <w:rPr>
            <w:rStyle w:val="slostrany"/>
            <w:rFonts w:ascii="Times New Roman" w:hAnsi="Times New Roman" w:cs="Times New Roman"/>
          </w:rPr>
          <w:fldChar w:fldCharType="begin"/>
        </w:r>
        <w:r w:rsidR="00A8760C" w:rsidRPr="00A8760C">
          <w:rPr>
            <w:rStyle w:val="slostrany"/>
            <w:rFonts w:ascii="Times New Roman" w:hAnsi="Times New Roman" w:cs="Times New Roman"/>
          </w:rPr>
          <w:instrText xml:space="preserve"> PAGE </w:instrText>
        </w:r>
        <w:r w:rsidR="00A8760C" w:rsidRPr="00A8760C">
          <w:rPr>
            <w:rStyle w:val="slostrany"/>
            <w:rFonts w:ascii="Times New Roman" w:hAnsi="Times New Roman" w:cs="Times New Roman"/>
          </w:rPr>
          <w:fldChar w:fldCharType="separate"/>
        </w:r>
        <w:r w:rsidR="003C52B0">
          <w:rPr>
            <w:rStyle w:val="slostrany"/>
            <w:rFonts w:ascii="Times New Roman" w:hAnsi="Times New Roman" w:cs="Times New Roman"/>
            <w:noProof/>
          </w:rPr>
          <w:t>2</w:t>
        </w:r>
        <w:r w:rsidR="00A8760C" w:rsidRPr="00A8760C">
          <w:rPr>
            <w:rStyle w:val="slostrany"/>
            <w:rFonts w:ascii="Times New Roman" w:hAnsi="Times New Roman" w:cs="Times New Roman"/>
          </w:rPr>
          <w:fldChar w:fldCharType="end"/>
        </w:r>
      </w:sdtContent>
    </w:sdt>
  </w:p>
  <w:p w14:paraId="01806AF9" w14:textId="77777777" w:rsidR="00A8760C" w:rsidRPr="00A8760C" w:rsidRDefault="00A8760C">
    <w:pPr>
      <w:pStyle w:val="Pta"/>
      <w:rPr>
        <w:rFonts w:ascii="Times New Roman" w:hAnsi="Times New Roman"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59F72" w14:textId="7C6F7935" w:rsidR="00EF0811" w:rsidRDefault="00EF0811">
    <w:pPr>
      <w:pStyle w:val="Pta"/>
      <w:jc w:val="center"/>
    </w:pPr>
  </w:p>
  <w:sdt>
    <w:sdtPr>
      <w:id w:val="2039547904"/>
      <w:docPartObj>
        <w:docPartGallery w:val="Page Numbers (Bottom of Page)"/>
        <w:docPartUnique/>
      </w:docPartObj>
    </w:sdtPr>
    <w:sdtEndPr/>
    <w:sdtContent>
      <w:p w14:paraId="0FBDD5F7" w14:textId="77777777" w:rsidR="00EF0811" w:rsidRDefault="00EF0811">
        <w:pPr>
          <w:pStyle w:val="Pta"/>
          <w:jc w:val="center"/>
        </w:pPr>
        <w:r>
          <w:fldChar w:fldCharType="begin"/>
        </w:r>
        <w:r>
          <w:instrText>PAGE   \* MERGEFORMAT</w:instrText>
        </w:r>
        <w:r>
          <w:fldChar w:fldCharType="separate"/>
        </w:r>
        <w:r w:rsidR="003C52B0">
          <w:rPr>
            <w:noProof/>
          </w:rPr>
          <w:t>1</w:t>
        </w:r>
        <w:r>
          <w:fldChar w:fldCharType="end"/>
        </w:r>
      </w:p>
    </w:sdtContent>
  </w:sdt>
  <w:p w14:paraId="51A2A61D" w14:textId="77777777" w:rsidR="00EF0811" w:rsidRDefault="00EF081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FD09D" w14:textId="77777777" w:rsidR="003C1F33" w:rsidRDefault="003C1F33" w:rsidP="00A8760C">
      <w:r>
        <w:separator/>
      </w:r>
    </w:p>
  </w:footnote>
  <w:footnote w:type="continuationSeparator" w:id="0">
    <w:p w14:paraId="1BC66241" w14:textId="77777777" w:rsidR="003C1F33" w:rsidRDefault="003C1F33" w:rsidP="00A876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0AAF5" w14:textId="77777777" w:rsidR="00EF0811" w:rsidRDefault="00EF0811">
    <w:pPr>
      <w:pStyle w:val="Hlavika"/>
      <w:jc w:val="center"/>
    </w:pPr>
  </w:p>
  <w:p w14:paraId="5DCB80C6" w14:textId="77777777" w:rsidR="00EF0811" w:rsidRDefault="00EF0811">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32146"/>
    <w:multiLevelType w:val="hybridMultilevel"/>
    <w:tmpl w:val="7BB416DC"/>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1D503310"/>
    <w:multiLevelType w:val="hybridMultilevel"/>
    <w:tmpl w:val="C296B14A"/>
    <w:lvl w:ilvl="0" w:tplc="C01CA3CE">
      <w:start w:val="1"/>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1F204E8D"/>
    <w:multiLevelType w:val="multilevel"/>
    <w:tmpl w:val="96407DEC"/>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307B1F51"/>
    <w:multiLevelType w:val="hybridMultilevel"/>
    <w:tmpl w:val="6E0A012A"/>
    <w:lvl w:ilvl="0" w:tplc="A49C6852">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4" w15:restartNumberingAfterBreak="0">
    <w:nsid w:val="61217100"/>
    <w:multiLevelType w:val="hybridMultilevel"/>
    <w:tmpl w:val="3A64777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63D36B8F"/>
    <w:multiLevelType w:val="hybridMultilevel"/>
    <w:tmpl w:val="B9FC7588"/>
    <w:lvl w:ilvl="0" w:tplc="648CDDB8">
      <w:start w:val="2"/>
      <w:numFmt w:val="bullet"/>
      <w:lvlText w:val="-"/>
      <w:lvlJc w:val="left"/>
      <w:pPr>
        <w:ind w:left="410" w:hanging="360"/>
      </w:pPr>
      <w:rPr>
        <w:rFonts w:ascii="Times" w:eastAsia="Times New Roman" w:hAnsi="Times" w:hint="default"/>
        <w:i w:val="0"/>
      </w:rPr>
    </w:lvl>
    <w:lvl w:ilvl="1" w:tplc="041B0003" w:tentative="1">
      <w:start w:val="1"/>
      <w:numFmt w:val="bullet"/>
      <w:lvlText w:val="o"/>
      <w:lvlJc w:val="left"/>
      <w:pPr>
        <w:ind w:left="1130" w:hanging="360"/>
      </w:pPr>
      <w:rPr>
        <w:rFonts w:ascii="Courier New" w:hAnsi="Courier New" w:hint="default"/>
      </w:rPr>
    </w:lvl>
    <w:lvl w:ilvl="2" w:tplc="041B0005" w:tentative="1">
      <w:start w:val="1"/>
      <w:numFmt w:val="bullet"/>
      <w:lvlText w:val=""/>
      <w:lvlJc w:val="left"/>
      <w:pPr>
        <w:ind w:left="1850" w:hanging="360"/>
      </w:pPr>
      <w:rPr>
        <w:rFonts w:ascii="Wingdings" w:hAnsi="Wingdings" w:hint="default"/>
      </w:rPr>
    </w:lvl>
    <w:lvl w:ilvl="3" w:tplc="041B0001" w:tentative="1">
      <w:start w:val="1"/>
      <w:numFmt w:val="bullet"/>
      <w:lvlText w:val=""/>
      <w:lvlJc w:val="left"/>
      <w:pPr>
        <w:ind w:left="2570" w:hanging="360"/>
      </w:pPr>
      <w:rPr>
        <w:rFonts w:ascii="Symbol" w:hAnsi="Symbol" w:hint="default"/>
      </w:rPr>
    </w:lvl>
    <w:lvl w:ilvl="4" w:tplc="041B0003" w:tentative="1">
      <w:start w:val="1"/>
      <w:numFmt w:val="bullet"/>
      <w:lvlText w:val="o"/>
      <w:lvlJc w:val="left"/>
      <w:pPr>
        <w:ind w:left="3290" w:hanging="360"/>
      </w:pPr>
      <w:rPr>
        <w:rFonts w:ascii="Courier New" w:hAnsi="Courier New" w:hint="default"/>
      </w:rPr>
    </w:lvl>
    <w:lvl w:ilvl="5" w:tplc="041B0005" w:tentative="1">
      <w:start w:val="1"/>
      <w:numFmt w:val="bullet"/>
      <w:lvlText w:val=""/>
      <w:lvlJc w:val="left"/>
      <w:pPr>
        <w:ind w:left="4010" w:hanging="360"/>
      </w:pPr>
      <w:rPr>
        <w:rFonts w:ascii="Wingdings" w:hAnsi="Wingdings" w:hint="default"/>
      </w:rPr>
    </w:lvl>
    <w:lvl w:ilvl="6" w:tplc="041B0001" w:tentative="1">
      <w:start w:val="1"/>
      <w:numFmt w:val="bullet"/>
      <w:lvlText w:val=""/>
      <w:lvlJc w:val="left"/>
      <w:pPr>
        <w:ind w:left="4730" w:hanging="360"/>
      </w:pPr>
      <w:rPr>
        <w:rFonts w:ascii="Symbol" w:hAnsi="Symbol" w:hint="default"/>
      </w:rPr>
    </w:lvl>
    <w:lvl w:ilvl="7" w:tplc="041B0003" w:tentative="1">
      <w:start w:val="1"/>
      <w:numFmt w:val="bullet"/>
      <w:lvlText w:val="o"/>
      <w:lvlJc w:val="left"/>
      <w:pPr>
        <w:ind w:left="5450" w:hanging="360"/>
      </w:pPr>
      <w:rPr>
        <w:rFonts w:ascii="Courier New" w:hAnsi="Courier New" w:hint="default"/>
      </w:rPr>
    </w:lvl>
    <w:lvl w:ilvl="8" w:tplc="041B0005" w:tentative="1">
      <w:start w:val="1"/>
      <w:numFmt w:val="bullet"/>
      <w:lvlText w:val=""/>
      <w:lvlJc w:val="left"/>
      <w:pPr>
        <w:ind w:left="6170" w:hanging="360"/>
      </w:pPr>
      <w:rPr>
        <w:rFonts w:ascii="Wingdings" w:hAnsi="Wingdings" w:hint="default"/>
      </w:rPr>
    </w:lvl>
  </w:abstractNum>
  <w:abstractNum w:abstractNumId="6" w15:restartNumberingAfterBreak="0">
    <w:nsid w:val="7C645C37"/>
    <w:multiLevelType w:val="hybridMultilevel"/>
    <w:tmpl w:val="35F080D8"/>
    <w:lvl w:ilvl="0" w:tplc="56FA3CDA">
      <w:start w:val="36"/>
      <w:numFmt w:val="decimal"/>
      <w:lvlText w:val="%1."/>
      <w:lvlJc w:val="left"/>
      <w:pPr>
        <w:tabs>
          <w:tab w:val="num" w:pos="720"/>
        </w:tabs>
        <w:ind w:left="720" w:hanging="360"/>
      </w:pPr>
      <w:rPr>
        <w:rFonts w:cs="Times New Roman"/>
      </w:rPr>
    </w:lvl>
    <w:lvl w:ilvl="1" w:tplc="54129866">
      <w:start w:val="1"/>
      <w:numFmt w:val="lowerLetter"/>
      <w:lvlText w:val="%2)"/>
      <w:lvlJc w:val="left"/>
      <w:pPr>
        <w:tabs>
          <w:tab w:val="num" w:pos="1440"/>
        </w:tabs>
        <w:ind w:left="1440" w:hanging="360"/>
      </w:pPr>
      <w:rPr>
        <w:rFonts w:ascii="Times New Roman" w:eastAsia="Times New Roman" w:hAnsi="Times New Roman"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16cid:durableId="387999444">
    <w:abstractNumId w:val="0"/>
  </w:num>
  <w:num w:numId="2" w16cid:durableId="1319924040">
    <w:abstractNumId w:val="4"/>
  </w:num>
  <w:num w:numId="3" w16cid:durableId="148864532">
    <w:abstractNumId w:val="1"/>
  </w:num>
  <w:num w:numId="4" w16cid:durableId="1982733981">
    <w:abstractNumId w:val="5"/>
  </w:num>
  <w:num w:numId="5" w16cid:durableId="886256766">
    <w:abstractNumId w:val="6"/>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42647026">
    <w:abstractNumId w:val="2"/>
  </w:num>
  <w:num w:numId="7" w16cid:durableId="14736442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cwMLA0MDIwNjQ2NTJX0lEKTi0uzszPAykwrQUAREhaWCwAAAA="/>
  </w:docVars>
  <w:rsids>
    <w:rsidRoot w:val="00BE2399"/>
    <w:rsid w:val="00026403"/>
    <w:rsid w:val="00045086"/>
    <w:rsid w:val="00055641"/>
    <w:rsid w:val="00057603"/>
    <w:rsid w:val="000761CB"/>
    <w:rsid w:val="00082E79"/>
    <w:rsid w:val="000843A4"/>
    <w:rsid w:val="00090EA2"/>
    <w:rsid w:val="0009435F"/>
    <w:rsid w:val="000A35E6"/>
    <w:rsid w:val="000A6519"/>
    <w:rsid w:val="000B54AD"/>
    <w:rsid w:val="000B5E7A"/>
    <w:rsid w:val="000C493B"/>
    <w:rsid w:val="000C7EED"/>
    <w:rsid w:val="000F2404"/>
    <w:rsid w:val="000F56B6"/>
    <w:rsid w:val="00117786"/>
    <w:rsid w:val="001264FB"/>
    <w:rsid w:val="00127F4B"/>
    <w:rsid w:val="00145931"/>
    <w:rsid w:val="00155991"/>
    <w:rsid w:val="0019318E"/>
    <w:rsid w:val="001B22FF"/>
    <w:rsid w:val="001F103A"/>
    <w:rsid w:val="001F4D4E"/>
    <w:rsid w:val="002061AA"/>
    <w:rsid w:val="002063ED"/>
    <w:rsid w:val="002471FC"/>
    <w:rsid w:val="00260CC7"/>
    <w:rsid w:val="00277BE4"/>
    <w:rsid w:val="00281B1D"/>
    <w:rsid w:val="002A37C4"/>
    <w:rsid w:val="002B510C"/>
    <w:rsid w:val="002C6215"/>
    <w:rsid w:val="002D0907"/>
    <w:rsid w:val="00316A26"/>
    <w:rsid w:val="003175E8"/>
    <w:rsid w:val="003205C3"/>
    <w:rsid w:val="00350DC1"/>
    <w:rsid w:val="003527EB"/>
    <w:rsid w:val="00355B12"/>
    <w:rsid w:val="0037025A"/>
    <w:rsid w:val="00377B0D"/>
    <w:rsid w:val="003920F8"/>
    <w:rsid w:val="003A2EAA"/>
    <w:rsid w:val="003A4F3F"/>
    <w:rsid w:val="003C1F33"/>
    <w:rsid w:val="003C52B0"/>
    <w:rsid w:val="003D2FCA"/>
    <w:rsid w:val="003E1AD9"/>
    <w:rsid w:val="003F46AF"/>
    <w:rsid w:val="00404741"/>
    <w:rsid w:val="00424650"/>
    <w:rsid w:val="00430A70"/>
    <w:rsid w:val="00433D46"/>
    <w:rsid w:val="00446004"/>
    <w:rsid w:val="00463651"/>
    <w:rsid w:val="00467E7F"/>
    <w:rsid w:val="004C5139"/>
    <w:rsid w:val="004D1400"/>
    <w:rsid w:val="00500013"/>
    <w:rsid w:val="00505E0A"/>
    <w:rsid w:val="0051458D"/>
    <w:rsid w:val="005156AD"/>
    <w:rsid w:val="0051761C"/>
    <w:rsid w:val="00526BCB"/>
    <w:rsid w:val="00535886"/>
    <w:rsid w:val="00535B17"/>
    <w:rsid w:val="00544392"/>
    <w:rsid w:val="00555443"/>
    <w:rsid w:val="0056270B"/>
    <w:rsid w:val="005776A7"/>
    <w:rsid w:val="00587C8F"/>
    <w:rsid w:val="00594412"/>
    <w:rsid w:val="00595F40"/>
    <w:rsid w:val="005B0819"/>
    <w:rsid w:val="005B4EF1"/>
    <w:rsid w:val="005C0DF7"/>
    <w:rsid w:val="005D6D52"/>
    <w:rsid w:val="006213AF"/>
    <w:rsid w:val="00630934"/>
    <w:rsid w:val="00632147"/>
    <w:rsid w:val="006351F6"/>
    <w:rsid w:val="00635F60"/>
    <w:rsid w:val="00675372"/>
    <w:rsid w:val="00680087"/>
    <w:rsid w:val="006864D9"/>
    <w:rsid w:val="00696D3E"/>
    <w:rsid w:val="006C13B7"/>
    <w:rsid w:val="006C15A1"/>
    <w:rsid w:val="006C74C4"/>
    <w:rsid w:val="006E26EC"/>
    <w:rsid w:val="006E6F52"/>
    <w:rsid w:val="006E7812"/>
    <w:rsid w:val="00706D76"/>
    <w:rsid w:val="00711180"/>
    <w:rsid w:val="007270FB"/>
    <w:rsid w:val="0073149C"/>
    <w:rsid w:val="00734B84"/>
    <w:rsid w:val="007453F7"/>
    <w:rsid w:val="00745AB3"/>
    <w:rsid w:val="00750A03"/>
    <w:rsid w:val="0076386C"/>
    <w:rsid w:val="0076645F"/>
    <w:rsid w:val="00774679"/>
    <w:rsid w:val="00785942"/>
    <w:rsid w:val="00794C60"/>
    <w:rsid w:val="007C2246"/>
    <w:rsid w:val="007D4705"/>
    <w:rsid w:val="007D4BB2"/>
    <w:rsid w:val="007F535E"/>
    <w:rsid w:val="008126BB"/>
    <w:rsid w:val="00851889"/>
    <w:rsid w:val="00866D63"/>
    <w:rsid w:val="00872B76"/>
    <w:rsid w:val="0087636D"/>
    <w:rsid w:val="00884409"/>
    <w:rsid w:val="0089040E"/>
    <w:rsid w:val="00891EC7"/>
    <w:rsid w:val="008A7D9F"/>
    <w:rsid w:val="008C014A"/>
    <w:rsid w:val="008C02E3"/>
    <w:rsid w:val="008D3514"/>
    <w:rsid w:val="008D7E9B"/>
    <w:rsid w:val="008E37A2"/>
    <w:rsid w:val="008F0400"/>
    <w:rsid w:val="00903A3E"/>
    <w:rsid w:val="009058AA"/>
    <w:rsid w:val="00905CEF"/>
    <w:rsid w:val="0091278C"/>
    <w:rsid w:val="00922FAA"/>
    <w:rsid w:val="009337B1"/>
    <w:rsid w:val="00936279"/>
    <w:rsid w:val="009425C3"/>
    <w:rsid w:val="00947904"/>
    <w:rsid w:val="00995168"/>
    <w:rsid w:val="009A1EA0"/>
    <w:rsid w:val="009C0174"/>
    <w:rsid w:val="009D10CE"/>
    <w:rsid w:val="009E363D"/>
    <w:rsid w:val="00A17B2E"/>
    <w:rsid w:val="00A246F7"/>
    <w:rsid w:val="00A34902"/>
    <w:rsid w:val="00A503B5"/>
    <w:rsid w:val="00A82E11"/>
    <w:rsid w:val="00A8760C"/>
    <w:rsid w:val="00A9400B"/>
    <w:rsid w:val="00AA4BFC"/>
    <w:rsid w:val="00AF7F00"/>
    <w:rsid w:val="00B026AE"/>
    <w:rsid w:val="00B14ECB"/>
    <w:rsid w:val="00B1528B"/>
    <w:rsid w:val="00B15AA7"/>
    <w:rsid w:val="00B2241E"/>
    <w:rsid w:val="00B2540E"/>
    <w:rsid w:val="00B27823"/>
    <w:rsid w:val="00B4147C"/>
    <w:rsid w:val="00B83154"/>
    <w:rsid w:val="00B86ECF"/>
    <w:rsid w:val="00B94948"/>
    <w:rsid w:val="00BB4A28"/>
    <w:rsid w:val="00BD39E2"/>
    <w:rsid w:val="00BE1434"/>
    <w:rsid w:val="00BE2399"/>
    <w:rsid w:val="00BE418B"/>
    <w:rsid w:val="00BF538E"/>
    <w:rsid w:val="00C01600"/>
    <w:rsid w:val="00C131B0"/>
    <w:rsid w:val="00C27F38"/>
    <w:rsid w:val="00C5445B"/>
    <w:rsid w:val="00C64E55"/>
    <w:rsid w:val="00C66CD7"/>
    <w:rsid w:val="00C8069D"/>
    <w:rsid w:val="00C87D0B"/>
    <w:rsid w:val="00C90AC6"/>
    <w:rsid w:val="00CC33BC"/>
    <w:rsid w:val="00CD013E"/>
    <w:rsid w:val="00CD71EC"/>
    <w:rsid w:val="00CF2DDD"/>
    <w:rsid w:val="00CF7915"/>
    <w:rsid w:val="00CF7CED"/>
    <w:rsid w:val="00D14693"/>
    <w:rsid w:val="00D60773"/>
    <w:rsid w:val="00D768CD"/>
    <w:rsid w:val="00D83641"/>
    <w:rsid w:val="00D85EA2"/>
    <w:rsid w:val="00DA3104"/>
    <w:rsid w:val="00DC68C8"/>
    <w:rsid w:val="00DE6B19"/>
    <w:rsid w:val="00DF7B06"/>
    <w:rsid w:val="00E01BCC"/>
    <w:rsid w:val="00E14DDF"/>
    <w:rsid w:val="00E22B80"/>
    <w:rsid w:val="00E24535"/>
    <w:rsid w:val="00E30790"/>
    <w:rsid w:val="00E64BD2"/>
    <w:rsid w:val="00EA0E8A"/>
    <w:rsid w:val="00EA1B5A"/>
    <w:rsid w:val="00EA3411"/>
    <w:rsid w:val="00EE7B5F"/>
    <w:rsid w:val="00EF0811"/>
    <w:rsid w:val="00EF4DB6"/>
    <w:rsid w:val="00EF5B40"/>
    <w:rsid w:val="00F17D4B"/>
    <w:rsid w:val="00F25E33"/>
    <w:rsid w:val="00F31928"/>
    <w:rsid w:val="00F42969"/>
    <w:rsid w:val="00F5283D"/>
    <w:rsid w:val="00F52CE4"/>
    <w:rsid w:val="00F56ACD"/>
    <w:rsid w:val="00F763F4"/>
    <w:rsid w:val="00FC029C"/>
    <w:rsid w:val="00FD6032"/>
    <w:rsid w:val="00FD7D83"/>
  </w:rsids>
  <m:mathPr>
    <m:mathFont m:val="Cambria Math"/>
    <m:brkBin m:val="before"/>
    <m:brkBinSub m:val="--"/>
    <m:smallFrac m:val="0"/>
    <m:dispDef/>
    <m:lMargin m:val="0"/>
    <m:rMargin m:val="0"/>
    <m:defJc m:val="centerGroup"/>
    <m:wrapIndent m:val="1440"/>
    <m:intLim m:val="subSup"/>
    <m:naryLim m:val="undOvr"/>
  </m:mathPr>
  <w:themeFontLang w:val="sk-S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7B2FE"/>
  <w15:docId w15:val="{2B9F2655-ECA2-48A3-BC87-CAD09F856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sk-S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6E7812"/>
  </w:style>
  <w:style w:type="paragraph" w:styleId="Nadpis3">
    <w:name w:val="heading 3"/>
    <w:basedOn w:val="Normlny"/>
    <w:link w:val="Nadpis3Char"/>
    <w:uiPriority w:val="9"/>
    <w:semiHidden/>
    <w:unhideWhenUsed/>
    <w:qFormat/>
    <w:rsid w:val="00D14693"/>
    <w:pPr>
      <w:spacing w:before="100" w:beforeAutospacing="1" w:after="100" w:afterAutospacing="1"/>
      <w:outlineLvl w:val="2"/>
    </w:pPr>
    <w:rPr>
      <w:rFonts w:ascii="Times New Roman" w:eastAsia="Times New Roman" w:hAnsi="Times New Roman" w:cs="Times New Roman"/>
      <w:b/>
      <w:bCs/>
      <w:sz w:val="27"/>
      <w:szCs w:val="27"/>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BE2399"/>
    <w:pPr>
      <w:ind w:left="720"/>
      <w:contextualSpacing/>
    </w:pPr>
  </w:style>
  <w:style w:type="paragraph" w:styleId="Pta">
    <w:name w:val="footer"/>
    <w:basedOn w:val="Normlny"/>
    <w:link w:val="PtaChar"/>
    <w:uiPriority w:val="99"/>
    <w:unhideWhenUsed/>
    <w:rsid w:val="00A8760C"/>
    <w:pPr>
      <w:tabs>
        <w:tab w:val="center" w:pos="4536"/>
        <w:tab w:val="right" w:pos="9072"/>
      </w:tabs>
    </w:pPr>
  </w:style>
  <w:style w:type="character" w:customStyle="1" w:styleId="PtaChar">
    <w:name w:val="Päta Char"/>
    <w:basedOn w:val="Predvolenpsmoodseku"/>
    <w:link w:val="Pta"/>
    <w:uiPriority w:val="99"/>
    <w:rsid w:val="00A8760C"/>
  </w:style>
  <w:style w:type="character" w:styleId="slostrany">
    <w:name w:val="page number"/>
    <w:basedOn w:val="Predvolenpsmoodseku"/>
    <w:uiPriority w:val="99"/>
    <w:semiHidden/>
    <w:unhideWhenUsed/>
    <w:rsid w:val="00A8760C"/>
  </w:style>
  <w:style w:type="paragraph" w:styleId="Hlavika">
    <w:name w:val="header"/>
    <w:basedOn w:val="Normlny"/>
    <w:link w:val="HlavikaChar"/>
    <w:uiPriority w:val="99"/>
    <w:unhideWhenUsed/>
    <w:rsid w:val="00A8760C"/>
    <w:pPr>
      <w:tabs>
        <w:tab w:val="center" w:pos="4536"/>
        <w:tab w:val="right" w:pos="9072"/>
      </w:tabs>
    </w:pPr>
  </w:style>
  <w:style w:type="character" w:customStyle="1" w:styleId="HlavikaChar">
    <w:name w:val="Hlavička Char"/>
    <w:basedOn w:val="Predvolenpsmoodseku"/>
    <w:link w:val="Hlavika"/>
    <w:uiPriority w:val="99"/>
    <w:rsid w:val="00A8760C"/>
  </w:style>
  <w:style w:type="paragraph" w:styleId="Normlnywebov">
    <w:name w:val="Normal (Web)"/>
    <w:basedOn w:val="Normlny"/>
    <w:uiPriority w:val="99"/>
    <w:rsid w:val="004C5139"/>
    <w:pPr>
      <w:spacing w:before="100" w:beforeAutospacing="1" w:after="100" w:afterAutospacing="1"/>
    </w:pPr>
    <w:rPr>
      <w:rFonts w:ascii="Times New Roman" w:eastAsia="Times New Roman" w:hAnsi="Times New Roman" w:cs="Times New Roman"/>
      <w:lang w:eastAsia="sk-SK"/>
    </w:rPr>
  </w:style>
  <w:style w:type="character" w:styleId="Hypertextovprepojenie">
    <w:name w:val="Hyperlink"/>
    <w:basedOn w:val="Predvolenpsmoodseku"/>
    <w:uiPriority w:val="99"/>
    <w:unhideWhenUsed/>
    <w:rsid w:val="004C5139"/>
    <w:rPr>
      <w:rFonts w:cs="Times New Roman"/>
      <w:color w:val="0000FF"/>
      <w:u w:val="single"/>
    </w:rPr>
  </w:style>
  <w:style w:type="paragraph" w:customStyle="1" w:styleId="listparagraph">
    <w:name w:val="listparagraph"/>
    <w:basedOn w:val="Normlny"/>
    <w:uiPriority w:val="99"/>
    <w:rsid w:val="004C5139"/>
    <w:pPr>
      <w:spacing w:after="200" w:line="276" w:lineRule="auto"/>
      <w:ind w:left="720"/>
    </w:pPr>
    <w:rPr>
      <w:rFonts w:ascii="Calibri" w:eastAsia="Times New Roman" w:cstheme="minorHAnsi"/>
      <w:sz w:val="22"/>
      <w:szCs w:val="22"/>
    </w:rPr>
  </w:style>
  <w:style w:type="paragraph" w:styleId="Textbubliny">
    <w:name w:val="Balloon Text"/>
    <w:basedOn w:val="Normlny"/>
    <w:link w:val="TextbublinyChar"/>
    <w:uiPriority w:val="99"/>
    <w:semiHidden/>
    <w:unhideWhenUsed/>
    <w:rsid w:val="00706D76"/>
    <w:rPr>
      <w:rFonts w:ascii="Tahoma" w:hAnsi="Tahoma" w:cs="Tahoma"/>
      <w:sz w:val="16"/>
      <w:szCs w:val="16"/>
    </w:rPr>
  </w:style>
  <w:style w:type="character" w:customStyle="1" w:styleId="TextbublinyChar">
    <w:name w:val="Text bubliny Char"/>
    <w:basedOn w:val="Predvolenpsmoodseku"/>
    <w:link w:val="Textbubliny"/>
    <w:uiPriority w:val="99"/>
    <w:semiHidden/>
    <w:rsid w:val="00706D76"/>
    <w:rPr>
      <w:rFonts w:ascii="Tahoma" w:hAnsi="Tahoma" w:cs="Tahoma"/>
      <w:sz w:val="16"/>
      <w:szCs w:val="16"/>
    </w:rPr>
  </w:style>
  <w:style w:type="character" w:customStyle="1" w:styleId="Nadpis3Char">
    <w:name w:val="Nadpis 3 Char"/>
    <w:basedOn w:val="Predvolenpsmoodseku"/>
    <w:link w:val="Nadpis3"/>
    <w:uiPriority w:val="9"/>
    <w:semiHidden/>
    <w:rsid w:val="00D14693"/>
    <w:rPr>
      <w:rFonts w:ascii="Times New Roman" w:eastAsia="Times New Roman" w:hAnsi="Times New Roman" w:cs="Times New Roman"/>
      <w:b/>
      <w:bCs/>
      <w:sz w:val="27"/>
      <w:szCs w:val="27"/>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639962">
      <w:bodyDiv w:val="1"/>
      <w:marLeft w:val="0"/>
      <w:marRight w:val="0"/>
      <w:marTop w:val="0"/>
      <w:marBottom w:val="0"/>
      <w:divBdr>
        <w:top w:val="none" w:sz="0" w:space="0" w:color="auto"/>
        <w:left w:val="none" w:sz="0" w:space="0" w:color="auto"/>
        <w:bottom w:val="none" w:sz="0" w:space="0" w:color="auto"/>
        <w:right w:val="none" w:sz="0" w:space="0" w:color="auto"/>
      </w:divBdr>
    </w:div>
    <w:div w:id="706099656">
      <w:bodyDiv w:val="1"/>
      <w:marLeft w:val="0"/>
      <w:marRight w:val="0"/>
      <w:marTop w:val="0"/>
      <w:marBottom w:val="0"/>
      <w:divBdr>
        <w:top w:val="none" w:sz="0" w:space="0" w:color="auto"/>
        <w:left w:val="none" w:sz="0" w:space="0" w:color="auto"/>
        <w:bottom w:val="none" w:sz="0" w:space="0" w:color="auto"/>
        <w:right w:val="none" w:sz="0" w:space="0" w:color="auto"/>
      </w:divBdr>
    </w:div>
    <w:div w:id="866255270">
      <w:bodyDiv w:val="1"/>
      <w:marLeft w:val="0"/>
      <w:marRight w:val="0"/>
      <w:marTop w:val="0"/>
      <w:marBottom w:val="0"/>
      <w:divBdr>
        <w:top w:val="none" w:sz="0" w:space="0" w:color="auto"/>
        <w:left w:val="none" w:sz="0" w:space="0" w:color="auto"/>
        <w:bottom w:val="none" w:sz="0" w:space="0" w:color="auto"/>
        <w:right w:val="none" w:sz="0" w:space="0" w:color="auto"/>
      </w:divBdr>
    </w:div>
    <w:div w:id="901451720">
      <w:bodyDiv w:val="1"/>
      <w:marLeft w:val="0"/>
      <w:marRight w:val="0"/>
      <w:marTop w:val="0"/>
      <w:marBottom w:val="0"/>
      <w:divBdr>
        <w:top w:val="none" w:sz="0" w:space="0" w:color="auto"/>
        <w:left w:val="none" w:sz="0" w:space="0" w:color="auto"/>
        <w:bottom w:val="none" w:sz="0" w:space="0" w:color="auto"/>
        <w:right w:val="none" w:sz="0" w:space="0" w:color="auto"/>
      </w:divBdr>
    </w:div>
    <w:div w:id="1009677431">
      <w:bodyDiv w:val="1"/>
      <w:marLeft w:val="0"/>
      <w:marRight w:val="0"/>
      <w:marTop w:val="0"/>
      <w:marBottom w:val="0"/>
      <w:divBdr>
        <w:top w:val="none" w:sz="0" w:space="0" w:color="auto"/>
        <w:left w:val="none" w:sz="0" w:space="0" w:color="auto"/>
        <w:bottom w:val="none" w:sz="0" w:space="0" w:color="auto"/>
        <w:right w:val="none" w:sz="0" w:space="0" w:color="auto"/>
      </w:divBdr>
    </w:div>
    <w:div w:id="1161772396">
      <w:bodyDiv w:val="1"/>
      <w:marLeft w:val="0"/>
      <w:marRight w:val="0"/>
      <w:marTop w:val="0"/>
      <w:marBottom w:val="0"/>
      <w:divBdr>
        <w:top w:val="none" w:sz="0" w:space="0" w:color="auto"/>
        <w:left w:val="none" w:sz="0" w:space="0" w:color="auto"/>
        <w:bottom w:val="none" w:sz="0" w:space="0" w:color="auto"/>
        <w:right w:val="none" w:sz="0" w:space="0" w:color="auto"/>
      </w:divBdr>
    </w:div>
    <w:div w:id="1918399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B5C4A-547B-4336-82F7-EEC59FF30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Pages>
  <Words>1405</Words>
  <Characters>8011</Characters>
  <Application>Microsoft Office Word</Application>
  <DocSecurity>0</DocSecurity>
  <Lines>66</Lines>
  <Paragraphs>18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9398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Vidová Michaela</dc:creator>
  <cp:lastModifiedBy>Vidová Michaela</cp:lastModifiedBy>
  <cp:revision>3</cp:revision>
  <cp:lastPrinted>2021-05-17T10:00:00Z</cp:lastPrinted>
  <dcterms:created xsi:type="dcterms:W3CDTF">2026-09-29T12:07:00Z</dcterms:created>
  <dcterms:modified xsi:type="dcterms:W3CDTF">2026-10-06T10:59:00Z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e6fae1f5-e756-4374-a51d-4e77c219c49a</vt:lpwstr>
  </property>
  <property fmtid="{D5CDD505-2E9C-101B-9397-08002B2CF9AE}" pid="3" name="MSIP_Label_d8d4986f-dcbf-4623-ae9a-8251714e0a88_Enabled">
    <vt:lpwstr>true</vt:lpwstr>
  </property>
  <property fmtid="{D5CDD505-2E9C-101B-9397-08002B2CF9AE}" pid="4" name="MSIP_Label_d8d4986f-dcbf-4623-ae9a-8251714e0a88_SetDate">
    <vt:lpwstr>2026-10-06T10:59:07Z</vt:lpwstr>
  </property>
  <property fmtid="{D5CDD505-2E9C-101B-9397-08002B2CF9AE}" pid="5" name="MSIP_Label_d8d4986f-dcbf-4623-ae9a-8251714e0a88_Method">
    <vt:lpwstr>Privileged</vt:lpwstr>
  </property>
  <property fmtid="{D5CDD505-2E9C-101B-9397-08002B2CF9AE}" pid="6" name="MSIP_Label_d8d4986f-dcbf-4623-ae9a-8251714e0a88_Name">
    <vt:lpwstr>Public</vt:lpwstr>
  </property>
  <property fmtid="{D5CDD505-2E9C-101B-9397-08002B2CF9AE}" pid="7" name="MSIP_Label_d8d4986f-dcbf-4623-ae9a-8251714e0a88_SiteId">
    <vt:lpwstr>579df390-dbff-49fd-8f10-624670566482</vt:lpwstr>
  </property>
  <property fmtid="{D5CDD505-2E9C-101B-9397-08002B2CF9AE}" pid="8" name="MSIP_Label_d8d4986f-dcbf-4623-ae9a-8251714e0a88_ActionId">
    <vt:lpwstr>48ffc46c-035c-4ace-9fa4-c537cee82947</vt:lpwstr>
  </property>
  <property fmtid="{D5CDD505-2E9C-101B-9397-08002B2CF9AE}" pid="9" name="MSIP_Label_d8d4986f-dcbf-4623-ae9a-8251714e0a88_ContentBits">
    <vt:lpwstr>0</vt:lpwstr>
  </property>
  <property fmtid="{D5CDD505-2E9C-101B-9397-08002B2CF9AE}" pid="10" name="MSIP_Label_d8d4986f-dcbf-4623-ae9a-8251714e0a88_Tag">
    <vt:lpwstr>10, 0, 1, 1</vt:lpwstr>
  </property>
</Properties>
</file>